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ind w:firstLine="361" w:firstLineChars="100"/>
        <w:jc w:val="both"/>
        <w:rPr>
          <w:rFonts w:hint="eastAsia"/>
          <w:b/>
          <w:color w:val="0000FF"/>
          <w:sz w:val="36"/>
          <w:szCs w:val="36"/>
        </w:rPr>
      </w:pPr>
      <w:r>
        <w:rPr>
          <w:rFonts w:hint="eastAsia"/>
          <w:b/>
          <w:color w:val="0000FF"/>
          <w:sz w:val="36"/>
          <w:szCs w:val="36"/>
          <w:lang w:eastAsia="zh-CN"/>
        </w:rPr>
        <w:t>批发零售、住宿餐饮统计数据：2025年1-2月</w:t>
      </w:r>
      <w:r>
        <w:rPr>
          <w:rFonts w:hint="eastAsia"/>
          <w:b/>
          <w:color w:val="0000FF"/>
          <w:sz w:val="36"/>
          <w:szCs w:val="36"/>
        </w:rPr>
        <w:t>社会消费品零售总额情况</w:t>
      </w:r>
    </w:p>
    <w:tbl>
      <w:tblPr>
        <w:tblStyle w:val="6"/>
        <w:tblW w:w="11820" w:type="dxa"/>
        <w:tblInd w:w="567" w:type="dxa"/>
        <w:tblLayout w:type="fixed"/>
        <w:tblCellMar>
          <w:top w:w="0" w:type="dxa"/>
          <w:left w:w="108" w:type="dxa"/>
          <w:bottom w:w="0" w:type="dxa"/>
          <w:right w:w="108" w:type="dxa"/>
        </w:tblCellMar>
      </w:tblPr>
      <w:tblGrid>
        <w:gridCol w:w="4852"/>
        <w:gridCol w:w="3414"/>
        <w:gridCol w:w="3554"/>
      </w:tblGrid>
      <w:tr>
        <w:tblPrEx>
          <w:tblCellMar>
            <w:top w:w="0" w:type="dxa"/>
            <w:left w:w="108" w:type="dxa"/>
            <w:bottom w:w="0" w:type="dxa"/>
            <w:right w:w="108" w:type="dxa"/>
          </w:tblCellMar>
        </w:tblPrEx>
        <w:trPr>
          <w:trHeight w:val="344" w:hRule="atLeast"/>
        </w:trPr>
        <w:tc>
          <w:tcPr>
            <w:tcW w:w="4852"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项  目</w:t>
            </w:r>
          </w:p>
        </w:tc>
        <w:tc>
          <w:tcPr>
            <w:tcW w:w="341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宋体" w:hAnsi="宋体" w:cs="宋体"/>
                <w:kern w:val="0"/>
                <w:sz w:val="24"/>
                <w:lang w:val="en" w:eastAsia="zh-CN"/>
              </w:rPr>
            </w:pPr>
            <w:r>
              <w:rPr>
                <w:rFonts w:hint="eastAsia" w:ascii="宋体" w:hAnsi="宋体" w:cs="宋体"/>
                <w:kern w:val="0"/>
                <w:sz w:val="24"/>
                <w:lang w:eastAsia="zh-CN"/>
              </w:rPr>
              <w:t>2025年1-2月</w:t>
            </w:r>
          </w:p>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kern w:val="0"/>
                <w:sz w:val="24"/>
                <w:lang w:eastAsia="zh-CN"/>
              </w:rPr>
            </w:pPr>
            <w:r>
              <w:rPr>
                <w:rFonts w:hint="eastAsia" w:ascii="宋体" w:hAnsi="宋体" w:cs="宋体"/>
                <w:color w:val="000000"/>
                <w:kern w:val="0"/>
                <w:sz w:val="24"/>
              </w:rPr>
              <w:t>(万元)</w:t>
            </w:r>
          </w:p>
        </w:tc>
        <w:tc>
          <w:tcPr>
            <w:tcW w:w="3554" w:type="dxa"/>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同比增长（%）</w:t>
            </w:r>
          </w:p>
        </w:tc>
      </w:tr>
      <w:tr>
        <w:tblPrEx>
          <w:tblCellMar>
            <w:top w:w="0" w:type="dxa"/>
            <w:left w:w="108" w:type="dxa"/>
            <w:bottom w:w="0" w:type="dxa"/>
            <w:right w:w="108" w:type="dxa"/>
          </w:tblCellMar>
        </w:tblPrEx>
        <w:trPr>
          <w:trHeight w:val="397" w:hRule="atLeast"/>
        </w:trPr>
        <w:tc>
          <w:tcPr>
            <w:tcW w:w="4852"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社会消费品零售总额</w:t>
            </w:r>
          </w:p>
        </w:tc>
        <w:tc>
          <w:tcPr>
            <w:tcW w:w="3414"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Theme="minorEastAsia" w:hAnsiTheme="minorEastAsia" w:eastAsiaTheme="minorEastAsia" w:cstheme="minorEastAsia"/>
                <w:b/>
                <w:sz w:val="24"/>
                <w:szCs w:val="24"/>
              </w:rPr>
            </w:pPr>
            <w:r>
              <w:rPr>
                <w:rFonts w:hint="eastAsia" w:ascii="宋体" w:hAnsi="宋体" w:eastAsia="宋体" w:cs="宋体"/>
                <w:b/>
                <w:i w:val="0"/>
                <w:color w:val="000000"/>
                <w:kern w:val="0"/>
                <w:sz w:val="24"/>
                <w:szCs w:val="24"/>
                <w:u w:val="none"/>
                <w:lang w:val="en-US" w:eastAsia="zh-CN" w:bidi="ar"/>
              </w:rPr>
              <w:t>313271</w:t>
            </w:r>
          </w:p>
        </w:tc>
        <w:tc>
          <w:tcPr>
            <w:tcW w:w="355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Theme="minorEastAsia" w:hAnsiTheme="minorEastAsia" w:eastAsiaTheme="minorEastAsia" w:cstheme="minorEastAsia"/>
                <w:b/>
                <w:sz w:val="24"/>
                <w:szCs w:val="24"/>
              </w:rPr>
            </w:pPr>
            <w:r>
              <w:rPr>
                <w:rFonts w:hint="eastAsia" w:ascii="宋体" w:hAnsi="宋体" w:eastAsia="宋体" w:cs="宋体"/>
                <w:b/>
                <w:i w:val="0"/>
                <w:color w:val="000000"/>
                <w:kern w:val="0"/>
                <w:sz w:val="24"/>
                <w:szCs w:val="24"/>
                <w:u w:val="none"/>
                <w:lang w:val="en-US" w:eastAsia="zh-CN" w:bidi="ar"/>
              </w:rPr>
              <w:t xml:space="preserve">-4.2 </w:t>
            </w:r>
          </w:p>
        </w:tc>
      </w:tr>
      <w:tr>
        <w:tblPrEx>
          <w:tblCellMar>
            <w:top w:w="0" w:type="dxa"/>
            <w:left w:w="108" w:type="dxa"/>
            <w:bottom w:w="0" w:type="dxa"/>
            <w:right w:w="108" w:type="dxa"/>
          </w:tblCellMar>
        </w:tblPrEx>
        <w:trPr>
          <w:trHeight w:val="397" w:hRule="atLeast"/>
        </w:trPr>
        <w:tc>
          <w:tcPr>
            <w:tcW w:w="4852"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  按消费形态分</w:t>
            </w:r>
          </w:p>
        </w:tc>
        <w:tc>
          <w:tcPr>
            <w:tcW w:w="3414"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80" w:lineRule="exact"/>
              <w:jc w:val="right"/>
              <w:rPr>
                <w:rFonts w:hint="eastAsia" w:asciiTheme="minorEastAsia" w:hAnsiTheme="minorEastAsia" w:eastAsiaTheme="minorEastAsia" w:cstheme="minorEastAsia"/>
                <w:sz w:val="24"/>
                <w:szCs w:val="24"/>
              </w:rPr>
            </w:pPr>
          </w:p>
        </w:tc>
        <w:tc>
          <w:tcPr>
            <w:tcW w:w="3554"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480" w:lineRule="exact"/>
              <w:jc w:val="right"/>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397" w:hRule="atLeast"/>
        </w:trPr>
        <w:tc>
          <w:tcPr>
            <w:tcW w:w="4852"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商品零售</w:t>
            </w:r>
          </w:p>
        </w:tc>
        <w:tc>
          <w:tcPr>
            <w:tcW w:w="3414"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Theme="minorEastAsia" w:hAnsiTheme="minorEastAsia" w:eastAsiaTheme="minorEastAsia" w:cstheme="minorEastAsia"/>
                <w:b w:val="0"/>
                <w:bCs/>
                <w:color w:val="000000"/>
                <w:sz w:val="24"/>
                <w:szCs w:val="24"/>
              </w:rPr>
            </w:pPr>
            <w:r>
              <w:rPr>
                <w:rFonts w:hint="eastAsia" w:ascii="宋体" w:hAnsi="宋体" w:eastAsia="宋体" w:cs="宋体"/>
                <w:i w:val="0"/>
                <w:color w:val="000000"/>
                <w:kern w:val="0"/>
                <w:sz w:val="24"/>
                <w:szCs w:val="24"/>
                <w:u w:val="none"/>
                <w:lang w:val="en-US" w:eastAsia="zh-CN" w:bidi="ar"/>
              </w:rPr>
              <w:t>295877</w:t>
            </w:r>
          </w:p>
        </w:tc>
        <w:tc>
          <w:tcPr>
            <w:tcW w:w="355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Theme="minorEastAsia" w:hAnsiTheme="minorEastAsia" w:eastAsiaTheme="minorEastAsia" w:cstheme="minorEastAsia"/>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-4.2 </w:t>
            </w:r>
          </w:p>
        </w:tc>
      </w:tr>
      <w:tr>
        <w:tblPrEx>
          <w:tblCellMar>
            <w:top w:w="0" w:type="dxa"/>
            <w:left w:w="108" w:type="dxa"/>
            <w:bottom w:w="0" w:type="dxa"/>
            <w:right w:w="108" w:type="dxa"/>
          </w:tblCellMar>
        </w:tblPrEx>
        <w:trPr>
          <w:trHeight w:val="397" w:hRule="atLeast"/>
        </w:trPr>
        <w:tc>
          <w:tcPr>
            <w:tcW w:w="4852" w:type="dxa"/>
            <w:tcBorders>
              <w:top w:val="nil"/>
              <w:left w:val="nil"/>
              <w:bottom w:val="single" w:color="auto" w:sz="8"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餐饮收入</w:t>
            </w:r>
          </w:p>
        </w:tc>
        <w:tc>
          <w:tcPr>
            <w:tcW w:w="3414" w:type="dxa"/>
            <w:tcBorders>
              <w:top w:val="nil"/>
              <w:left w:val="nil"/>
              <w:bottom w:val="single" w:color="auto" w:sz="8"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Theme="minorEastAsia" w:hAnsiTheme="minorEastAsia" w:eastAsiaTheme="minorEastAsia" w:cstheme="minorEastAsia"/>
                <w:b w:val="0"/>
                <w:bCs/>
                <w:color w:val="000000"/>
                <w:sz w:val="24"/>
                <w:szCs w:val="24"/>
              </w:rPr>
            </w:pPr>
            <w:r>
              <w:rPr>
                <w:rFonts w:hint="eastAsia" w:ascii="宋体" w:hAnsi="宋体" w:eastAsia="宋体" w:cs="宋体"/>
                <w:i w:val="0"/>
                <w:color w:val="000000"/>
                <w:kern w:val="0"/>
                <w:sz w:val="24"/>
                <w:szCs w:val="24"/>
                <w:u w:val="none"/>
                <w:lang w:val="en-US" w:eastAsia="zh-CN" w:bidi="ar"/>
              </w:rPr>
              <w:t>17394</w:t>
            </w:r>
          </w:p>
        </w:tc>
        <w:tc>
          <w:tcPr>
            <w:tcW w:w="3554" w:type="dxa"/>
            <w:tcBorders>
              <w:top w:val="nil"/>
              <w:left w:val="nil"/>
              <w:bottom w:val="single" w:color="auto" w:sz="8"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Theme="minorEastAsia" w:hAnsiTheme="minorEastAsia" w:eastAsiaTheme="minorEastAsia" w:cstheme="minorEastAsia"/>
                <w:b w:val="0"/>
                <w:bCs/>
                <w:color w:val="000000"/>
                <w:sz w:val="24"/>
                <w:szCs w:val="24"/>
              </w:rPr>
            </w:pPr>
            <w:r>
              <w:rPr>
                <w:rFonts w:hint="eastAsia" w:ascii="宋体" w:hAnsi="宋体" w:eastAsia="宋体" w:cs="宋体"/>
                <w:i w:val="0"/>
                <w:color w:val="000000"/>
                <w:kern w:val="0"/>
                <w:sz w:val="24"/>
                <w:szCs w:val="24"/>
                <w:u w:val="none"/>
                <w:lang w:val="en-US" w:eastAsia="zh-CN" w:bidi="ar"/>
              </w:rPr>
              <w:t xml:space="preserve">-4.1 </w:t>
            </w:r>
          </w:p>
        </w:tc>
      </w:tr>
      <w:tr>
        <w:tblPrEx>
          <w:tblCellMar>
            <w:top w:w="0" w:type="dxa"/>
            <w:left w:w="108" w:type="dxa"/>
            <w:bottom w:w="0" w:type="dxa"/>
            <w:right w:w="108" w:type="dxa"/>
          </w:tblCellMar>
        </w:tblPrEx>
        <w:trPr>
          <w:trHeight w:val="1958" w:hRule="atLeast"/>
        </w:trPr>
        <w:tc>
          <w:tcPr>
            <w:tcW w:w="11820" w:type="dxa"/>
            <w:gridSpan w:val="3"/>
            <w:tcBorders>
              <w:top w:val="single" w:color="auto" w:sz="8" w:space="0"/>
              <w:left w:val="nil"/>
            </w:tcBorders>
            <w:vAlign w:val="center"/>
          </w:tcPr>
          <w:p>
            <w:pPr>
              <w:pStyle w:val="5"/>
              <w:keepNext w:val="0"/>
              <w:keepLines w:val="0"/>
              <w:pageBreakBefore w:val="0"/>
              <w:widowControl/>
              <w:numPr>
                <w:ilvl w:val="0"/>
                <w:numId w:val="1"/>
              </w:numPr>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0" w:right="0" w:firstLine="0"/>
              <w:rPr>
                <w:rFonts w:hint="eastAsia" w:ascii="楷体_GB2312" w:hAnsi="宋体" w:eastAsia="楷体_GB2312" w:cs="宋体"/>
                <w:color w:val="auto"/>
                <w:kern w:val="0"/>
                <w:sz w:val="24"/>
              </w:rPr>
            </w:pPr>
            <w:bookmarkStart w:id="0" w:name="_GoBack"/>
            <w:r>
              <w:rPr>
                <w:rFonts w:hint="eastAsia" w:ascii="楷体_GB2312" w:hAnsi="宋体" w:eastAsia="楷体_GB2312" w:cs="宋体"/>
                <w:b/>
                <w:bCs/>
                <w:color w:val="auto"/>
                <w:kern w:val="0"/>
                <w:sz w:val="24"/>
              </w:rPr>
              <w:t>统计范围：</w:t>
            </w:r>
            <w:r>
              <w:rPr>
                <w:rFonts w:hint="eastAsia" w:ascii="楷体_GB2312" w:hAnsi="宋体" w:eastAsia="楷体_GB2312" w:cs="宋体"/>
                <w:color w:val="auto"/>
                <w:kern w:val="0"/>
                <w:sz w:val="24"/>
              </w:rPr>
              <w:t>本区地域内有消费品零售业务活动以及提供餐饮服务活动的法人单位、产业活动单位和个体经营户。</w:t>
            </w:r>
            <w:r>
              <w:rPr>
                <w:rFonts w:hint="eastAsia" w:ascii="楷体_GB2312" w:hAnsi="宋体" w:eastAsia="楷体_GB2312" w:cs="宋体"/>
                <w:color w:val="auto"/>
                <w:kern w:val="0"/>
                <w:sz w:val="24"/>
              </w:rPr>
              <w:br w:type="textWrapping"/>
            </w:r>
            <w:r>
              <w:rPr>
                <w:rFonts w:hint="eastAsia" w:ascii="楷体_GB2312" w:hAnsi="宋体" w:eastAsia="楷体_GB2312" w:cs="宋体"/>
                <w:b/>
                <w:bCs/>
                <w:color w:val="auto"/>
                <w:kern w:val="0"/>
                <w:sz w:val="24"/>
                <w:lang w:val="en-US" w:eastAsia="zh-CN"/>
              </w:rPr>
              <w:t>2</w:t>
            </w:r>
            <w:r>
              <w:rPr>
                <w:rFonts w:hint="eastAsia" w:ascii="楷体_GB2312" w:hAnsi="宋体" w:eastAsia="楷体_GB2312" w:cs="宋体"/>
                <w:b/>
                <w:bCs/>
                <w:color w:val="auto"/>
                <w:kern w:val="0"/>
                <w:sz w:val="24"/>
              </w:rPr>
              <w:t>、采集渠道：</w:t>
            </w:r>
            <w:r>
              <w:rPr>
                <w:rFonts w:hint="eastAsia" w:ascii="楷体_GB2312" w:hAnsi="宋体" w:eastAsia="楷体_GB2312" w:cs="宋体"/>
                <w:color w:val="auto"/>
                <w:kern w:val="0"/>
                <w:sz w:val="24"/>
              </w:rPr>
              <w:t>按照《批发和零售业统计报表制度》、《住宿和餐饮业统计报表制度》要求: ①限额以上批发和零售业、住宿和餐饮业法人单位、产业活动单位和个体经营户通过联网直报系统上报统计数据；②限额以下批发和零售业、住宿和餐饮业法人单位、产业活动单位和个体经营户通过抽样调查获取数据，</w:t>
            </w:r>
            <w:r>
              <w:rPr>
                <w:rFonts w:hint="eastAsia" w:ascii="楷体_GB2312" w:hAnsi="宋体" w:eastAsia="楷体_GB2312" w:cs="宋体"/>
                <w:color w:val="auto"/>
                <w:kern w:val="0"/>
                <w:sz w:val="24"/>
                <w:lang w:eastAsia="zh-CN"/>
              </w:rPr>
              <w:t>进而</w:t>
            </w:r>
            <w:r>
              <w:rPr>
                <w:rFonts w:hint="eastAsia" w:ascii="楷体_GB2312" w:hAnsi="宋体" w:eastAsia="楷体_GB2312" w:cs="宋体"/>
                <w:color w:val="auto"/>
                <w:kern w:val="0"/>
                <w:sz w:val="24"/>
              </w:rPr>
              <w:t>推算总体。</w:t>
            </w:r>
          </w:p>
          <w:p>
            <w:pPr>
              <w:pStyle w:val="5"/>
              <w:keepNext w:val="0"/>
              <w:keepLines w:val="0"/>
              <w:pageBreakBefore w:val="0"/>
              <w:widowControl/>
              <w:numPr>
                <w:numId w:val="0"/>
              </w:numPr>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Chars="0" w:right="0" w:rightChars="0" w:firstLine="480" w:firstLineChars="200"/>
              <w:rPr>
                <w:rFonts w:hint="default" w:ascii="楷体_GB2312" w:hAnsi="宋体" w:eastAsia="楷体_GB2312" w:cs="宋体"/>
                <w:color w:val="auto"/>
                <w:kern w:val="0"/>
                <w:sz w:val="24"/>
              </w:rPr>
            </w:pPr>
            <w:r>
              <w:rPr>
                <w:rFonts w:hint="default" w:ascii="楷体_GB2312" w:hAnsi="宋体" w:eastAsia="楷体_GB2312" w:cs="宋体"/>
                <w:color w:val="auto"/>
                <w:kern w:val="0"/>
                <w:sz w:val="24"/>
              </w:rPr>
              <w:t>限额</w:t>
            </w:r>
            <w:r>
              <w:rPr>
                <w:rFonts w:hint="eastAsia" w:ascii="楷体_GB2312" w:hAnsi="宋体" w:eastAsia="楷体_GB2312" w:cs="宋体"/>
                <w:color w:val="auto"/>
                <w:kern w:val="0"/>
                <w:sz w:val="24"/>
                <w:lang w:eastAsia="zh-CN"/>
              </w:rPr>
              <w:t>以上</w:t>
            </w:r>
            <w:r>
              <w:rPr>
                <w:rFonts w:hint="default" w:ascii="楷体_GB2312" w:hAnsi="宋体" w:eastAsia="楷体_GB2312" w:cs="宋体"/>
                <w:color w:val="auto"/>
                <w:kern w:val="0"/>
                <w:sz w:val="24"/>
              </w:rPr>
              <w:t>标准：①批发业：年主营业务收入2000万元及以上；②零售业：年主营业务收入500万元及以上；③住宿业：年主营业务收入200万元及以上；④餐饮业：年主营业务收入200万元及以上。</w:t>
            </w: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0" w:right="0" w:firstLine="0"/>
              <w:rPr>
                <w:rFonts w:hint="eastAsia" w:ascii="楷体_GB2312" w:hAnsi="宋体" w:eastAsia="楷体_GB2312" w:cs="宋体"/>
                <w:color w:val="auto"/>
                <w:kern w:val="0"/>
                <w:sz w:val="24"/>
              </w:rPr>
            </w:pPr>
            <w:r>
              <w:rPr>
                <w:rFonts w:hint="eastAsia" w:ascii="楷体_GB2312" w:hAnsi="宋体" w:eastAsia="楷体_GB2312" w:cs="宋体"/>
                <w:b/>
                <w:bCs/>
                <w:color w:val="auto"/>
                <w:kern w:val="0"/>
                <w:sz w:val="24"/>
                <w:lang w:val="en-US" w:eastAsia="zh-CN"/>
              </w:rPr>
              <w:t>3</w:t>
            </w:r>
            <w:r>
              <w:rPr>
                <w:rFonts w:hint="eastAsia" w:ascii="楷体_GB2312" w:hAnsi="宋体" w:eastAsia="楷体_GB2312" w:cs="宋体"/>
                <w:b/>
                <w:bCs/>
                <w:color w:val="auto"/>
                <w:kern w:val="0"/>
                <w:sz w:val="24"/>
              </w:rPr>
              <w:t>、主要统计指标解释：</w:t>
            </w:r>
            <w:r>
              <w:rPr>
                <w:rFonts w:hint="eastAsia" w:ascii="楷体_GB2312" w:hAnsi="宋体" w:eastAsia="楷体_GB2312" w:cs="宋体"/>
                <w:color w:val="auto"/>
                <w:kern w:val="0"/>
                <w:sz w:val="24"/>
              </w:rPr>
              <w:t>社会消费品零售总额：指企业（单位、个体户）通过交易直接售给个人、社会集团用于非生产、非经营用的实物商品金额，以及提供餐饮服务所取得的收入金额。</w:t>
            </w: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0" w:right="0" w:firstLine="0"/>
              <w:rPr>
                <w:rFonts w:hint="eastAsia" w:ascii="楷体_GB2312" w:hAnsi="宋体" w:eastAsia="楷体_GB2312" w:cs="宋体"/>
                <w:color w:val="auto"/>
                <w:kern w:val="0"/>
                <w:sz w:val="24"/>
              </w:rPr>
            </w:pPr>
            <w:r>
              <w:rPr>
                <w:rFonts w:hint="eastAsia" w:ascii="楷体_GB2312" w:hAnsi="宋体" w:eastAsia="楷体_GB2312" w:cs="宋体"/>
                <w:b/>
                <w:bCs/>
                <w:color w:val="auto"/>
                <w:kern w:val="0"/>
                <w:sz w:val="24"/>
                <w:lang w:val="en-US" w:eastAsia="zh-CN"/>
              </w:rPr>
              <w:t>4</w:t>
            </w:r>
            <w:r>
              <w:rPr>
                <w:rFonts w:hint="eastAsia" w:ascii="楷体_GB2312" w:hAnsi="宋体" w:eastAsia="楷体_GB2312" w:cs="宋体"/>
                <w:b/>
                <w:bCs/>
                <w:color w:val="auto"/>
                <w:kern w:val="0"/>
                <w:sz w:val="24"/>
              </w:rPr>
              <w:t>、</w:t>
            </w:r>
            <w:r>
              <w:rPr>
                <w:rFonts w:hint="eastAsia" w:ascii="楷体_GB2312" w:hAnsi="宋体" w:eastAsia="楷体_GB2312" w:cs="宋体"/>
                <w:b/>
                <w:bCs/>
                <w:color w:val="auto"/>
                <w:kern w:val="0"/>
                <w:sz w:val="24"/>
                <w:lang w:eastAsia="zh-CN"/>
              </w:rPr>
              <w:t>修订说明：</w:t>
            </w:r>
            <w:r>
              <w:rPr>
                <w:rFonts w:hint="eastAsia" w:ascii="楷体_GB2312" w:hAnsi="宋体" w:eastAsia="楷体_GB2312" w:cs="宋体"/>
                <w:color w:val="auto"/>
                <w:kern w:val="0"/>
                <w:sz w:val="24"/>
              </w:rPr>
              <w:t>北京市统计局根据第五次全国经济普查结果对各区2024年社会消费品零售总额进行了修订，2025年月度增速按照可比口径计算。</w:t>
            </w:r>
          </w:p>
          <w:bookmarkEnd w:id="0"/>
          <w:p>
            <w:pPr>
              <w:keepNext w:val="0"/>
              <w:keepLines w:val="0"/>
              <w:pageBreakBefore w:val="0"/>
              <w:numPr>
                <w:ilvl w:val="0"/>
                <w:numId w:val="0"/>
              </w:numPr>
              <w:kinsoku/>
              <w:wordWrap/>
              <w:overflowPunct/>
              <w:topLinePunct w:val="0"/>
              <w:autoSpaceDE/>
              <w:autoSpaceDN/>
              <w:bidi w:val="0"/>
              <w:adjustRightInd w:val="0"/>
              <w:snapToGrid w:val="0"/>
              <w:jc w:val="left"/>
              <w:rPr>
                <w:rFonts w:hint="eastAsia" w:ascii="楷体_GB2312" w:hAnsi="宋体" w:eastAsia="楷体_GB2312" w:cs="宋体"/>
                <w:sz w:val="24"/>
              </w:rPr>
            </w:pPr>
          </w:p>
        </w:tc>
      </w:tr>
    </w:tbl>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highlight w:val="none"/>
          <w:lang w:val="en-US" w:eastAsia="zh-CN"/>
        </w:rPr>
      </w:pPr>
    </w:p>
    <w:p>
      <w:pPr>
        <w:pStyle w:val="2"/>
        <w:rPr>
          <w:rFonts w:hint="eastAsia"/>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BB55D8"/>
    <w:multiLevelType w:val="singleLevel"/>
    <w:tmpl w:val="7DBB55D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56ED446"/>
    <w:rsid w:val="163459DA"/>
    <w:rsid w:val="169355EC"/>
    <w:rsid w:val="172B5C42"/>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1FFF4CB5"/>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BEF4705"/>
    <w:rsid w:val="2C644628"/>
    <w:rsid w:val="2C6C1E73"/>
    <w:rsid w:val="2D076D14"/>
    <w:rsid w:val="2E29008C"/>
    <w:rsid w:val="2E2B4EE6"/>
    <w:rsid w:val="2E6C7B7D"/>
    <w:rsid w:val="2EC71D67"/>
    <w:rsid w:val="2EFD0F86"/>
    <w:rsid w:val="2F457D92"/>
    <w:rsid w:val="2F5B14A5"/>
    <w:rsid w:val="2F8D73F0"/>
    <w:rsid w:val="2FBDC9F1"/>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ACA405B"/>
    <w:rsid w:val="3AEE30EC"/>
    <w:rsid w:val="3B4C203F"/>
    <w:rsid w:val="3B505972"/>
    <w:rsid w:val="3C094926"/>
    <w:rsid w:val="3CA06950"/>
    <w:rsid w:val="3CD34D5E"/>
    <w:rsid w:val="3DF66AB0"/>
    <w:rsid w:val="3E5544D7"/>
    <w:rsid w:val="3ED06649"/>
    <w:rsid w:val="3FA684FA"/>
    <w:rsid w:val="3FAB96BE"/>
    <w:rsid w:val="3FB23159"/>
    <w:rsid w:val="3FDB5DF1"/>
    <w:rsid w:val="3FDED793"/>
    <w:rsid w:val="3FDF4110"/>
    <w:rsid w:val="3FF311AD"/>
    <w:rsid w:val="3FFE10C8"/>
    <w:rsid w:val="401D61C0"/>
    <w:rsid w:val="414B607C"/>
    <w:rsid w:val="41A3549E"/>
    <w:rsid w:val="426042E3"/>
    <w:rsid w:val="42D90AF2"/>
    <w:rsid w:val="440C601A"/>
    <w:rsid w:val="441A04D4"/>
    <w:rsid w:val="46216826"/>
    <w:rsid w:val="46FF42F7"/>
    <w:rsid w:val="475234D8"/>
    <w:rsid w:val="476A13E8"/>
    <w:rsid w:val="47790412"/>
    <w:rsid w:val="47A86E6D"/>
    <w:rsid w:val="47E027CA"/>
    <w:rsid w:val="47FEAB4D"/>
    <w:rsid w:val="489B5BDB"/>
    <w:rsid w:val="4937785D"/>
    <w:rsid w:val="4AE90A8D"/>
    <w:rsid w:val="4B3D5C27"/>
    <w:rsid w:val="4B4551F2"/>
    <w:rsid w:val="4C2220D4"/>
    <w:rsid w:val="4C6D69D1"/>
    <w:rsid w:val="4CEB2530"/>
    <w:rsid w:val="4D8016E5"/>
    <w:rsid w:val="4D863A49"/>
    <w:rsid w:val="4D9327C0"/>
    <w:rsid w:val="4DC718E7"/>
    <w:rsid w:val="4DD01001"/>
    <w:rsid w:val="4E665BA6"/>
    <w:rsid w:val="4F024081"/>
    <w:rsid w:val="4F560168"/>
    <w:rsid w:val="4F5746E4"/>
    <w:rsid w:val="4F6D24BE"/>
    <w:rsid w:val="50D8657E"/>
    <w:rsid w:val="51512E17"/>
    <w:rsid w:val="526977BB"/>
    <w:rsid w:val="52FB1BC2"/>
    <w:rsid w:val="53EF48C2"/>
    <w:rsid w:val="53F57A86"/>
    <w:rsid w:val="54895C40"/>
    <w:rsid w:val="54F42AFF"/>
    <w:rsid w:val="55600A1D"/>
    <w:rsid w:val="5567A25D"/>
    <w:rsid w:val="55B05FB6"/>
    <w:rsid w:val="560D74DF"/>
    <w:rsid w:val="567412A4"/>
    <w:rsid w:val="568A0C6F"/>
    <w:rsid w:val="56BB328C"/>
    <w:rsid w:val="57370DD3"/>
    <w:rsid w:val="57605D7D"/>
    <w:rsid w:val="57B35CE2"/>
    <w:rsid w:val="58913AC3"/>
    <w:rsid w:val="58E67C05"/>
    <w:rsid w:val="590F83E0"/>
    <w:rsid w:val="59375F5C"/>
    <w:rsid w:val="59630F03"/>
    <w:rsid w:val="597F8F05"/>
    <w:rsid w:val="5A055849"/>
    <w:rsid w:val="5A271408"/>
    <w:rsid w:val="5B73140F"/>
    <w:rsid w:val="5C9300D0"/>
    <w:rsid w:val="5CB32703"/>
    <w:rsid w:val="5CD35BE5"/>
    <w:rsid w:val="5D0004C6"/>
    <w:rsid w:val="5D4E0726"/>
    <w:rsid w:val="5D8F6061"/>
    <w:rsid w:val="5FC37593"/>
    <w:rsid w:val="5FDF0B1C"/>
    <w:rsid w:val="60FA610A"/>
    <w:rsid w:val="613D007B"/>
    <w:rsid w:val="61C65AFE"/>
    <w:rsid w:val="62578C3C"/>
    <w:rsid w:val="62612361"/>
    <w:rsid w:val="639114E6"/>
    <w:rsid w:val="65797765"/>
    <w:rsid w:val="663F737A"/>
    <w:rsid w:val="675F8F65"/>
    <w:rsid w:val="67927ED5"/>
    <w:rsid w:val="67CB7260"/>
    <w:rsid w:val="67FD4902"/>
    <w:rsid w:val="687C1C1C"/>
    <w:rsid w:val="699E7C2F"/>
    <w:rsid w:val="69F16919"/>
    <w:rsid w:val="6A294847"/>
    <w:rsid w:val="6A65276C"/>
    <w:rsid w:val="6AC47901"/>
    <w:rsid w:val="6AFF3DA2"/>
    <w:rsid w:val="6B320384"/>
    <w:rsid w:val="6C02332D"/>
    <w:rsid w:val="6C0F7A99"/>
    <w:rsid w:val="6C257DC9"/>
    <w:rsid w:val="6C4B421F"/>
    <w:rsid w:val="6D5A4B7F"/>
    <w:rsid w:val="6EA39D6C"/>
    <w:rsid w:val="6F9D743A"/>
    <w:rsid w:val="6FBF1FE6"/>
    <w:rsid w:val="6FC7354D"/>
    <w:rsid w:val="6FFEDE62"/>
    <w:rsid w:val="6FFF682D"/>
    <w:rsid w:val="6FFFDF34"/>
    <w:rsid w:val="71080D89"/>
    <w:rsid w:val="7175080B"/>
    <w:rsid w:val="7186F4B4"/>
    <w:rsid w:val="726A1098"/>
    <w:rsid w:val="737B2704"/>
    <w:rsid w:val="73A6F0C8"/>
    <w:rsid w:val="73CC0211"/>
    <w:rsid w:val="73EFABBB"/>
    <w:rsid w:val="741F23A4"/>
    <w:rsid w:val="74501C96"/>
    <w:rsid w:val="757EAA3D"/>
    <w:rsid w:val="75DFCC41"/>
    <w:rsid w:val="75E61BEE"/>
    <w:rsid w:val="75EE766E"/>
    <w:rsid w:val="75F745C8"/>
    <w:rsid w:val="7607511D"/>
    <w:rsid w:val="765833C3"/>
    <w:rsid w:val="77166765"/>
    <w:rsid w:val="7720627A"/>
    <w:rsid w:val="778962BC"/>
    <w:rsid w:val="779A77AC"/>
    <w:rsid w:val="77E9D9C2"/>
    <w:rsid w:val="77F30C7B"/>
    <w:rsid w:val="78B553DE"/>
    <w:rsid w:val="78E85C94"/>
    <w:rsid w:val="791B108A"/>
    <w:rsid w:val="797D4315"/>
    <w:rsid w:val="7A100E94"/>
    <w:rsid w:val="7AC2683B"/>
    <w:rsid w:val="7B423B59"/>
    <w:rsid w:val="7B6FE944"/>
    <w:rsid w:val="7BA3EC91"/>
    <w:rsid w:val="7BE787CF"/>
    <w:rsid w:val="7C58388D"/>
    <w:rsid w:val="7C7A5981"/>
    <w:rsid w:val="7CF5D5DB"/>
    <w:rsid w:val="7D7EC8CD"/>
    <w:rsid w:val="7E282AF5"/>
    <w:rsid w:val="7E3D82B6"/>
    <w:rsid w:val="7E7F0693"/>
    <w:rsid w:val="7EBE223A"/>
    <w:rsid w:val="7ED92472"/>
    <w:rsid w:val="7ED99CC2"/>
    <w:rsid w:val="7F1879BC"/>
    <w:rsid w:val="7F3A5975"/>
    <w:rsid w:val="7F5E5D34"/>
    <w:rsid w:val="7FF10CB7"/>
    <w:rsid w:val="81EB3C3A"/>
    <w:rsid w:val="8CDA845A"/>
    <w:rsid w:val="8FDD6C5D"/>
    <w:rsid w:val="99B77EE0"/>
    <w:rsid w:val="9FED37BA"/>
    <w:rsid w:val="A1F996D1"/>
    <w:rsid w:val="AB6F98F3"/>
    <w:rsid w:val="B7799B9E"/>
    <w:rsid w:val="B7FAD454"/>
    <w:rsid w:val="B7FF7374"/>
    <w:rsid w:val="BB9F279F"/>
    <w:rsid w:val="BDF6F2E2"/>
    <w:rsid w:val="BF69E885"/>
    <w:rsid w:val="BFB650B6"/>
    <w:rsid w:val="C6FCE371"/>
    <w:rsid w:val="C7F7F066"/>
    <w:rsid w:val="CD3B0D55"/>
    <w:rsid w:val="D57D44D0"/>
    <w:rsid w:val="D7EE2A06"/>
    <w:rsid w:val="DB6A1F6D"/>
    <w:rsid w:val="DBB74874"/>
    <w:rsid w:val="DDF6AF67"/>
    <w:rsid w:val="DF7775DD"/>
    <w:rsid w:val="DF7BDF92"/>
    <w:rsid w:val="DF8DE048"/>
    <w:rsid w:val="DFAB23FE"/>
    <w:rsid w:val="DFB724C3"/>
    <w:rsid w:val="DFBFE4DB"/>
    <w:rsid w:val="E7DD7C91"/>
    <w:rsid w:val="E7F7B4E4"/>
    <w:rsid w:val="E7FDA2F2"/>
    <w:rsid w:val="EA6790F0"/>
    <w:rsid w:val="EBEF1CA0"/>
    <w:rsid w:val="EBF5BF5A"/>
    <w:rsid w:val="EDFE27A9"/>
    <w:rsid w:val="EEFF3E89"/>
    <w:rsid w:val="EF7D7BB4"/>
    <w:rsid w:val="EF99AF02"/>
    <w:rsid w:val="F047853D"/>
    <w:rsid w:val="F2ECBDBB"/>
    <w:rsid w:val="F5FF6C02"/>
    <w:rsid w:val="F69F3012"/>
    <w:rsid w:val="F6DE3C3D"/>
    <w:rsid w:val="F6FE7D1F"/>
    <w:rsid w:val="F7B564CC"/>
    <w:rsid w:val="F7BFE11D"/>
    <w:rsid w:val="FBDF6E2B"/>
    <w:rsid w:val="FE3F8DB9"/>
    <w:rsid w:val="FE77F456"/>
    <w:rsid w:val="FECFFF92"/>
    <w:rsid w:val="FF9FF837"/>
    <w:rsid w:val="FFAD37E5"/>
    <w:rsid w:val="FFD83BD6"/>
    <w:rsid w:val="FFDB47DB"/>
    <w:rsid w:val="FFDDC2DC"/>
    <w:rsid w:val="FFDF4CDE"/>
    <w:rsid w:val="FFDFD5D3"/>
    <w:rsid w:val="FFE6752D"/>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3</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2020-08-13T09:20:00Z</dcterms:created>
  <dc:creator>NTKO</dc:creator>
  <cp:lastModifiedBy>zhk</cp:lastModifiedBy>
  <cp:lastPrinted>2025-01-26T14:35:00Z</cp:lastPrinted>
  <dcterms:modified xsi:type="dcterms:W3CDTF">2025-03-25T15:31:38Z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