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both"/>
        <w:rPr>
          <w:rFonts w:hint="eastAsia"/>
          <w:b/>
          <w:color w:val="0000FF"/>
          <w:sz w:val="36"/>
          <w:szCs w:val="36"/>
        </w:rPr>
      </w:pPr>
      <w:bookmarkStart w:id="0" w:name="_GoBack"/>
      <w:r>
        <w:rPr>
          <w:rFonts w:hint="eastAsia"/>
          <w:b/>
          <w:color w:val="0000FF"/>
          <w:sz w:val="36"/>
          <w:szCs w:val="36"/>
          <w:lang w:eastAsia="zh-CN"/>
        </w:rPr>
        <w:t>批发零售、住宿餐饮统计数据：2024年1-12月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2024年1-12月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1696625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-7.1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1584300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-7.1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112325 </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-8.2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EE86A2"/>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2020-08-12T01:20:00Z</dcterms:created>
  <dc:creator>NTKO</dc:creator>
  <cp:lastModifiedBy>zhk</cp:lastModifiedBy>
  <cp:lastPrinted>2025-01-25T06:35:00Z</cp:lastPrinted>
  <dcterms:modified xsi:type="dcterms:W3CDTF">2025-01-27T08:48:14Z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