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bookmarkStart w:id="0" w:name="_GoBack"/>
      <w:r>
        <w:rPr>
          <w:rFonts w:hint="eastAsia"/>
          <w:b/>
          <w:color w:val="0000FF"/>
          <w:sz w:val="36"/>
          <w:szCs w:val="36"/>
          <w:lang w:eastAsia="zh-CN"/>
        </w:rPr>
        <w:t>房地产开发统计数据：2024年1-12月</w:t>
      </w:r>
      <w:r>
        <w:rPr>
          <w:rFonts w:hint="eastAsia"/>
          <w:b/>
          <w:color w:val="0000FF"/>
          <w:sz w:val="36"/>
          <w:szCs w:val="36"/>
        </w:rPr>
        <w:t>房地产开发投资、销售情况</w:t>
      </w:r>
    </w:p>
    <w:bookmarkEnd w:id="0"/>
    <w:tbl>
      <w:tblPr>
        <w:tblStyle w:val="6"/>
        <w:tblW w:w="7760" w:type="dxa"/>
        <w:jc w:val="center"/>
        <w:tblLayout w:type="fixed"/>
        <w:tblCellMar>
          <w:top w:w="0" w:type="dxa"/>
          <w:left w:w="108" w:type="dxa"/>
          <w:bottom w:w="0" w:type="dxa"/>
          <w:right w:w="108" w:type="dxa"/>
        </w:tblCellMar>
      </w:tblPr>
      <w:tblGrid>
        <w:gridCol w:w="5357"/>
        <w:gridCol w:w="2403"/>
      </w:tblGrid>
      <w:tr>
        <w:tblPrEx>
          <w:tblCellMar>
            <w:top w:w="0" w:type="dxa"/>
            <w:left w:w="108" w:type="dxa"/>
            <w:bottom w:w="0" w:type="dxa"/>
            <w:right w:w="108" w:type="dxa"/>
          </w:tblCellMar>
        </w:tblPrEx>
        <w:trPr>
          <w:trHeight w:val="586" w:hRule="atLeast"/>
          <w:jc w:val="center"/>
        </w:trPr>
        <w:tc>
          <w:tcPr>
            <w:tcW w:w="5357"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403"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435" w:hRule="atLeast"/>
          <w:jc w:val="center"/>
        </w:trPr>
        <w:tc>
          <w:tcPr>
            <w:tcW w:w="5357"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left"/>
              <w:rPr>
                <w:rFonts w:ascii="宋体" w:hAnsi="宋体" w:cs="宋体"/>
                <w:kern w:val="0"/>
                <w:sz w:val="24"/>
              </w:rPr>
            </w:pPr>
            <w:r>
              <w:rPr>
                <w:rFonts w:hint="eastAsia" w:ascii="宋体" w:hAnsi="宋体" w:cs="宋体"/>
                <w:kern w:val="0"/>
                <w:sz w:val="24"/>
              </w:rPr>
              <w:t>房地产开发投资</w:t>
            </w:r>
          </w:p>
        </w:tc>
        <w:tc>
          <w:tcPr>
            <w:tcW w:w="240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-11.1 </w:t>
            </w:r>
          </w:p>
        </w:tc>
      </w:tr>
      <w:tr>
        <w:tblPrEx>
          <w:tblCellMar>
            <w:top w:w="0" w:type="dxa"/>
            <w:left w:w="108" w:type="dxa"/>
            <w:bottom w:w="0" w:type="dxa"/>
            <w:right w:w="108" w:type="dxa"/>
          </w:tblCellMar>
        </w:tblPrEx>
        <w:trPr>
          <w:trHeight w:val="435" w:hRule="atLeast"/>
          <w:jc w:val="center"/>
        </w:trPr>
        <w:tc>
          <w:tcPr>
            <w:tcW w:w="5357"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left"/>
              <w:rPr>
                <w:rFonts w:ascii="宋体" w:hAnsi="宋体" w:cs="宋体"/>
                <w:kern w:val="0"/>
                <w:sz w:val="24"/>
              </w:rPr>
            </w:pPr>
            <w:r>
              <w:rPr>
                <w:rFonts w:hint="eastAsia" w:ascii="宋体" w:hAnsi="宋体" w:cs="宋体"/>
                <w:kern w:val="0"/>
                <w:sz w:val="24"/>
              </w:rPr>
              <w:t>商品房销售面积</w:t>
            </w:r>
          </w:p>
        </w:tc>
        <w:tc>
          <w:tcPr>
            <w:tcW w:w="2403"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heme="minorEastAsia" w:hAnsiTheme="minorEastAsia" w:eastAsiaTheme="minorEastAsia" w:cstheme="minorEastAsia"/>
                <w:i w:val="0"/>
                <w:color w:val="000000"/>
                <w:kern w:val="0"/>
                <w:sz w:val="24"/>
                <w:szCs w:val="24"/>
                <w:u w:val="none"/>
                <w:lang w:val="en" w:eastAsia="zh-CN" w:bidi="ar"/>
              </w:rPr>
            </w:pPr>
            <w:r>
              <w:rPr>
                <w:rFonts w:hint="default" w:asciiTheme="minorEastAsia" w:hAnsiTheme="minorEastAsia" w:eastAsiaTheme="minorEastAsia" w:cstheme="minorEastAsia"/>
                <w:i w:val="0"/>
                <w:color w:val="000000"/>
                <w:kern w:val="0"/>
                <w:sz w:val="24"/>
                <w:szCs w:val="24"/>
                <w:u w:val="none"/>
                <w:lang w:val="en" w:eastAsia="zh-CN" w:bidi="ar"/>
              </w:rPr>
              <w:t>-7.3</w:t>
            </w:r>
          </w:p>
        </w:tc>
      </w:tr>
      <w:tr>
        <w:tblPrEx>
          <w:tblCellMar>
            <w:top w:w="0" w:type="dxa"/>
            <w:left w:w="108" w:type="dxa"/>
            <w:bottom w:w="0" w:type="dxa"/>
            <w:right w:w="108" w:type="dxa"/>
          </w:tblCellMar>
        </w:tblPrEx>
        <w:trPr>
          <w:trHeight w:val="3819" w:hRule="atLeast"/>
          <w:jc w:val="center"/>
        </w:trPr>
        <w:tc>
          <w:tcPr>
            <w:tcW w:w="7760" w:type="dxa"/>
            <w:gridSpan w:val="2"/>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辖区内有开发经营活动的全部房地产开发经营业法人单位。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纳入统计范围的房地产开发企业按照《房地产业统计报表制度》要求，通过统计数据集中采集平台上报统计数据。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3、指标解释：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r>
              <w:rPr>
                <w:rFonts w:hint="eastAsia" w:ascii="楷体_GB2312" w:hAnsi="宋体" w:eastAsia="楷体_GB2312" w:cs="宋体"/>
                <w:b w:val="0"/>
                <w:bCs w:val="0"/>
                <w:sz w:val="24"/>
              </w:rPr>
              <w:t>房地产开发投资（本年完成投资）：指各种登记注册类型的房地产开发法人单位统一开发的住宅、厂房、仓库、饭店、宾馆、度假村、写字楼、办公楼等房屋建筑物，配套的服务设施，土地开发工程（如道路、给水、排水、供电、供热、通讯、平整场地等基础设施工程）和土地购置的投资。不包括单纯的土地开发和交易活动。</w:t>
            </w:r>
          </w:p>
          <w:p>
            <w:pPr>
              <w:keepNext w:val="0"/>
              <w:keepLines w:val="0"/>
              <w:pageBreakBefore w:val="0"/>
              <w:kinsoku/>
              <w:wordWrap/>
              <w:overflowPunct/>
              <w:topLinePunct w:val="0"/>
              <w:autoSpaceDE/>
              <w:autoSpaceDN/>
              <w:bidi w:val="0"/>
              <w:adjustRightInd w:val="0"/>
              <w:snapToGrid w:val="0"/>
            </w:pPr>
            <w:r>
              <w:rPr>
                <w:rFonts w:hint="eastAsia" w:ascii="楷体_GB2312" w:hAnsi="宋体" w:eastAsia="楷体_GB2312" w:cs="宋体"/>
                <w:b w:val="0"/>
                <w:bCs w:val="0"/>
                <w:sz w:val="24"/>
              </w:rPr>
              <w:t>商品房销售面积</w:t>
            </w:r>
            <w:r>
              <w:rPr>
                <w:rFonts w:hint="eastAsia" w:ascii="楷体_GB2312" w:hAnsi="宋体" w:eastAsia="楷体_GB2312" w:cs="宋体"/>
                <w:b w:val="0"/>
                <w:bCs w:val="0"/>
                <w:sz w:val="24"/>
                <w:lang w:eastAsia="zh-CN"/>
              </w:rPr>
              <w:t>：</w:t>
            </w:r>
            <w:r>
              <w:rPr>
                <w:rFonts w:hint="eastAsia" w:ascii="楷体_GB2312" w:hAnsi="宋体" w:eastAsia="楷体_GB2312" w:cs="宋体"/>
                <w:b w:val="0"/>
                <w:bCs w:val="0"/>
                <w:sz w:val="24"/>
              </w:rPr>
              <w:t>指报告期内出售商品房屋的合同总面积(即双方签署的正式买卖合同中所确定的建筑面积)。由现房销售建筑面积和期房销售建筑面积两部分组成。</w:t>
            </w:r>
          </w:p>
          <w:p>
            <w:pPr>
              <w:keepNext w:val="0"/>
              <w:keepLines w:val="0"/>
              <w:pageBreakBefore w:val="0"/>
              <w:kinsoku/>
              <w:wordWrap/>
              <w:overflowPunct/>
              <w:topLinePunct w:val="0"/>
              <w:autoSpaceDE/>
              <w:autoSpaceDN/>
              <w:bidi w:val="0"/>
              <w:adjustRightInd w:val="0"/>
              <w:snapToGrid w:val="0"/>
            </w:pPr>
          </w:p>
          <w:p>
            <w:pPr>
              <w:keepNext w:val="0"/>
              <w:keepLines w:val="0"/>
              <w:pageBreakBefore w:val="0"/>
              <w:kinsoku/>
              <w:wordWrap/>
              <w:overflowPunct/>
              <w:topLinePunct w:val="0"/>
              <w:autoSpaceDE/>
              <w:autoSpaceDN/>
              <w:bidi w:val="0"/>
              <w:adjustRightInd w:val="0"/>
              <w:snapToGrid w:val="0"/>
            </w:pPr>
          </w:p>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both"/>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both"/>
        <w:rPr>
          <w:rFonts w:hint="eastAsia"/>
          <w:b/>
          <w:color w:val="0000FF"/>
          <w:sz w:val="36"/>
          <w:szCs w:val="36"/>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r>
        <w:rPr>
          <w:rFonts w:hint="eastAsia"/>
          <w:b/>
          <w:color w:val="0000FF"/>
          <w:sz w:val="36"/>
          <w:szCs w:val="36"/>
          <w:highlight w:val="none"/>
          <w:lang w:eastAsia="zh-CN"/>
        </w:rPr>
        <w:t>工业统计数据：2024年1-12月</w:t>
      </w:r>
      <w:r>
        <w:rPr>
          <w:rFonts w:hint="eastAsia"/>
          <w:b/>
          <w:color w:val="0000FF"/>
          <w:sz w:val="36"/>
          <w:szCs w:val="36"/>
          <w:highlight w:val="none"/>
        </w:rPr>
        <w:t>规模以上工业生产、销售情况</w:t>
      </w:r>
    </w:p>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500"/>
        <w:gridCol w:w="1717"/>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500"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134"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500"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717"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2024年1-12月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2024年1-12月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717"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2159261 </w:t>
            </w:r>
          </w:p>
        </w:tc>
        <w:tc>
          <w:tcPr>
            <w:tcW w:w="1417"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-4.7 </w:t>
            </w:r>
          </w:p>
        </w:tc>
        <w:tc>
          <w:tcPr>
            <w:tcW w:w="1833"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2079303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-5.2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13787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-50.0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13342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-49.1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13846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13990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294479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-10.0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278351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31401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-20.2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29742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-27.0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61432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6.3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51839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14269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15.4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14619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412689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-0.6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396237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52496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-25.8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57993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39628 </w:t>
            </w:r>
          </w:p>
        </w:tc>
        <w:tc>
          <w:tcPr>
            <w:tcW w:w="1417"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-16.3 </w:t>
            </w:r>
          </w:p>
        </w:tc>
        <w:tc>
          <w:tcPr>
            <w:tcW w:w="1833"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39779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173404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-19.1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167900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149967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12.9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144015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9.1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503493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-7.5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490467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195964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20.3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177795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717"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57632 </w:t>
            </w:r>
          </w:p>
        </w:tc>
        <w:tc>
          <w:tcPr>
            <w:tcW w:w="1417"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 </w:t>
            </w:r>
          </w:p>
        </w:tc>
        <w:tc>
          <w:tcPr>
            <w:tcW w:w="1833"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57486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2.6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2011年起，规模以上工业企业调整为年主营业务收入2000万元及以上的法人工业企业。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数据采集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规模以上工业总产值是</w:t>
            </w:r>
            <w:r>
              <w:rPr>
                <w:rFonts w:hint="eastAsia" w:ascii="楷体_GB2312" w:eastAsia="楷体_GB2312"/>
                <w:color w:val="000000"/>
                <w:sz w:val="24"/>
              </w:rPr>
              <w:t>指规模以上工业企业在一定时期内生产的以货币形式表现的工业最终产品和提供劳务活动的总价值量，包括生产的成品价值、对外加工费收入、自制半成品在制品期末期初差额价值三</w:t>
            </w:r>
            <w:r>
              <w:rPr>
                <w:rFonts w:hint="eastAsia" w:ascii="楷体_GB2312" w:eastAsia="楷体_GB2312"/>
                <w:bCs/>
                <w:color w:val="000000"/>
                <w:sz w:val="24"/>
              </w:rPr>
              <w:t>部分。工业销售产值指以货币形式表现的，工业企业在报告期内销售的本企业生产的工业产品或提供工业性劳务价值的总价值量。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ind w:firstLine="361" w:firstLineChars="100"/>
        <w:jc w:val="both"/>
        <w:rPr>
          <w:rFonts w:hint="eastAsia"/>
          <w:b/>
          <w:color w:val="0000FF"/>
          <w:sz w:val="36"/>
          <w:szCs w:val="36"/>
        </w:rPr>
      </w:pPr>
      <w:r>
        <w:rPr>
          <w:rFonts w:hint="eastAsia"/>
          <w:b/>
          <w:color w:val="0000FF"/>
          <w:sz w:val="36"/>
          <w:szCs w:val="36"/>
          <w:lang w:eastAsia="zh-CN"/>
        </w:rPr>
        <w:t>批发零售、住宿餐饮统计数据：2024年1-12月</w:t>
      </w:r>
      <w:r>
        <w:rPr>
          <w:rFonts w:hint="eastAsia"/>
          <w:b/>
          <w:color w:val="0000FF"/>
          <w:sz w:val="36"/>
          <w:szCs w:val="36"/>
        </w:rPr>
        <w:t>社会消费品零售总额情况</w:t>
      </w:r>
    </w:p>
    <w:tbl>
      <w:tblPr>
        <w:tblStyle w:val="6"/>
        <w:tblW w:w="11820" w:type="dxa"/>
        <w:tblInd w:w="567" w:type="dxa"/>
        <w:tblLayout w:type="fixed"/>
        <w:tblCellMar>
          <w:top w:w="0" w:type="dxa"/>
          <w:left w:w="108" w:type="dxa"/>
          <w:bottom w:w="0" w:type="dxa"/>
          <w:right w:w="108" w:type="dxa"/>
        </w:tblCellMar>
      </w:tblPr>
      <w:tblGrid>
        <w:gridCol w:w="4852"/>
        <w:gridCol w:w="3414"/>
        <w:gridCol w:w="3554"/>
      </w:tblGrid>
      <w:tr>
        <w:tblPrEx>
          <w:tblCellMar>
            <w:top w:w="0" w:type="dxa"/>
            <w:left w:w="108" w:type="dxa"/>
            <w:bottom w:w="0" w:type="dxa"/>
            <w:right w:w="108" w:type="dxa"/>
          </w:tblCellMar>
        </w:tblPrEx>
        <w:trPr>
          <w:trHeight w:val="344" w:hRule="atLeast"/>
        </w:trPr>
        <w:tc>
          <w:tcPr>
            <w:tcW w:w="485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341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宋体" w:hAnsi="宋体" w:cs="宋体"/>
                <w:kern w:val="0"/>
                <w:sz w:val="24"/>
                <w:lang w:val="en" w:eastAsia="zh-CN"/>
              </w:rPr>
            </w:pPr>
            <w:r>
              <w:rPr>
                <w:rFonts w:hint="eastAsia" w:ascii="宋体" w:hAnsi="宋体" w:cs="宋体"/>
                <w:kern w:val="0"/>
                <w:sz w:val="24"/>
                <w:lang w:eastAsia="zh-CN"/>
              </w:rPr>
              <w:t>2024年1-12月</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lang w:eastAsia="zh-CN"/>
              </w:rPr>
            </w:pPr>
            <w:r>
              <w:rPr>
                <w:rFonts w:hint="eastAsia" w:ascii="宋体" w:hAnsi="宋体" w:cs="宋体"/>
                <w:color w:val="000000"/>
                <w:kern w:val="0"/>
                <w:sz w:val="24"/>
              </w:rPr>
              <w:t>(万元)</w:t>
            </w:r>
          </w:p>
        </w:tc>
        <w:tc>
          <w:tcPr>
            <w:tcW w:w="355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社会消费品零售总额</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1696625 </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-7.1 </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按消费形态分</w:t>
            </w:r>
          </w:p>
        </w:tc>
        <w:tc>
          <w:tcPr>
            <w:tcW w:w="341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c>
          <w:tcPr>
            <w:tcW w:w="355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商品零售</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1584300 </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-7.1 </w:t>
            </w:r>
          </w:p>
        </w:tc>
      </w:tr>
      <w:tr>
        <w:tblPrEx>
          <w:tblCellMar>
            <w:top w:w="0" w:type="dxa"/>
            <w:left w:w="108" w:type="dxa"/>
            <w:bottom w:w="0" w:type="dxa"/>
            <w:right w:w="108" w:type="dxa"/>
          </w:tblCellMar>
        </w:tblPrEx>
        <w:trPr>
          <w:trHeight w:val="397" w:hRule="atLeast"/>
        </w:trPr>
        <w:tc>
          <w:tcPr>
            <w:tcW w:w="4852"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餐饮收入</w:t>
            </w:r>
          </w:p>
        </w:tc>
        <w:tc>
          <w:tcPr>
            <w:tcW w:w="3414"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112325 </w:t>
            </w:r>
          </w:p>
        </w:tc>
        <w:tc>
          <w:tcPr>
            <w:tcW w:w="3554"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-8.2 </w:t>
            </w:r>
          </w:p>
        </w:tc>
      </w:tr>
      <w:tr>
        <w:tblPrEx>
          <w:tblCellMar>
            <w:top w:w="0" w:type="dxa"/>
            <w:left w:w="108" w:type="dxa"/>
            <w:bottom w:w="0" w:type="dxa"/>
            <w:right w:w="108" w:type="dxa"/>
          </w:tblCellMar>
        </w:tblPrEx>
        <w:trPr>
          <w:trHeight w:val="1958" w:hRule="atLeast"/>
        </w:trPr>
        <w:tc>
          <w:tcPr>
            <w:tcW w:w="11820" w:type="dxa"/>
            <w:gridSpan w:val="3"/>
            <w:tcBorders>
              <w:top w:val="single" w:color="auto" w:sz="8" w:space="0"/>
              <w:left w:val="nil"/>
            </w:tcBorders>
            <w:vAlign w:val="center"/>
          </w:tcPr>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1</w:t>
            </w:r>
            <w:r>
              <w:rPr>
                <w:rFonts w:hint="eastAsia" w:ascii="楷体_GB2312" w:hAnsi="宋体" w:eastAsia="楷体_GB2312" w:cs="宋体"/>
                <w:b/>
                <w:bCs/>
                <w:color w:val="auto"/>
                <w:kern w:val="0"/>
                <w:sz w:val="24"/>
              </w:rPr>
              <w:t>、统计范围：</w:t>
            </w:r>
            <w:r>
              <w:rPr>
                <w:rFonts w:hint="eastAsia" w:ascii="楷体_GB2312" w:hAnsi="宋体" w:eastAsia="楷体_GB2312" w:cs="宋体"/>
                <w:color w:val="auto"/>
                <w:kern w:val="0"/>
                <w:sz w:val="24"/>
              </w:rPr>
              <w:t>本区地域内有消费品零售业务活动以及提供餐饮服务活动的法人单位、产业活动单位和个体经营户。</w:t>
            </w:r>
            <w:r>
              <w:rPr>
                <w:rFonts w:hint="eastAsia" w:ascii="楷体_GB2312" w:hAnsi="宋体" w:eastAsia="楷体_GB2312" w:cs="宋体"/>
                <w:color w:val="auto"/>
                <w:kern w:val="0"/>
                <w:sz w:val="24"/>
              </w:rPr>
              <w:br w:type="textWrapping"/>
            </w:r>
            <w:r>
              <w:rPr>
                <w:rFonts w:hint="eastAsia" w:ascii="楷体_GB2312" w:hAnsi="宋体" w:eastAsia="楷体_GB2312" w:cs="宋体"/>
                <w:b/>
                <w:bCs/>
                <w:color w:val="auto"/>
                <w:kern w:val="0"/>
                <w:sz w:val="24"/>
                <w:lang w:val="en-US" w:eastAsia="zh-CN"/>
              </w:rPr>
              <w:t>2</w:t>
            </w:r>
            <w:r>
              <w:rPr>
                <w:rFonts w:hint="eastAsia" w:ascii="楷体_GB2312" w:hAnsi="宋体" w:eastAsia="楷体_GB2312" w:cs="宋体"/>
                <w:b/>
                <w:bCs/>
                <w:color w:val="auto"/>
                <w:kern w:val="0"/>
                <w:sz w:val="24"/>
              </w:rPr>
              <w:t>、采集渠道：</w:t>
            </w:r>
            <w:r>
              <w:rPr>
                <w:rFonts w:hint="eastAsia" w:ascii="楷体_GB2312" w:hAnsi="宋体" w:eastAsia="楷体_GB2312" w:cs="宋体"/>
                <w:color w:val="auto"/>
                <w:kern w:val="0"/>
                <w:sz w:val="24"/>
              </w:rPr>
              <w:t>按照《批发和零售业统计报表制度》、《住宿和餐饮业统计报表制度》要求: ①限额以上批发和零售业、住宿和餐饮业法人单位、产业活动单位和个体经营户[1]通过联网直报系统上报统计数据；②限额以下批发和零售业、住宿和餐饮业法人单位、产业活动单位和个体经营户通过抽样调查获取数据，</w:t>
            </w:r>
            <w:r>
              <w:rPr>
                <w:rFonts w:hint="eastAsia" w:ascii="楷体_GB2312" w:hAnsi="宋体" w:eastAsia="楷体_GB2312" w:cs="宋体"/>
                <w:color w:val="auto"/>
                <w:kern w:val="0"/>
                <w:sz w:val="24"/>
                <w:lang w:eastAsia="zh-CN"/>
              </w:rPr>
              <w:t>进而</w:t>
            </w:r>
            <w:r>
              <w:rPr>
                <w:rFonts w:hint="eastAsia" w:ascii="楷体_GB2312" w:hAnsi="宋体" w:eastAsia="楷体_GB2312" w:cs="宋体"/>
                <w:color w:val="auto"/>
                <w:kern w:val="0"/>
                <w:sz w:val="24"/>
              </w:rPr>
              <w:t>推算总体。</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3</w:t>
            </w:r>
            <w:r>
              <w:rPr>
                <w:rFonts w:hint="eastAsia" w:ascii="楷体_GB2312" w:hAnsi="宋体" w:eastAsia="楷体_GB2312" w:cs="宋体"/>
                <w:b/>
                <w:bCs/>
                <w:color w:val="auto"/>
                <w:kern w:val="0"/>
                <w:sz w:val="24"/>
              </w:rPr>
              <w:t>、主要统计指标解释：</w:t>
            </w:r>
            <w:r>
              <w:rPr>
                <w:rFonts w:hint="eastAsia" w:ascii="楷体_GB2312" w:hAnsi="宋体" w:eastAsia="楷体_GB2312" w:cs="宋体"/>
                <w:color w:val="auto"/>
                <w:kern w:val="0"/>
                <w:sz w:val="24"/>
              </w:rPr>
              <w:t>社会消费品零售总额：指企业（单位、个体户）通过交易直接售给个人、社会集团用于非生产、非经营用的实物商品金额，以及提供餐饮服务所取得的收入金额。</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default" w:ascii="楷体_GB2312" w:hAnsi="宋体" w:eastAsia="楷体_GB2312" w:cs="宋体"/>
                <w:color w:val="auto"/>
                <w:kern w:val="0"/>
                <w:sz w:val="24"/>
              </w:rPr>
            </w:pPr>
            <w:r>
              <w:rPr>
                <w:rFonts w:hint="eastAsia" w:ascii="楷体_GB2312" w:hAnsi="宋体" w:eastAsia="楷体_GB2312" w:cs="宋体"/>
                <w:color w:val="auto"/>
                <w:kern w:val="0"/>
                <w:sz w:val="24"/>
              </w:rPr>
              <w:t>[1]</w:t>
            </w:r>
            <w:r>
              <w:rPr>
                <w:rFonts w:hint="default" w:ascii="楷体_GB2312" w:hAnsi="宋体" w:eastAsia="楷体_GB2312" w:cs="宋体"/>
                <w:color w:val="auto"/>
                <w:kern w:val="0"/>
                <w:sz w:val="24"/>
              </w:rPr>
              <w:t>批发和零售业、住宿和餐饮业统计限额标准：①批发业：年主营业务收入2000万元及以上；②零售业：年主营业务收入500万元及以上；③住宿业：年主营业务收入200万元及以上；④餐饮业：年主营业务收入200万元及以上。</w:t>
            </w:r>
          </w:p>
          <w:p>
            <w:pPr>
              <w:keepNext w:val="0"/>
              <w:keepLines w:val="0"/>
              <w:pageBreakBefore w:val="0"/>
              <w:kinsoku/>
              <w:wordWrap/>
              <w:overflowPunct/>
              <w:topLinePunct w:val="0"/>
              <w:autoSpaceDE/>
              <w:autoSpaceDN/>
              <w:bidi w:val="0"/>
              <w:adjustRightInd w:val="0"/>
              <w:snapToGrid w:val="0"/>
            </w:pPr>
          </w:p>
          <w:p>
            <w:pPr>
              <w:keepNext w:val="0"/>
              <w:keepLines w:val="0"/>
              <w:pageBreakBefore w:val="0"/>
              <w:numPr>
                <w:ilvl w:val="0"/>
                <w:numId w:val="0"/>
              </w:numPr>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eastAsia="zh-CN"/>
        </w:rPr>
      </w:pPr>
      <w:r>
        <w:rPr>
          <w:rFonts w:hint="eastAsia"/>
          <w:b/>
          <w:color w:val="0000FF"/>
          <w:sz w:val="36"/>
          <w:szCs w:val="36"/>
          <w:highlight w:val="none"/>
          <w:lang w:val="en-US" w:eastAsia="zh-CN"/>
        </w:rPr>
        <w:t>GDP核算数据：</w:t>
      </w:r>
      <w:r>
        <w:rPr>
          <w:rFonts w:hint="eastAsia"/>
          <w:b/>
          <w:color w:val="0000FF"/>
          <w:sz w:val="36"/>
          <w:szCs w:val="36"/>
          <w:highlight w:val="none"/>
          <w:lang w:eastAsia="zh-CN"/>
        </w:rPr>
        <w:t>2024年1-4季度</w:t>
      </w:r>
      <w:r>
        <w:rPr>
          <w:rFonts w:hint="eastAsia"/>
          <w:b/>
          <w:color w:val="0000FF"/>
          <w:sz w:val="36"/>
          <w:szCs w:val="36"/>
          <w:highlight w:val="none"/>
        </w:rPr>
        <w:t>地区生产总值</w:t>
      </w:r>
      <w:r>
        <w:rPr>
          <w:rFonts w:hint="eastAsia"/>
          <w:b/>
          <w:color w:val="0000FF"/>
          <w:sz w:val="36"/>
          <w:szCs w:val="36"/>
          <w:highlight w:val="none"/>
          <w:lang w:eastAsia="zh-CN"/>
        </w:rPr>
        <w:t>情况</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108"/>
        <w:gridCol w:w="3535"/>
        <w:gridCol w:w="3466"/>
        <w:gridCol w:w="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715" w:hRule="atLeast"/>
        </w:trPr>
        <w:tc>
          <w:tcPr>
            <w:tcW w:w="2302" w:type="pct"/>
            <w:tcBorders>
              <w:top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项  目</w:t>
            </w:r>
          </w:p>
        </w:tc>
        <w:tc>
          <w:tcPr>
            <w:tcW w:w="1332" w:type="pct"/>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lang w:eastAsia="zh-CN"/>
              </w:rPr>
              <w:t>2024年1-4季度</w:t>
            </w:r>
          </w:p>
        </w:tc>
        <w:tc>
          <w:tcPr>
            <w:tcW w:w="1306" w:type="pct"/>
            <w:tcBorders>
              <w:top w:val="single" w:color="000000" w:sz="12"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single" w:color="000000" w:sz="4" w:space="0"/>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地区生产总值（万元）</w:t>
            </w:r>
          </w:p>
        </w:tc>
        <w:tc>
          <w:tcPr>
            <w:tcW w:w="3535" w:type="dxa"/>
            <w:tcBorders>
              <w:top w:val="single" w:color="000000" w:sz="4" w:space="0"/>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kern w:val="0"/>
                <w:sz w:val="24"/>
                <w:lang w:val="en-US" w:eastAsia="zh-CN"/>
              </w:rPr>
            </w:pPr>
            <w:r>
              <w:rPr>
                <w:rFonts w:hint="eastAsia" w:ascii="宋体" w:hAnsi="宋体" w:eastAsia="宋体" w:cs="宋体"/>
                <w:b/>
                <w:i w:val="0"/>
                <w:color w:val="000000"/>
                <w:kern w:val="0"/>
                <w:sz w:val="22"/>
                <w:szCs w:val="22"/>
                <w:u w:val="none"/>
                <w:lang w:val="en-US" w:eastAsia="zh-CN" w:bidi="ar"/>
              </w:rPr>
              <w:t xml:space="preserve">4571078 </w:t>
            </w:r>
          </w:p>
        </w:tc>
        <w:tc>
          <w:tcPr>
            <w:tcW w:w="3466" w:type="dxa"/>
            <w:tcBorders>
              <w:top w:val="single" w:color="000000" w:sz="4" w:space="0"/>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kern w:val="0"/>
                <w:sz w:val="24"/>
                <w:lang w:val="en-US" w:eastAsia="zh-CN"/>
              </w:rPr>
            </w:pPr>
            <w:r>
              <w:rPr>
                <w:rFonts w:hint="eastAsia" w:ascii="宋体" w:hAnsi="宋体" w:eastAsia="宋体" w:cs="宋体"/>
                <w:b/>
                <w:i w:val="0"/>
                <w:color w:val="000000"/>
                <w:kern w:val="0"/>
                <w:sz w:val="22"/>
                <w:szCs w:val="22"/>
                <w:u w:val="none"/>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按产业分</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kern w:val="0"/>
                <w:sz w:val="24"/>
                <w:szCs w:val="24"/>
              </w:rPr>
            </w:pPr>
          </w:p>
        </w:tc>
        <w:tc>
          <w:tcPr>
            <w:tcW w:w="3466" w:type="dxa"/>
            <w:tcBorders>
              <w:top w:val="nil"/>
              <w:left w:val="single" w:color="000000" w:sz="6" w:space="0"/>
              <w:bottom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第一产业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146344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第二产业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1007054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第三产业</w:t>
            </w:r>
          </w:p>
        </w:tc>
        <w:tc>
          <w:tcPr>
            <w:tcW w:w="3535" w:type="dxa"/>
            <w:tcBorders>
              <w:top w:val="nil"/>
              <w:left w:val="single" w:color="000000" w:sz="6" w:space="0"/>
              <w:bottom w:val="single" w:color="000000" w:sz="12"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3417680 </w:t>
            </w:r>
          </w:p>
        </w:tc>
        <w:tc>
          <w:tcPr>
            <w:tcW w:w="3466" w:type="dxa"/>
            <w:tcBorders>
              <w:top w:val="nil"/>
              <w:left w:val="single" w:color="000000" w:sz="6" w:space="0"/>
              <w:bottom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gridSpan w:val="4"/>
            <w:tcBorders>
              <w:top w:val="single" w:color="000000" w:sz="12" w:space="0"/>
              <w:bottom w:val="nil"/>
            </w:tcBorders>
            <w:vAlign w:val="center"/>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ind w:left="0" w:right="0"/>
              <w:outlineLvl w:val="9"/>
              <w:rPr>
                <w:b w:val="0"/>
                <w:bCs w:val="0"/>
              </w:rPr>
            </w:pPr>
            <w:r>
              <w:rPr>
                <w:rFonts w:hint="eastAsia" w:ascii="楷体_GB2312" w:hAnsi="宋体" w:eastAsia="楷体_GB2312" w:cs="宋体"/>
                <w:b w:val="0"/>
                <w:bCs w:val="0"/>
                <w:sz w:val="24"/>
                <w:lang w:eastAsia="zh-CN"/>
              </w:rPr>
              <w:t>地区生产总值数据由北京市统计局统一核算反馈，增加值绝对额以现价计算，增速以不变价计算，表中数据未做机械调整。产业划分依据国家统计局2018年修订的《三次产业划分规定》（国统设管函〔2018〕74号），行业分类采用《国民经济行业分类（GB/T4754 - 2017）》。根据我国国民经济核算制度和第五次全国经济普查结果，</w:t>
            </w:r>
            <w:r>
              <w:rPr>
                <w:rFonts w:hint="eastAsia" w:ascii="楷体_GB2312" w:hAnsi="宋体" w:eastAsia="楷体_GB2312" w:cs="宋体"/>
                <w:b w:val="0"/>
                <w:bCs w:val="0"/>
                <w:sz w:val="24"/>
                <w:lang w:val="en-US" w:eastAsia="zh-CN"/>
              </w:rPr>
              <w:t>2023年密云区地区生产总值修订为437.2亿元。</w:t>
            </w:r>
          </w:p>
          <w:p>
            <w:pPr>
              <w:pStyle w:val="5"/>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ind w:left="0" w:right="0"/>
              <w:outlineLvl w:val="9"/>
              <w:rPr>
                <w:b w:val="0"/>
                <w:bCs w:val="0"/>
              </w:rPr>
            </w:pPr>
            <w:r>
              <w:rPr>
                <w:rFonts w:hint="eastAsia" w:ascii="楷体_GB2312" w:hAnsi="宋体" w:eastAsia="楷体_GB2312" w:cs="宋体"/>
                <w:b/>
                <w:bCs/>
                <w:sz w:val="24"/>
              </w:rPr>
              <w:t>统计范围：</w:t>
            </w:r>
            <w:r>
              <w:rPr>
                <w:rFonts w:hint="eastAsia" w:ascii="楷体_GB2312" w:hAnsi="宋体" w:eastAsia="楷体_GB2312" w:cs="宋体"/>
                <w:b w:val="0"/>
                <w:bCs w:val="0"/>
                <w:sz w:val="24"/>
              </w:rPr>
              <w:t>所有在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经济领土内部具有经济利益</w:t>
            </w:r>
            <w:r>
              <w:rPr>
                <w:rFonts w:hint="eastAsia" w:ascii="楷体_GB2312" w:hAnsi="宋体" w:eastAsia="楷体_GB2312" w:cs="宋体"/>
                <w:b w:val="0"/>
                <w:bCs w:val="0"/>
                <w:sz w:val="24"/>
                <w:highlight w:val="none"/>
              </w:rPr>
              <w:t>中心的经济单位都应该纳入地</w:t>
            </w:r>
            <w:r>
              <w:rPr>
                <w:rFonts w:hint="eastAsia" w:ascii="楷体_GB2312" w:hAnsi="宋体" w:eastAsia="楷体_GB2312" w:cs="宋体"/>
                <w:b w:val="0"/>
                <w:bCs w:val="0"/>
                <w:sz w:val="24"/>
              </w:rPr>
              <w:t>区生产总值（GDP）统计范围，即在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经济领土内拥有一定的活动场所，从事一定规模的经济活动，并超过一定时期的经济单位创造的最终产品和服务的价值。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rPr>
            </w:pPr>
            <w:r>
              <w:rPr>
                <w:rFonts w:hint="eastAsia" w:ascii="楷体_GB2312" w:hAnsi="宋体" w:eastAsia="楷体_GB2312" w:cs="宋体"/>
                <w:b/>
                <w:sz w:val="24"/>
              </w:rPr>
              <w:t>3</w:t>
            </w:r>
            <w:r>
              <w:rPr>
                <w:rFonts w:hint="eastAsia" w:ascii="楷体_GB2312" w:hAnsi="宋体" w:eastAsia="楷体_GB2312" w:cs="宋体"/>
                <w:b/>
                <w:bCs/>
                <w:sz w:val="24"/>
              </w:rPr>
              <w:t>、</w:t>
            </w:r>
            <w:r>
              <w:rPr>
                <w:rFonts w:hint="eastAsia" w:ascii="楷体_GB2312" w:hAnsi="宋体" w:eastAsia="楷体_GB2312" w:cs="宋体"/>
                <w:b/>
                <w:bCs/>
                <w:sz w:val="24"/>
                <w:lang w:eastAsia="zh-CN"/>
              </w:rPr>
              <w:t>核算方式</w:t>
            </w:r>
            <w:r>
              <w:rPr>
                <w:rFonts w:hint="eastAsia" w:ascii="楷体_GB2312" w:hAnsi="宋体" w:eastAsia="楷体_GB2312" w:cs="宋体"/>
                <w:bCs/>
                <w:sz w:val="24"/>
              </w:rPr>
              <w:t>：</w:t>
            </w:r>
            <w:r>
              <w:rPr>
                <w:rFonts w:hint="eastAsia" w:ascii="楷体_GB2312" w:hAnsi="宋体" w:eastAsia="楷体_GB2312" w:cs="宋体"/>
                <w:b w:val="0"/>
                <w:bCs w:val="0"/>
                <w:sz w:val="24"/>
              </w:rPr>
              <w:t>根据《北京市人民政府办公厅转发市统计局关于改进地区生产总值核算工作意见的通知》（京政办发[2005]5号）要求，由北京市统计局统一核算各区地区生产总值。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lang w:eastAsia="zh-CN"/>
              </w:rPr>
            </w:pPr>
            <w:r>
              <w:rPr>
                <w:rFonts w:hint="eastAsia" w:ascii="楷体_GB2312" w:hAnsi="宋体" w:eastAsia="楷体_GB2312" w:cs="宋体"/>
                <w:b/>
                <w:sz w:val="24"/>
                <w:lang w:val="en-US" w:eastAsia="zh-CN"/>
              </w:rPr>
              <w:t>4、</w:t>
            </w:r>
            <w:r>
              <w:rPr>
                <w:rFonts w:hint="eastAsia" w:ascii="楷体_GB2312" w:hAnsi="宋体" w:eastAsia="楷体_GB2312" w:cs="宋体"/>
                <w:b/>
                <w:bCs/>
                <w:sz w:val="24"/>
              </w:rPr>
              <w:t>主要统计指标解释</w:t>
            </w:r>
            <w:r>
              <w:rPr>
                <w:rFonts w:hint="eastAsia" w:ascii="楷体_GB2312" w:hAnsi="宋体" w:eastAsia="楷体_GB2312" w:cs="宋体"/>
                <w:bCs/>
                <w:sz w:val="24"/>
              </w:rPr>
              <w:t>：</w:t>
            </w:r>
            <w:r>
              <w:rPr>
                <w:rFonts w:hint="eastAsia" w:ascii="楷体_GB2312" w:hAnsi="宋体" w:eastAsia="楷体_GB2312" w:cs="宋体"/>
                <w:b w:val="0"/>
                <w:bCs w:val="0"/>
                <w:sz w:val="24"/>
              </w:rPr>
              <w:t>地区生产总值（Gross Domestic Product，简称GDP）：是一个地区的所有常住单位在一定时期内所生产的全部最终产品和服务的价值总和，是反映经济总体状况的重要指标。地区生产总值</w:t>
            </w:r>
            <w:r>
              <w:rPr>
                <w:rFonts w:hint="eastAsia" w:ascii="楷体_GB2312" w:hAnsi="宋体" w:eastAsia="楷体_GB2312" w:cs="宋体"/>
                <w:b w:val="0"/>
                <w:bCs w:val="0"/>
                <w:sz w:val="24"/>
                <w:lang w:eastAsia="zh-CN"/>
              </w:rPr>
              <w:t>按现价计算，增速按可比价计算。</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pPr>
            <w:r>
              <w:rPr>
                <w:rFonts w:hint="eastAsia" w:ascii="楷体_GB2312" w:hAnsi="宋体" w:eastAsia="楷体_GB2312" w:cs="宋体"/>
                <w:b/>
                <w:sz w:val="24"/>
                <w:lang w:val="en-US" w:eastAsia="zh-CN"/>
              </w:rPr>
              <w:t>5、</w:t>
            </w:r>
            <w:r>
              <w:rPr>
                <w:rFonts w:hint="eastAsia" w:ascii="楷体_GB2312" w:hAnsi="宋体" w:eastAsia="楷体_GB2312" w:cs="宋体"/>
                <w:b w:val="0"/>
                <w:bCs w:val="0"/>
                <w:sz w:val="24"/>
                <w:lang w:val="en-US" w:eastAsia="zh-CN"/>
              </w:rPr>
              <w:t>按照我国地区生产总值统一核算和数据发布制度规定，地区生产总值核算包括初步核算和最终核实两个步骤。</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lang w:val="en-US" w:eastAsia="zh-CN"/>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农业统计数据：2024年1-4季度</w:t>
      </w:r>
      <w:r>
        <w:rPr>
          <w:rFonts w:hint="eastAsia"/>
          <w:b/>
          <w:color w:val="0000FF"/>
          <w:sz w:val="36"/>
          <w:szCs w:val="36"/>
        </w:rPr>
        <w:t>农林牧渔业生产情况</w:t>
      </w:r>
    </w:p>
    <w:tbl>
      <w:tblPr>
        <w:tblStyle w:val="6"/>
        <w:tblW w:w="13454" w:type="dxa"/>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523"/>
        <w:gridCol w:w="2886"/>
        <w:gridCol w:w="2568"/>
        <w:gridCol w:w="2477"/>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16" w:hRule="exact"/>
          <w:jc w:val="center"/>
        </w:trPr>
        <w:tc>
          <w:tcPr>
            <w:tcW w:w="552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288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lang w:eastAsia="zh-CN"/>
              </w:rPr>
              <w:t>2024年1-4季度</w:t>
            </w:r>
          </w:p>
        </w:tc>
        <w:tc>
          <w:tcPr>
            <w:tcW w:w="256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b/>
                <w:bCs/>
                <w:kern w:val="0"/>
                <w:sz w:val="24"/>
                <w:highlight w:val="none"/>
              </w:rPr>
            </w:pPr>
            <w:r>
              <w:rPr>
                <w:rFonts w:hint="eastAsia" w:ascii="宋体" w:hAnsi="宋体" w:cs="宋体"/>
                <w:kern w:val="0"/>
                <w:sz w:val="24"/>
                <w:lang w:eastAsia="zh-CN"/>
              </w:rPr>
              <w:t>2024年1-3季度</w:t>
            </w:r>
          </w:p>
        </w:tc>
        <w:tc>
          <w:tcPr>
            <w:tcW w:w="2477"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outlineLvl w:val="9"/>
              <w:rPr>
                <w:rFonts w:ascii="宋体" w:hAnsi="宋体" w:cs="宋体"/>
                <w:b/>
                <w:kern w:val="0"/>
                <w:sz w:val="24"/>
              </w:rPr>
            </w:pPr>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86"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320669 </w:t>
            </w:r>
          </w:p>
        </w:tc>
        <w:tc>
          <w:tcPr>
            <w:tcW w:w="2568"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335322 </w:t>
            </w:r>
          </w:p>
        </w:tc>
        <w:tc>
          <w:tcPr>
            <w:tcW w:w="2477"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-4.4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240" w:firstLineChars="100"/>
              <w:jc w:val="left"/>
              <w:outlineLvl w:val="9"/>
              <w:rPr>
                <w:rFonts w:ascii="宋体" w:hAnsi="宋体" w:cs="宋体"/>
                <w:kern w:val="0"/>
                <w:sz w:val="24"/>
              </w:rPr>
            </w:pPr>
            <w:r>
              <w:rPr>
                <w:rFonts w:hint="eastAsia" w:ascii="宋体" w:hAnsi="宋体" w:cs="宋体"/>
                <w:kern w:val="0"/>
                <w:sz w:val="24"/>
              </w:rPr>
              <w:t>农业产值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185787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166232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11.8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rPr>
              <w:t xml:space="preserve">  林业产值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4"/>
                <w:szCs w:val="24"/>
                <w:u w:val="none"/>
                <w:lang w:val="en-US" w:eastAsia="zh-CN" w:bidi="ar"/>
              </w:rPr>
              <w:t xml:space="preserve">52523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91226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-42.4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62272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60701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2.6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8054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6488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24.1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农林牧渔</w:t>
            </w:r>
            <w:r>
              <w:rPr>
                <w:rFonts w:hint="eastAsia" w:ascii="宋体" w:hAnsi="宋体" w:cs="宋体"/>
                <w:kern w:val="0"/>
                <w:sz w:val="24"/>
                <w:lang w:eastAsia="zh-CN"/>
              </w:rPr>
              <w:t>专业及辅助性活动产值</w:t>
            </w:r>
            <w:r>
              <w:rPr>
                <w:rFonts w:hint="eastAsia" w:ascii="宋体" w:hAnsi="宋体" w:cs="宋体"/>
                <w:kern w:val="0"/>
                <w:sz w:val="24"/>
              </w:rPr>
              <w:t xml:space="preserve"> </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12033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10676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szCs w:val="24"/>
                <w:lang w:val="en-US"/>
              </w:rPr>
            </w:pPr>
            <w:r>
              <w:rPr>
                <w:rFonts w:hint="eastAsia" w:ascii="宋体" w:hAnsi="宋体" w:eastAsia="宋体" w:cs="宋体"/>
                <w:i w:val="0"/>
                <w:color w:val="000000"/>
                <w:kern w:val="0"/>
                <w:sz w:val="24"/>
                <w:szCs w:val="24"/>
                <w:u w:val="none"/>
                <w:lang w:val="en-US" w:eastAsia="zh-CN" w:bidi="ar"/>
              </w:rPr>
              <w:t xml:space="preserve">12.7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30" w:hRule="exact"/>
          <w:jc w:val="center"/>
        </w:trPr>
        <w:tc>
          <w:tcPr>
            <w:tcW w:w="13454" w:type="dxa"/>
            <w:gridSpan w:val="4"/>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Cs/>
                <w:sz w:val="24"/>
                <w:szCs w:val="24"/>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：农林牧渔业单位</w:t>
            </w:r>
            <w:r>
              <w:rPr>
                <w:rFonts w:hint="eastAsia" w:ascii="楷体_GB2312" w:hAnsi="宋体" w:eastAsia="楷体_GB2312" w:cs="宋体"/>
                <w:sz w:val="24"/>
                <w:szCs w:val="24"/>
                <w:lang w:eastAsia="zh-CN"/>
              </w:rPr>
              <w:t>及农户</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按照《郊区统计报表制度》的规定，由乡镇、区、到市级，逐级</w:t>
            </w:r>
            <w:r>
              <w:rPr>
                <w:rFonts w:hint="eastAsia" w:ascii="楷体_GB2312" w:hAnsi="宋体" w:eastAsia="楷体_GB2312" w:cs="宋体"/>
                <w:sz w:val="24"/>
                <w:szCs w:val="24"/>
                <w:lang w:eastAsia="zh-CN"/>
              </w:rPr>
              <w:t>核算</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w:t>
            </w:r>
            <w:r>
              <w:rPr>
                <w:rFonts w:hint="eastAsia" w:ascii="楷体_GB2312" w:hAnsi="宋体" w:eastAsia="楷体_GB2312" w:cs="宋体"/>
                <w:bCs/>
                <w:sz w:val="24"/>
                <w:szCs w:val="24"/>
                <w:lang w:eastAsia="zh-CN"/>
              </w:rPr>
              <w:t>：指</w:t>
            </w:r>
            <w:r>
              <w:rPr>
                <w:rFonts w:hint="eastAsia" w:ascii="楷体_GB2312" w:hAnsi="宋体" w:eastAsia="楷体_GB2312" w:cs="宋体"/>
                <w:bCs/>
                <w:sz w:val="24"/>
                <w:szCs w:val="24"/>
              </w:rPr>
              <w:t>以货币表现的农林牧渔业的全部产品总量和对农林牧渔业生产活动进行的各种支持性服务活动的价值。</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jc w:val="both"/>
              <w:outlineLvl w:val="9"/>
              <w:rPr>
                <w:rFonts w:hint="eastAsia" w:ascii="楷体_GB2312" w:hAnsi="宋体" w:eastAsia="楷体_GB2312" w:cs="宋体"/>
                <w:sz w:val="21"/>
                <w:szCs w:val="21"/>
              </w:rPr>
            </w:pPr>
          </w:p>
        </w:tc>
      </w:tr>
    </w:tbl>
    <w:p>
      <w:pPr>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农业统计数据：2024年1-4季</w:t>
      </w:r>
      <w:r>
        <w:rPr>
          <w:rFonts w:hint="default"/>
          <w:b/>
          <w:color w:val="0000FF"/>
          <w:sz w:val="36"/>
          <w:szCs w:val="36"/>
          <w:lang w:val="en" w:eastAsia="zh-CN"/>
        </w:rPr>
        <w:t>度</w:t>
      </w:r>
      <w:r>
        <w:rPr>
          <w:rFonts w:hint="eastAsia" w:cs="Times New Roman"/>
          <w:b/>
          <w:color w:val="0000FF"/>
          <w:kern w:val="2"/>
          <w:sz w:val="36"/>
          <w:szCs w:val="36"/>
          <w:lang w:eastAsia="zh-CN"/>
        </w:rPr>
        <w:t>乡村休闲旅游经营</w:t>
      </w:r>
      <w:r>
        <w:rPr>
          <w:rFonts w:hint="eastAsia"/>
          <w:b/>
          <w:color w:val="0000FF"/>
          <w:sz w:val="36"/>
          <w:szCs w:val="36"/>
        </w:rPr>
        <w:t>情况</w:t>
      </w:r>
    </w:p>
    <w:tbl>
      <w:tblPr>
        <w:tblStyle w:val="6"/>
        <w:tblW w:w="4998" w:type="pct"/>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5234"/>
        <w:gridCol w:w="4080"/>
        <w:gridCol w:w="4135"/>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40" w:hRule="exact"/>
          <w:jc w:val="center"/>
        </w:trPr>
        <w:tc>
          <w:tcPr>
            <w:tcW w:w="1946"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1517"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highlight w:val="none"/>
                <w:lang w:val="en"/>
              </w:rPr>
            </w:pPr>
            <w:r>
              <w:rPr>
                <w:rFonts w:hint="eastAsia" w:ascii="宋体" w:hAnsi="宋体" w:cs="宋体"/>
                <w:kern w:val="0"/>
                <w:sz w:val="24"/>
                <w:highlight w:val="none"/>
                <w:lang w:eastAsia="zh-CN"/>
              </w:rPr>
              <w:t>2024年1-4季</w:t>
            </w:r>
            <w:r>
              <w:rPr>
                <w:rFonts w:hint="default" w:ascii="宋体" w:hAnsi="宋体" w:cs="宋体"/>
                <w:kern w:val="0"/>
                <w:sz w:val="24"/>
                <w:highlight w:val="none"/>
                <w:lang w:val="en" w:eastAsia="zh-CN"/>
              </w:rPr>
              <w:t>度</w:t>
            </w:r>
          </w:p>
        </w:tc>
        <w:tc>
          <w:tcPr>
            <w:tcW w:w="1535"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highlight w:val="none"/>
                <w:lang w:eastAsia="zh-CN"/>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2" w:hRule="exact"/>
          <w:jc w:val="center"/>
        </w:trPr>
        <w:tc>
          <w:tcPr>
            <w:tcW w:w="194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outlineLvl w:val="9"/>
              <w:rPr>
                <w:rFonts w:hint="eastAsia" w:ascii="宋体" w:hAnsi="宋体" w:cs="宋体"/>
                <w:kern w:val="0"/>
                <w:sz w:val="24"/>
                <w:lang w:val="en-US" w:eastAsia="zh-CN"/>
              </w:rPr>
            </w:pPr>
            <w:r>
              <w:rPr>
                <w:rFonts w:hint="eastAsia" w:ascii="宋体" w:hAnsi="宋体" w:eastAsia="宋体" w:cs="宋体"/>
                <w:b w:val="0"/>
                <w:bCs/>
                <w:i w:val="0"/>
                <w:color w:val="000000"/>
                <w:kern w:val="0"/>
                <w:sz w:val="24"/>
                <w:szCs w:val="24"/>
                <w:u w:val="none"/>
                <w:lang w:val="en-US" w:eastAsia="zh-CN" w:bidi="ar-SA"/>
              </w:rPr>
              <w:t xml:space="preserve">  </w:t>
            </w:r>
            <w:r>
              <w:rPr>
                <w:rFonts w:hint="eastAsia" w:asciiTheme="minorEastAsia" w:hAnsiTheme="minorEastAsia" w:eastAsiaTheme="minorEastAsia" w:cstheme="minorEastAsia"/>
                <w:b w:val="0"/>
                <w:bCs/>
                <w:i w:val="0"/>
                <w:color w:val="000000"/>
                <w:kern w:val="0"/>
                <w:sz w:val="24"/>
                <w:szCs w:val="24"/>
                <w:u w:val="none"/>
                <w:lang w:val="en-US" w:eastAsia="zh-CN" w:bidi="ar-SA"/>
              </w:rPr>
              <w:t>总收入（万元</w:t>
            </w:r>
            <w:r>
              <w:rPr>
                <w:rFonts w:hint="eastAsia" w:asciiTheme="minorEastAsia" w:hAnsiTheme="minorEastAsia" w:eastAsiaTheme="minorEastAsia" w:cstheme="minorEastAsia"/>
                <w:kern w:val="0"/>
                <w:sz w:val="24"/>
                <w:lang w:val="en-US" w:eastAsia="zh-CN"/>
              </w:rPr>
              <w:t>）</w:t>
            </w:r>
          </w:p>
        </w:tc>
        <w:tc>
          <w:tcPr>
            <w:tcW w:w="4080"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84191.7 </w:t>
            </w:r>
          </w:p>
        </w:tc>
        <w:tc>
          <w:tcPr>
            <w:tcW w:w="4135" w:type="dxa"/>
            <w:tcBorders>
              <w:tl2br w:val="nil"/>
              <w:tr2bl w:val="nil"/>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0.2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56" w:hRule="exact"/>
          <w:jc w:val="center"/>
        </w:trPr>
        <w:tc>
          <w:tcPr>
            <w:tcW w:w="1946" w:type="pct"/>
            <w:tcBorders>
              <w:bottom w:val="single" w:color="auto" w:sz="12" w:space="0"/>
            </w:tcBorders>
            <w:vAlign w:val="center"/>
          </w:tcPr>
          <w:p>
            <w:pPr>
              <w:jc w:val="both"/>
              <w:rPr>
                <w:rFonts w:hint="default" w:eastAsia="宋体"/>
                <w:lang w:val="en-US" w:eastAsia="zh-CN"/>
              </w:rPr>
            </w:pPr>
            <w:r>
              <w:rPr>
                <w:rFonts w:hint="eastAsia"/>
                <w:lang w:val="en-US" w:eastAsia="zh-CN"/>
              </w:rPr>
              <w:t xml:space="preserve">  </w:t>
            </w:r>
            <w:r>
              <w:rPr>
                <w:rFonts w:hint="eastAsia" w:asciiTheme="minorEastAsia" w:hAnsiTheme="minorEastAsia" w:eastAsiaTheme="minorEastAsia" w:cstheme="minorEastAsia"/>
                <w:b w:val="0"/>
                <w:bCs/>
                <w:i w:val="0"/>
                <w:color w:val="000000"/>
                <w:kern w:val="0"/>
                <w:sz w:val="24"/>
                <w:szCs w:val="24"/>
                <w:u w:val="none"/>
                <w:lang w:val="en-US" w:eastAsia="zh-CN" w:bidi="ar-SA"/>
              </w:rPr>
              <w:t>接待人次（万人次）</w:t>
            </w:r>
          </w:p>
        </w:tc>
        <w:tc>
          <w:tcPr>
            <w:tcW w:w="4080" w:type="dxa"/>
            <w:tcBorders>
              <w:bottom w:val="single" w:color="auto" w:sz="12" w:space="0"/>
            </w:tcBorders>
            <w:vAlign w:val="center"/>
          </w:tcPr>
          <w:p>
            <w:pPr>
              <w:keepNext w:val="0"/>
              <w:keepLines w:val="0"/>
              <w:widowControl/>
              <w:suppressLineNumbers w:val="0"/>
              <w:jc w:val="right"/>
              <w:textAlignment w:val="center"/>
              <w:rPr>
                <w:sz w:val="24"/>
                <w:szCs w:val="24"/>
              </w:rPr>
            </w:pPr>
            <w:r>
              <w:rPr>
                <w:rFonts w:hint="eastAsia" w:ascii="宋体" w:hAnsi="宋体" w:eastAsia="宋体" w:cs="宋体"/>
                <w:i w:val="0"/>
                <w:color w:val="000000"/>
                <w:kern w:val="0"/>
                <w:sz w:val="24"/>
                <w:szCs w:val="24"/>
                <w:u w:val="none"/>
                <w:lang w:val="en-US" w:eastAsia="zh-CN" w:bidi="ar"/>
              </w:rPr>
              <w:t xml:space="preserve">490.8 </w:t>
            </w:r>
          </w:p>
        </w:tc>
        <w:tc>
          <w:tcPr>
            <w:tcW w:w="4135" w:type="dxa"/>
            <w:tcBorders>
              <w:bottom w:val="single" w:color="auto" w:sz="12"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998" w:hRule="exact"/>
          <w:jc w:val="center"/>
        </w:trPr>
        <w:tc>
          <w:tcPr>
            <w:tcW w:w="5000" w:type="pct"/>
            <w:gridSpan w:val="3"/>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keepNext w:val="0"/>
              <w:keepLines w:val="0"/>
              <w:pageBreakBefore w:val="0"/>
              <w:kinsoku/>
              <w:wordWrap/>
              <w:overflowPunct/>
              <w:topLinePunct w:val="0"/>
              <w:autoSpaceDE/>
              <w:autoSpaceDN/>
              <w:bidi w:val="0"/>
              <w:adjustRightInd w:val="0"/>
              <w:snapToGrid w:val="0"/>
              <w:spacing w:beforeLines="0" w:afterLines="0"/>
              <w:jc w:val="left"/>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w:t>
            </w:r>
            <w:r>
              <w:rPr>
                <w:rFonts w:hint="eastAsia" w:ascii="楷体_GB2312" w:hAnsi="宋体" w:eastAsia="楷体_GB2312" w:cs="宋体"/>
                <w:kern w:val="0"/>
                <w:sz w:val="24"/>
                <w:szCs w:val="24"/>
                <w:lang w:val="en-US" w:eastAsia="zh-CN" w:bidi="ar-SA"/>
              </w:rPr>
              <w:t>行政村范围内乡村休闲旅游经营主体。</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Cs/>
                <w:sz w:val="24"/>
                <w:szCs w:val="24"/>
                <w:lang w:val="en-US" w:eastAsia="zh-CN"/>
              </w:rPr>
            </w:pP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按照《郊区统计报表制度》的规定，由村、乡镇、区、到市级，逐级汇总。</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bCs/>
                <w:sz w:val="24"/>
                <w:szCs w:val="24"/>
                <w:lang w:val="en-US" w:eastAsia="zh-CN"/>
              </w:rPr>
              <w:t>接待人次：指规定调查期内经营主体接待的人次。总收入：指经营主体从事各类业务活动取得的收入。具体包括门票收入、采摘收入、出售农产品收入、出售其他商品收入、休闲娱乐收入、餐饮收入、住宿收入和其他收入</w:t>
            </w:r>
          </w:p>
        </w:tc>
      </w:tr>
    </w:tbl>
    <w:p>
      <w:pPr>
        <w:jc w:val="center"/>
        <w:rPr>
          <w:rFonts w:hint="eastAsia"/>
          <w:b/>
          <w:color w:val="0000FF"/>
          <w:sz w:val="36"/>
          <w:szCs w:val="36"/>
          <w:lang w:eastAsia="zh-CN"/>
        </w:rPr>
      </w:pPr>
    </w:p>
    <w:p>
      <w:pPr>
        <w:pStyle w:val="2"/>
        <w:rPr>
          <w:rFonts w:hint="eastAsia"/>
          <w:b/>
          <w:color w:val="0000FF"/>
          <w:sz w:val="36"/>
          <w:szCs w:val="36"/>
          <w:lang w:eastAsia="zh-CN"/>
        </w:rPr>
      </w:pPr>
    </w:p>
    <w:p>
      <w:pPr>
        <w:rPr>
          <w:rFonts w:hint="eastAsia"/>
          <w:b/>
          <w:color w:val="0000FF"/>
          <w:sz w:val="36"/>
          <w:szCs w:val="36"/>
          <w:lang w:eastAsia="zh-CN"/>
        </w:rPr>
      </w:pPr>
    </w:p>
    <w:p>
      <w:pPr>
        <w:pStyle w:val="2"/>
        <w:rPr>
          <w:rFonts w:hint="eastAsia"/>
          <w:b/>
          <w:color w:val="0000FF"/>
          <w:sz w:val="36"/>
          <w:szCs w:val="36"/>
          <w:lang w:eastAsia="zh-CN"/>
        </w:rPr>
      </w:pPr>
    </w:p>
    <w:p>
      <w:pPr>
        <w:rPr>
          <w:rFonts w:hint="eastAsia"/>
          <w:lang w:eastAsia="zh-CN"/>
        </w:rPr>
      </w:pPr>
    </w:p>
    <w:p>
      <w:pPr>
        <w:rPr>
          <w:rFonts w:hint="eastAsia"/>
          <w:b/>
          <w:color w:val="0000FF"/>
          <w:sz w:val="36"/>
          <w:szCs w:val="36"/>
          <w:lang w:eastAsia="zh-CN"/>
        </w:rPr>
      </w:pPr>
    </w:p>
    <w:p>
      <w:pPr>
        <w:pStyle w:val="2"/>
        <w:rPr>
          <w:rFonts w:hint="eastAsia"/>
          <w:lang w:eastAsia="zh-CN"/>
        </w:rPr>
      </w:pPr>
    </w:p>
    <w:p>
      <w:pPr>
        <w:pStyle w:val="2"/>
        <w:rPr>
          <w:rFonts w:hint="eastAsia"/>
          <w:lang w:eastAsia="zh-CN"/>
        </w:rPr>
      </w:pPr>
    </w:p>
    <w:p>
      <w:pPr>
        <w:rPr>
          <w:rFonts w:hint="eastAsia"/>
          <w:lang w:eastAsia="zh-CN"/>
        </w:rPr>
      </w:pPr>
    </w:p>
    <w:p>
      <w:pPr>
        <w:jc w:val="center"/>
        <w:rPr>
          <w:rFonts w:hint="eastAsia"/>
          <w:b/>
          <w:color w:val="0000FF"/>
          <w:sz w:val="36"/>
          <w:szCs w:val="36"/>
        </w:rPr>
      </w:pPr>
      <w:r>
        <w:rPr>
          <w:rFonts w:hint="eastAsia"/>
          <w:b/>
          <w:color w:val="0000FF"/>
          <w:sz w:val="36"/>
          <w:szCs w:val="36"/>
          <w:lang w:eastAsia="zh-CN"/>
        </w:rPr>
        <w:t>建筑业统计数据：2024年1-4季度</w:t>
      </w:r>
      <w:r>
        <w:rPr>
          <w:rFonts w:hint="eastAsia"/>
          <w:b/>
          <w:color w:val="0000FF"/>
          <w:sz w:val="36"/>
          <w:szCs w:val="36"/>
        </w:rPr>
        <w:t>资质建筑业企业</w:t>
      </w:r>
      <w:r>
        <w:rPr>
          <w:rFonts w:hint="eastAsia"/>
          <w:b/>
          <w:color w:val="0000FF"/>
          <w:sz w:val="36"/>
          <w:szCs w:val="36"/>
          <w:lang w:eastAsia="zh-CN"/>
        </w:rPr>
        <w:t>生产</w:t>
      </w:r>
      <w:r>
        <w:rPr>
          <w:rFonts w:hint="eastAsia"/>
          <w:b/>
          <w:color w:val="0000FF"/>
          <w:sz w:val="36"/>
          <w:szCs w:val="36"/>
        </w:rPr>
        <w:t>情况</w:t>
      </w:r>
    </w:p>
    <w:tbl>
      <w:tblPr>
        <w:tblStyle w:val="6"/>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
        <w:gridCol w:w="3560"/>
        <w:gridCol w:w="1536"/>
        <w:gridCol w:w="1680"/>
        <w:gridCol w:w="1560"/>
        <w:gridCol w:w="1692"/>
        <w:gridCol w:w="17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3592"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指 标 名 称</w:t>
            </w:r>
          </w:p>
        </w:tc>
        <w:tc>
          <w:tcPr>
            <w:tcW w:w="3216"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签订合同额</w:t>
            </w:r>
          </w:p>
        </w:tc>
        <w:tc>
          <w:tcPr>
            <w:tcW w:w="3252"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建筑业总产值</w:t>
            </w:r>
          </w:p>
        </w:tc>
        <w:tc>
          <w:tcPr>
            <w:tcW w:w="3208"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exact"/>
        </w:trPr>
        <w:tc>
          <w:tcPr>
            <w:tcW w:w="3592"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5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7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468"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single" w:color="auto" w:sz="2" w:space="0"/>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SA"/>
              </w:rPr>
              <w:t>全区合计</w:t>
            </w:r>
          </w:p>
        </w:tc>
        <w:tc>
          <w:tcPr>
            <w:tcW w:w="1536"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2831932 </w:t>
            </w:r>
          </w:p>
        </w:tc>
        <w:tc>
          <w:tcPr>
            <w:tcW w:w="168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12.4 </w:t>
            </w:r>
          </w:p>
        </w:tc>
        <w:tc>
          <w:tcPr>
            <w:tcW w:w="156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1604107 </w:t>
            </w:r>
          </w:p>
        </w:tc>
        <w:tc>
          <w:tcPr>
            <w:tcW w:w="1692"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-12.0 </w:t>
            </w:r>
          </w:p>
        </w:tc>
        <w:tc>
          <w:tcPr>
            <w:tcW w:w="174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1280077 </w:t>
            </w:r>
          </w:p>
        </w:tc>
        <w:tc>
          <w:tcPr>
            <w:tcW w:w="1468" w:type="dxa"/>
            <w:tcBorders>
              <w:top w:val="single" w:color="auto" w:sz="2" w:space="0"/>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按行业类别</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房屋建筑业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1048573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26.5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395897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2.2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552390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土木工程建筑业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1107221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5.8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673785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-26.0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430673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建筑安装业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158334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11.5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89215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-7.9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62788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建筑装饰、装修和其他建筑业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517803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3.0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445210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3.9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234227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按资质等级</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施工总承包</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2105330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16.2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712917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856997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8" w:hRule="exact"/>
        </w:trPr>
        <w:tc>
          <w:tcPr>
            <w:tcW w:w="3592" w:type="dxa"/>
            <w:gridSpan w:val="2"/>
            <w:tcBorders>
              <w:top w:val="nil"/>
              <w:left w:val="nil"/>
              <w:bottom w:val="single" w:color="auto" w:sz="12" w:space="0"/>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专业承包</w:t>
            </w:r>
          </w:p>
        </w:tc>
        <w:tc>
          <w:tcPr>
            <w:tcW w:w="1536"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726602 </w:t>
            </w:r>
          </w:p>
        </w:tc>
        <w:tc>
          <w:tcPr>
            <w:tcW w:w="168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2.5 </w:t>
            </w:r>
          </w:p>
        </w:tc>
        <w:tc>
          <w:tcPr>
            <w:tcW w:w="156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891190 </w:t>
            </w:r>
          </w:p>
        </w:tc>
        <w:tc>
          <w:tcPr>
            <w:tcW w:w="1692"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-15.8 </w:t>
            </w:r>
          </w:p>
        </w:tc>
        <w:tc>
          <w:tcPr>
            <w:tcW w:w="174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423080 </w:t>
            </w:r>
          </w:p>
        </w:tc>
        <w:tc>
          <w:tcPr>
            <w:tcW w:w="1468" w:type="dxa"/>
            <w:tcBorders>
              <w:top w:val="nil"/>
              <w:left w:val="single" w:color="auto" w:sz="2" w:space="0"/>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4"/>
              </w:rPr>
            </w:pPr>
            <w:r>
              <w:rPr>
                <w:rFonts w:hint="eastAsia" w:ascii="楷体_GB2312" w:hAnsi="宋体" w:eastAsia="楷体_GB2312" w:cs="宋体"/>
                <w:kern w:val="0"/>
                <w:sz w:val="24"/>
              </w:rPr>
              <w:t>注释：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4"/>
                <w:lang w:val="en-US" w:eastAsia="zh-CN"/>
              </w:rPr>
              <w:t>1、</w:t>
            </w:r>
            <w:r>
              <w:rPr>
                <w:rFonts w:hint="eastAsia" w:ascii="楷体_GB2312" w:hAnsi="宋体" w:eastAsia="楷体_GB2312" w:cs="宋体"/>
                <w:b/>
                <w:bCs/>
                <w:kern w:val="0"/>
                <w:sz w:val="24"/>
              </w:rPr>
              <w:t>统计范围：</w:t>
            </w:r>
            <w:r>
              <w:rPr>
                <w:rFonts w:hint="eastAsia" w:ascii="楷体_GB2312" w:hAnsi="宋体" w:eastAsia="楷体_GB2312" w:cs="宋体"/>
                <w:kern w:val="0"/>
                <w:sz w:val="24"/>
              </w:rPr>
              <w:t>统</w:t>
            </w:r>
            <w:r>
              <w:rPr>
                <w:rFonts w:hint="eastAsia" w:ascii="楷体_GB2312" w:hAnsi="宋体" w:eastAsia="楷体_GB2312" w:cs="宋体"/>
                <w:bCs/>
                <w:kern w:val="0"/>
                <w:sz w:val="24"/>
                <w:szCs w:val="24"/>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4"/>
                <w:szCs w:val="24"/>
                <w:lang w:val="en-US" w:eastAsia="zh-CN" w:bidi="ar-SA"/>
              </w:rPr>
              <w:br w:type="textWrapping"/>
            </w:r>
            <w:r>
              <w:rPr>
                <w:rFonts w:hint="eastAsia" w:ascii="楷体_GB2312" w:hAnsi="宋体" w:eastAsia="楷体_GB2312" w:cs="宋体"/>
                <w:b/>
                <w:bCs/>
                <w:kern w:val="0"/>
                <w:sz w:val="24"/>
              </w:rPr>
              <w:t>2、采集渠道：</w:t>
            </w:r>
            <w:r>
              <w:rPr>
                <w:rFonts w:hint="eastAsia" w:ascii="楷体_GB2312" w:hAnsi="宋体" w:eastAsia="楷体_GB2312" w:cs="宋体"/>
                <w:kern w:val="0"/>
                <w:sz w:val="24"/>
              </w:rPr>
              <w:t>纳入统计范围的建筑业企业按照《建筑业统计报表制度》要求，通过统计数据集中采集平台上报统计数据。</w:t>
            </w:r>
            <w:r>
              <w:rPr>
                <w:rFonts w:hint="eastAsia" w:ascii="楷体_GB2312" w:eastAsia="楷体_GB2312"/>
                <w:color w:val="000000"/>
                <w:sz w:val="24"/>
              </w:rPr>
              <w:t>经北京市统计局统一审核评估后对外发布</w:t>
            </w:r>
            <w:r>
              <w:rPr>
                <w:rFonts w:hint="eastAsia" w:ascii="楷体_GB2312" w:eastAsia="楷体_GB2312"/>
                <w:color w:val="000000"/>
                <w:sz w:val="24"/>
                <w:lang w:eastAsia="zh-CN"/>
              </w:rPr>
              <w:t>。</w:t>
            </w:r>
            <w:r>
              <w:rPr>
                <w:rFonts w:hint="eastAsia" w:ascii="楷体_GB2312" w:hAnsi="宋体" w:eastAsia="楷体_GB2312" w:cs="宋体"/>
                <w:kern w:val="0"/>
                <w:sz w:val="24"/>
              </w:rPr>
              <w:br w:type="textWrapping"/>
            </w:r>
            <w:r>
              <w:rPr>
                <w:rFonts w:hint="eastAsia" w:ascii="楷体_GB2312" w:hAnsi="宋体" w:eastAsia="楷体_GB2312" w:cs="宋体"/>
                <w:b/>
                <w:bCs/>
                <w:kern w:val="0"/>
                <w:sz w:val="24"/>
              </w:rPr>
              <w:t>3、主要统计指标解释：</w:t>
            </w:r>
            <w:r>
              <w:rPr>
                <w:rFonts w:hint="eastAsia" w:ascii="楷体_GB2312" w:hAnsi="宋体" w:eastAsia="楷体_GB2312" w:cs="宋体"/>
                <w:b w:val="0"/>
                <w:bCs/>
                <w:kern w:val="0"/>
                <w:sz w:val="24"/>
                <w:szCs w:val="24"/>
              </w:rPr>
              <w:t>签订合同额</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竣工产值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一般是以单位工程为对象，当该工程按照设计所规定的工程内容全部完成，达到了设计规定的交工条件，经有关部门检查验收鉴定合格的单位工程价值，即为竣工产值。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tbl>
            <w:tblPr>
              <w:tblStyle w:val="6"/>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highlight w:val="none"/>
                      <w:lang w:eastAsia="zh-CN"/>
                    </w:rPr>
                  </w:pPr>
                  <w:r>
                    <w:rPr>
                      <w:rFonts w:hint="eastAsia"/>
                      <w:b/>
                      <w:color w:val="0000FF"/>
                      <w:sz w:val="36"/>
                      <w:szCs w:val="36"/>
                      <w:highlight w:val="none"/>
                      <w:lang w:val="en-US" w:eastAsia="zh-CN"/>
                    </w:rPr>
                    <w:t xml:space="preserve">       居民收支统计数据：</w:t>
                  </w:r>
                  <w:r>
                    <w:rPr>
                      <w:rFonts w:hint="eastAsia"/>
                      <w:b/>
                      <w:color w:val="0000FF"/>
                      <w:sz w:val="36"/>
                      <w:szCs w:val="36"/>
                      <w:highlight w:val="none"/>
                      <w:lang w:eastAsia="zh-CN"/>
                    </w:rPr>
                    <w:t>2024年1-4季度居民人均可支配收入情况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8"/>
                      <w:rFonts w:hint="eastAsia" w:ascii="宋体" w:hAnsi="宋体" w:eastAsia="宋体" w:cs="宋体"/>
                      <w:b w:val="0"/>
                      <w:bCs/>
                      <w:color w:val="404040"/>
                      <w:sz w:val="24"/>
                      <w:szCs w:val="24"/>
                      <w:highlight w:val="none"/>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8"/>
                      <w:rFonts w:hint="eastAsia" w:ascii="宋体" w:hAnsi="宋体" w:eastAsia="宋体" w:cs="宋体"/>
                      <w:b w:val="0"/>
                      <w:bCs/>
                      <w:color w:val="404040"/>
                      <w:sz w:val="24"/>
                      <w:szCs w:val="24"/>
                      <w:highlight w:val="none"/>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8"/>
                      <w:rFonts w:hint="eastAsia" w:ascii="宋体" w:hAnsi="宋体" w:eastAsia="宋体" w:cs="宋体"/>
                      <w:b w:val="0"/>
                      <w:bCs/>
                      <w:color w:val="404040"/>
                      <w:sz w:val="24"/>
                      <w:szCs w:val="24"/>
                      <w:highlight w:val="none"/>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highlight w:val="none"/>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highlight w:val="none"/>
                      <w:lang w:eastAsia="zh-CN"/>
                    </w:rPr>
                  </w:pPr>
                  <w:r>
                    <w:rPr>
                      <w:rStyle w:val="8"/>
                      <w:rFonts w:hint="eastAsia" w:ascii="宋体" w:hAnsi="宋体" w:eastAsia="宋体" w:cs="宋体"/>
                      <w:b w:val="0"/>
                      <w:bCs/>
                      <w:color w:val="404040"/>
                      <w:sz w:val="24"/>
                      <w:szCs w:val="24"/>
                      <w:highlight w:val="none"/>
                      <w:lang w:eastAsia="zh-CN"/>
                    </w:rPr>
                    <w:t>2024年1-4季度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highlight w:val="none"/>
                      <w:lang w:eastAsia="zh-CN"/>
                    </w:rPr>
                  </w:pPr>
                  <w:r>
                    <w:rPr>
                      <w:rStyle w:val="8"/>
                      <w:rFonts w:hint="eastAsia" w:ascii="宋体" w:hAnsi="宋体" w:eastAsia="宋体" w:cs="宋体"/>
                      <w:b w:val="0"/>
                      <w:bCs/>
                      <w:color w:val="404040"/>
                      <w:sz w:val="24"/>
                      <w:szCs w:val="24"/>
                      <w:highlight w:val="none"/>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highlight w:val="none"/>
                      <w:lang w:val="en-US" w:eastAsia="zh-CN"/>
                    </w:rPr>
                  </w:pPr>
                  <w:r>
                    <w:rPr>
                      <w:rStyle w:val="8"/>
                      <w:rFonts w:hint="eastAsia" w:ascii="宋体" w:hAnsi="宋体" w:eastAsia="宋体" w:cs="宋体"/>
                      <w:b w:val="0"/>
                      <w:bCs/>
                      <w:color w:val="404040"/>
                      <w:sz w:val="24"/>
                      <w:szCs w:val="24"/>
                      <w:highlight w:val="none"/>
                      <w:lang w:eastAsia="zh-CN"/>
                    </w:rPr>
                    <w:t>2024年1-4季度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highlight w:val="none"/>
                      <w:lang w:eastAsia="zh-CN"/>
                    </w:rPr>
                  </w:pPr>
                  <w:r>
                    <w:rPr>
                      <w:rStyle w:val="8"/>
                      <w:rFonts w:hint="eastAsia" w:ascii="宋体" w:hAnsi="宋体" w:eastAsia="宋体" w:cs="宋体"/>
                      <w:b w:val="0"/>
                      <w:bCs/>
                      <w:color w:val="404040"/>
                      <w:sz w:val="24"/>
                      <w:szCs w:val="24"/>
                      <w:highlight w:val="none"/>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highlight w:val="none"/>
                      <w:lang w:eastAsia="zh-CN"/>
                    </w:rPr>
                  </w:pPr>
                  <w:r>
                    <w:rPr>
                      <w:rStyle w:val="8"/>
                      <w:rFonts w:hint="eastAsia" w:ascii="宋体" w:hAnsi="宋体" w:eastAsia="宋体" w:cs="宋体"/>
                      <w:b/>
                      <w:bCs/>
                      <w:color w:val="404040"/>
                      <w:sz w:val="24"/>
                      <w:szCs w:val="24"/>
                      <w:highlight w:val="none"/>
                    </w:rPr>
                    <w:t> </w:t>
                  </w:r>
                  <w:r>
                    <w:rPr>
                      <w:rStyle w:val="8"/>
                      <w:rFonts w:hint="eastAsia" w:ascii="宋体" w:hAnsi="宋体" w:eastAsia="宋体" w:cs="宋体"/>
                      <w:b/>
                      <w:bCs/>
                      <w:color w:val="404040"/>
                      <w:sz w:val="24"/>
                      <w:szCs w:val="24"/>
                      <w:highlight w:val="none"/>
                      <w:lang w:val="en-US" w:eastAsia="zh-CN"/>
                    </w:rPr>
                    <w:t xml:space="preserve"> </w:t>
                  </w:r>
                  <w:r>
                    <w:rPr>
                      <w:rStyle w:val="8"/>
                      <w:rFonts w:hint="eastAsia" w:ascii="宋体" w:hAnsi="宋体" w:eastAsia="宋体" w:cs="宋体"/>
                      <w:b/>
                      <w:bCs/>
                      <w:color w:val="404040"/>
                      <w:sz w:val="24"/>
                      <w:szCs w:val="24"/>
                      <w:highlight w:val="none"/>
                    </w:rPr>
                    <w:t>人均可支配收入</w:t>
                  </w:r>
                  <w:r>
                    <w:rPr>
                      <w:rStyle w:val="8"/>
                      <w:rFonts w:hint="eastAsia" w:ascii="宋体" w:hAnsi="宋体" w:eastAsia="宋体" w:cs="宋体"/>
                      <w:b/>
                      <w:bCs/>
                      <w:color w:val="404040"/>
                      <w:sz w:val="24"/>
                      <w:szCs w:val="24"/>
                      <w:highlight w:val="none"/>
                      <w:lang w:eastAsia="zh-CN"/>
                    </w:rPr>
                    <w:t>（元）</w:t>
                  </w:r>
                </w:p>
              </w:tc>
              <w:tc>
                <w:tcPr>
                  <w:tcW w:w="2013"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highlight w:val="none"/>
                      <w:lang w:val="en-US" w:eastAsia="zh-CN"/>
                    </w:rPr>
                  </w:pPr>
                  <w:r>
                    <w:rPr>
                      <w:rFonts w:hint="default" w:ascii="宋体" w:hAnsi="宋体" w:cs="宋体"/>
                      <w:b/>
                      <w:bCs/>
                      <w:sz w:val="24"/>
                      <w:szCs w:val="24"/>
                      <w:highlight w:val="none"/>
                      <w:lang w:val="en-US" w:eastAsia="zh-CN"/>
                    </w:rPr>
                    <w:t>49341</w:t>
                  </w:r>
                </w:p>
              </w:tc>
              <w:tc>
                <w:tcPr>
                  <w:tcW w:w="208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highlight w:val="none"/>
                      <w:lang w:val="en-US" w:eastAsia="zh-CN"/>
                    </w:rPr>
                  </w:pPr>
                  <w:r>
                    <w:rPr>
                      <w:rFonts w:hint="default" w:ascii="宋体" w:hAnsi="宋体" w:cs="宋体"/>
                      <w:b/>
                      <w:bCs/>
                      <w:color w:val="auto"/>
                      <w:sz w:val="24"/>
                      <w:szCs w:val="24"/>
                      <w:highlight w:val="none"/>
                      <w:lang w:val="en-US" w:eastAsia="zh-CN"/>
                    </w:rPr>
                    <w:t>5.1</w:t>
                  </w:r>
                </w:p>
              </w:tc>
              <w:tc>
                <w:tcPr>
                  <w:tcW w:w="2129"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highlight w:val="none"/>
                      <w:lang w:val="en-US" w:eastAsia="zh-CN"/>
                    </w:rPr>
                  </w:pPr>
                  <w:r>
                    <w:rPr>
                      <w:rFonts w:hint="default" w:ascii="宋体" w:hAnsi="宋体" w:cs="宋体"/>
                      <w:b/>
                      <w:bCs/>
                      <w:color w:val="auto"/>
                      <w:sz w:val="24"/>
                      <w:szCs w:val="24"/>
                      <w:highlight w:val="none"/>
                      <w:lang w:val="en-US" w:eastAsia="zh-CN"/>
                    </w:rPr>
                    <w:t>60767</w:t>
                  </w:r>
                </w:p>
              </w:tc>
              <w:tc>
                <w:tcPr>
                  <w:tcW w:w="219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highlight w:val="none"/>
                      <w:lang w:val="en-US" w:eastAsia="zh-CN"/>
                    </w:rPr>
                  </w:pPr>
                  <w:r>
                    <w:rPr>
                      <w:rFonts w:hint="default" w:ascii="宋体" w:hAnsi="宋体" w:cs="宋体"/>
                      <w:b/>
                      <w:bCs/>
                      <w:color w:val="auto"/>
                      <w:sz w:val="24"/>
                      <w:szCs w:val="24"/>
                      <w:highlight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工资性收入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39814</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3.6</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53308</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经营净收入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2456</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8.6</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1079</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财产净收入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2710</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21.2</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4452</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22.9</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转移净收入</w:t>
                  </w:r>
                </w:p>
              </w:tc>
              <w:tc>
                <w:tcPr>
                  <w:tcW w:w="2013"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4361</w:t>
                  </w:r>
                </w:p>
              </w:tc>
              <w:tc>
                <w:tcPr>
                  <w:tcW w:w="208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9.2</w:t>
                  </w:r>
                </w:p>
              </w:tc>
              <w:tc>
                <w:tcPr>
                  <w:tcW w:w="2129"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default" w:ascii="宋体" w:hAnsi="宋体" w:cs="宋体"/>
                      <w:color w:val="auto"/>
                      <w:sz w:val="24"/>
                      <w:szCs w:val="24"/>
                      <w:highlight w:val="none"/>
                      <w:lang w:val="en-US" w:eastAsia="zh-CN"/>
                    </w:rPr>
                    <w:t>1928</w:t>
                  </w:r>
                </w:p>
              </w:tc>
              <w:tc>
                <w:tcPr>
                  <w:tcW w:w="219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highlight w:val="none"/>
                      <w:lang w:val="en-US" w:eastAsia="zh-CN"/>
                    </w:rPr>
                  </w:pPr>
                  <w:r>
                    <w:rPr>
                      <w:rFonts w:hint="default" w:ascii="宋体" w:hAnsi="宋体" w:cs="宋体"/>
                      <w:color w:val="auto"/>
                      <w:sz w:val="24"/>
                      <w:szCs w:val="24"/>
                      <w:highlight w:val="none"/>
                      <w:lang w:val="en-US" w:eastAsia="zh-CN"/>
                    </w:rPr>
                    <w:t>13.2</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5639" w:hRule="atLeast"/>
        </w:trPr>
        <w:tc>
          <w:tcPr>
            <w:tcW w:w="13236" w:type="dxa"/>
            <w:gridSpan w:val="7"/>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4"/>
                <w:szCs w:val="24"/>
              </w:rPr>
            </w:pPr>
            <w:r>
              <w:rPr>
                <w:rFonts w:hint="eastAsia" w:ascii="楷体_GB2312" w:hAnsi="宋体" w:eastAsia="楷体_GB2312" w:cs="宋体"/>
                <w:kern w:val="0"/>
                <w:sz w:val="24"/>
                <w:szCs w:val="24"/>
              </w:rPr>
              <w:t>注释：</w:t>
            </w:r>
          </w:p>
          <w:p>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4"/>
                <w:szCs w:val="24"/>
              </w:rPr>
            </w:pPr>
            <w:r>
              <w:rPr>
                <w:rFonts w:hint="eastAsia" w:ascii="楷体_GB2312" w:hAnsi="宋体" w:eastAsia="楷体_GB2312" w:cs="宋体"/>
                <w:b/>
                <w:kern w:val="0"/>
                <w:sz w:val="24"/>
                <w:szCs w:val="24"/>
              </w:rPr>
              <w:t>统计范围：</w:t>
            </w:r>
            <w:r>
              <w:rPr>
                <w:rFonts w:hint="eastAsia" w:ascii="楷体_GB2312" w:hAnsi="宋体" w:eastAsia="楷体_GB2312" w:cs="宋体"/>
                <w:b w:val="0"/>
                <w:bCs/>
                <w:kern w:val="0"/>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2、</w:t>
            </w:r>
            <w:r>
              <w:rPr>
                <w:rFonts w:hint="eastAsia" w:ascii="楷体_GB2312" w:hAnsi="宋体" w:eastAsia="楷体_GB2312" w:cs="宋体"/>
                <w:b/>
                <w:kern w:val="0"/>
                <w:sz w:val="24"/>
                <w:szCs w:val="24"/>
              </w:rPr>
              <w:t>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转移净收入：指国家、单位、社会团体对住户的各种经常性转移支付和住户之间的经常性收入转移，在扣减调查户对国家、单位、住户或者个人的经常性或义务性转移支付后的净收入。</w:t>
            </w:r>
          </w:p>
        </w:tc>
      </w:tr>
    </w:tbl>
    <w:tbl>
      <w:tblPr>
        <w:tblStyle w:val="6"/>
        <w:tblpPr w:leftFromText="180" w:rightFromText="180" w:vertAnchor="text" w:horzAnchor="page" w:tblpX="1790" w:tblpY="296"/>
        <w:tblOverlap w:val="never"/>
        <w:tblW w:w="13600" w:type="dxa"/>
        <w:tblInd w:w="0" w:type="dxa"/>
        <w:tblLayout w:type="fixed"/>
        <w:tblCellMar>
          <w:top w:w="0" w:type="dxa"/>
          <w:left w:w="0" w:type="dxa"/>
          <w:bottom w:w="0" w:type="dxa"/>
          <w:right w:w="0" w:type="dxa"/>
        </w:tblCellMar>
      </w:tblPr>
      <w:tblGrid>
        <w:gridCol w:w="5045"/>
        <w:gridCol w:w="2194"/>
        <w:gridCol w:w="2193"/>
        <w:gridCol w:w="1974"/>
        <w:gridCol w:w="2194"/>
      </w:tblGrid>
      <w:tr>
        <w:tblPrEx>
          <w:tblCellMar>
            <w:top w:w="0" w:type="dxa"/>
            <w:left w:w="0" w:type="dxa"/>
            <w:bottom w:w="0" w:type="dxa"/>
            <w:right w:w="0" w:type="dxa"/>
          </w:tblCellMar>
        </w:tblPrEx>
        <w:trPr>
          <w:trHeight w:val="694" w:hRule="exact"/>
        </w:trPr>
        <w:tc>
          <w:tcPr>
            <w:tcW w:w="13600" w:type="dxa"/>
            <w:gridSpan w:val="5"/>
            <w:tcBorders>
              <w:top w:val="nil"/>
              <w:left w:val="nil"/>
              <w:bottom w:val="single" w:color="auto" w:sz="12" w:space="0"/>
              <w:right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color w:val="404040"/>
                <w:sz w:val="30"/>
                <w:szCs w:val="30"/>
              </w:rPr>
            </w:pPr>
            <w:r>
              <w:rPr>
                <w:rFonts w:hint="eastAsia" w:ascii="Times New Roman" w:hAnsi="Times New Roman" w:eastAsia="宋体" w:cs="Times New Roman"/>
                <w:b/>
                <w:color w:val="0000FF"/>
                <w:kern w:val="2"/>
                <w:sz w:val="36"/>
                <w:szCs w:val="36"/>
                <w:highlight w:val="none"/>
                <w:lang w:val="en-US" w:eastAsia="zh-CN" w:bidi="ar-SA"/>
              </w:rPr>
              <w:t>居民收支统计数据：2024年1-4季度居民人均消费支出情况</w:t>
            </w:r>
          </w:p>
        </w:tc>
      </w:tr>
      <w:tr>
        <w:tblPrEx>
          <w:tblCellMar>
            <w:top w:w="0" w:type="dxa"/>
            <w:left w:w="0" w:type="dxa"/>
            <w:bottom w:w="0" w:type="dxa"/>
            <w:right w:w="0" w:type="dxa"/>
          </w:tblCellMar>
        </w:tblPrEx>
        <w:trPr>
          <w:trHeight w:val="487" w:hRule="exact"/>
        </w:trPr>
        <w:tc>
          <w:tcPr>
            <w:tcW w:w="5045" w:type="dxa"/>
            <w:vMerge w:val="restart"/>
            <w:tcBorders>
              <w:top w:val="single" w:color="auto" w:sz="12" w:space="0"/>
              <w:left w:val="nil"/>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宋体" w:hAnsi="宋体" w:eastAsia="宋体" w:cs="宋体"/>
                <w:sz w:val="24"/>
                <w:szCs w:val="24"/>
              </w:rPr>
            </w:pPr>
            <w:r>
              <w:rPr>
                <w:rFonts w:hint="eastAsia" w:ascii="宋体" w:hAnsi="宋体" w:eastAsia="宋体" w:cs="宋体"/>
                <w:sz w:val="24"/>
                <w:szCs w:val="24"/>
              </w:rPr>
              <w:t>指 标 名 称</w:t>
            </w:r>
          </w:p>
        </w:tc>
        <w:tc>
          <w:tcPr>
            <w:tcW w:w="4387" w:type="dxa"/>
            <w:gridSpan w:val="2"/>
            <w:tcBorders>
              <w:top w:val="single" w:color="auto" w:sz="1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全区居民</w:t>
            </w:r>
          </w:p>
        </w:tc>
        <w:tc>
          <w:tcPr>
            <w:tcW w:w="4168" w:type="dxa"/>
            <w:gridSpan w:val="2"/>
            <w:tcBorders>
              <w:top w:val="single" w:color="auto" w:sz="12" w:space="0"/>
              <w:left w:val="single" w:color="auto" w:sz="2" w:space="0"/>
              <w:bottom w:val="single" w:color="auto" w:sz="2" w:space="0"/>
              <w:right w:val="nil"/>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城镇居民</w:t>
            </w:r>
          </w:p>
        </w:tc>
      </w:tr>
      <w:tr>
        <w:tblPrEx>
          <w:tblCellMar>
            <w:top w:w="0" w:type="dxa"/>
            <w:left w:w="0" w:type="dxa"/>
            <w:bottom w:w="0" w:type="dxa"/>
            <w:right w:w="0" w:type="dxa"/>
          </w:tblCellMar>
        </w:tblPrEx>
        <w:trPr>
          <w:trHeight w:val="536" w:hRule="exact"/>
        </w:trPr>
        <w:tc>
          <w:tcPr>
            <w:tcW w:w="5045" w:type="dxa"/>
            <w:vMerge w:val="continue"/>
            <w:tcBorders>
              <w:top w:val="single" w:color="auto" w:sz="2" w:space="0"/>
              <w:left w:val="nil"/>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宋体" w:hAnsi="宋体" w:eastAsia="宋体" w:cs="宋体"/>
                <w:sz w:val="24"/>
                <w:szCs w:val="24"/>
              </w:rPr>
            </w:pPr>
          </w:p>
        </w:tc>
        <w:tc>
          <w:tcPr>
            <w:tcW w:w="2194"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cs="宋体"/>
                <w:b w:val="0"/>
                <w:bCs/>
                <w:color w:val="404040"/>
                <w:sz w:val="24"/>
                <w:szCs w:val="24"/>
                <w:lang w:eastAsia="zh-CN"/>
              </w:rPr>
              <w:t>2024年1-4季度</w:t>
            </w:r>
          </w:p>
        </w:tc>
        <w:tc>
          <w:tcPr>
            <w:tcW w:w="2193"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1974"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cs="宋体"/>
                <w:b w:val="0"/>
                <w:bCs/>
                <w:color w:val="404040"/>
                <w:sz w:val="24"/>
                <w:szCs w:val="24"/>
                <w:lang w:eastAsia="zh-CN"/>
              </w:rPr>
              <w:t>2024年1-4季度</w:t>
            </w:r>
          </w:p>
        </w:tc>
        <w:tc>
          <w:tcPr>
            <w:tcW w:w="2194" w:type="dxa"/>
            <w:tcBorders>
              <w:top w:val="single" w:color="auto" w:sz="2" w:space="0"/>
              <w:left w:val="single" w:color="auto" w:sz="2" w:space="0"/>
              <w:bottom w:val="single" w:color="auto" w:sz="2" w:space="0"/>
              <w:right w:val="nil"/>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CellMar>
            <w:top w:w="0" w:type="dxa"/>
            <w:left w:w="0" w:type="dxa"/>
            <w:bottom w:w="0" w:type="dxa"/>
            <w:right w:w="0" w:type="dxa"/>
          </w:tblCellMar>
        </w:tblPrEx>
        <w:trPr>
          <w:trHeight w:val="413" w:hRule="exact"/>
        </w:trPr>
        <w:tc>
          <w:tcPr>
            <w:tcW w:w="5045" w:type="dxa"/>
            <w:tcBorders>
              <w:top w:val="single" w:color="auto" w:sz="2" w:space="0"/>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240" w:firstLineChars="100"/>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人均消费支出</w:t>
            </w:r>
            <w:r>
              <w:rPr>
                <w:rFonts w:hint="eastAsia" w:ascii="宋体" w:hAnsi="宋体" w:cs="宋体"/>
                <w:b/>
                <w:bCs/>
                <w:sz w:val="24"/>
                <w:szCs w:val="24"/>
                <w:lang w:eastAsia="zh-CN"/>
              </w:rPr>
              <w:t>（元）</w:t>
            </w:r>
          </w:p>
        </w:tc>
        <w:tc>
          <w:tcPr>
            <w:tcW w:w="2194"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lang w:val="en-US" w:eastAsia="zh-CN"/>
              </w:rPr>
            </w:pPr>
            <w:r>
              <w:rPr>
                <w:rFonts w:hint="default" w:ascii="宋体" w:hAnsi="宋体" w:cs="宋体"/>
                <w:b/>
                <w:bCs/>
                <w:sz w:val="24"/>
                <w:szCs w:val="24"/>
                <w:lang w:val="en-US" w:eastAsia="zh-CN"/>
              </w:rPr>
              <w:t>30838</w:t>
            </w:r>
          </w:p>
        </w:tc>
        <w:tc>
          <w:tcPr>
            <w:tcW w:w="2193"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lang w:val="en-US" w:eastAsia="zh-CN"/>
              </w:rPr>
            </w:pPr>
            <w:r>
              <w:rPr>
                <w:rFonts w:hint="default" w:ascii="宋体" w:hAnsi="宋体" w:cs="宋体"/>
                <w:b/>
                <w:bCs/>
                <w:color w:val="auto"/>
                <w:sz w:val="24"/>
                <w:szCs w:val="24"/>
                <w:lang w:val="en-US" w:eastAsia="zh-CN"/>
              </w:rPr>
              <w:t>4.4</w:t>
            </w:r>
          </w:p>
        </w:tc>
        <w:tc>
          <w:tcPr>
            <w:tcW w:w="1974"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lang w:val="en-US" w:eastAsia="zh-CN"/>
              </w:rPr>
            </w:pPr>
            <w:r>
              <w:rPr>
                <w:rFonts w:hint="default" w:ascii="宋体" w:hAnsi="宋体" w:cs="宋体"/>
                <w:b/>
                <w:bCs/>
                <w:sz w:val="24"/>
                <w:szCs w:val="24"/>
                <w:lang w:val="en-US" w:eastAsia="zh-CN"/>
              </w:rPr>
              <w:t>37541</w:t>
            </w:r>
          </w:p>
        </w:tc>
        <w:tc>
          <w:tcPr>
            <w:tcW w:w="2194" w:type="dxa"/>
            <w:tcBorders>
              <w:top w:val="single" w:color="auto" w:sz="2" w:space="0"/>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sz w:val="24"/>
                <w:szCs w:val="24"/>
                <w:lang w:val="en-US" w:eastAsia="zh-CN"/>
              </w:rPr>
            </w:pPr>
            <w:r>
              <w:rPr>
                <w:rFonts w:hint="default" w:ascii="宋体" w:hAnsi="宋体" w:cs="宋体"/>
                <w:b/>
                <w:bCs/>
                <w:color w:val="auto"/>
                <w:sz w:val="24"/>
                <w:szCs w:val="24"/>
                <w:lang w:val="en-US" w:eastAsia="zh-CN"/>
              </w:rPr>
              <w:t>5.1</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食品烟酒</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7384</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2.1</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8389</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0.6</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衣着</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1400</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-12.3</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1838</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-14.8</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居住</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9018</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2.0</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11241</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8.1</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生活用品及服务</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1590</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-18.7</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1982</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-12.0</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交通和通信</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4264</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1.2</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4712</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-14.8</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教育文化娱乐</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2278</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20.9</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3343</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27.2</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医疗保健</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4092</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37.4</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4869</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52.3</w:t>
            </w:r>
          </w:p>
        </w:tc>
      </w:tr>
      <w:tr>
        <w:tblPrEx>
          <w:tblCellMar>
            <w:top w:w="0" w:type="dxa"/>
            <w:left w:w="0" w:type="dxa"/>
            <w:bottom w:w="0" w:type="dxa"/>
            <w:right w:w="0" w:type="dxa"/>
          </w:tblCellMar>
        </w:tblPrEx>
        <w:trPr>
          <w:trHeight w:val="413" w:hRule="exact"/>
        </w:trPr>
        <w:tc>
          <w:tcPr>
            <w:tcW w:w="5045" w:type="dxa"/>
            <w:tcBorders>
              <w:top w:val="nil"/>
              <w:left w:val="nil"/>
              <w:bottom w:val="single" w:color="auto" w:sz="1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其他用品及服务</w:t>
            </w:r>
          </w:p>
        </w:tc>
        <w:tc>
          <w:tcPr>
            <w:tcW w:w="2194"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812</w:t>
            </w:r>
          </w:p>
        </w:tc>
        <w:tc>
          <w:tcPr>
            <w:tcW w:w="2193"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-2.1</w:t>
            </w:r>
          </w:p>
        </w:tc>
        <w:tc>
          <w:tcPr>
            <w:tcW w:w="1974"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sz w:val="24"/>
                <w:szCs w:val="24"/>
                <w:lang w:val="en-US" w:eastAsia="zh-CN"/>
              </w:rPr>
              <w:t>1168</w:t>
            </w:r>
          </w:p>
        </w:tc>
        <w:tc>
          <w:tcPr>
            <w:tcW w:w="2194" w:type="dxa"/>
            <w:tcBorders>
              <w:top w:val="nil"/>
              <w:left w:val="single" w:color="auto" w:sz="2" w:space="0"/>
              <w:bottom w:val="single" w:color="auto" w:sz="12" w:space="0"/>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sz w:val="24"/>
                <w:szCs w:val="24"/>
              </w:rPr>
            </w:pPr>
            <w:r>
              <w:rPr>
                <w:rFonts w:hint="default" w:ascii="宋体" w:hAnsi="宋体" w:cs="宋体"/>
                <w:color w:val="auto"/>
                <w:sz w:val="24"/>
                <w:szCs w:val="24"/>
                <w:lang w:val="en-US" w:eastAsia="zh-CN"/>
              </w:rPr>
              <w:t>-4.1</w:t>
            </w:r>
          </w:p>
        </w:tc>
      </w:tr>
    </w:tbl>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0"/>
          <w:sz w:val="24"/>
          <w:szCs w:val="24"/>
        </w:rPr>
      </w:pPr>
      <w:r>
        <w:rPr>
          <w:rFonts w:hint="eastAsia" w:ascii="楷体_GB2312" w:hAnsi="宋体" w:eastAsia="楷体_GB2312" w:cs="宋体"/>
          <w:kern w:val="0"/>
          <w:sz w:val="24"/>
          <w:szCs w:val="24"/>
        </w:rPr>
        <w:t>注释：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default" w:ascii="楷体_GB2312" w:hAnsi="宋体" w:eastAsia="楷体_GB2312" w:cs="宋体"/>
          <w:b w:val="0"/>
          <w:bCs/>
          <w:kern w:val="0"/>
          <w:sz w:val="24"/>
          <w:szCs w:val="24"/>
          <w:lang w:val="en" w:eastAsia="zh-CN" w:bidi="ar-SA"/>
        </w:rPr>
      </w:pPr>
      <w:r>
        <w:rPr>
          <w:rFonts w:hint="eastAsia" w:hAnsi="宋体" w:eastAsia="楷体_GB2312" w:cs="宋体"/>
          <w:b/>
          <w:kern w:val="0"/>
          <w:sz w:val="24"/>
          <w:szCs w:val="24"/>
          <w:lang w:val="en-US" w:eastAsia="zh-CN" w:bidi="ar-SA"/>
        </w:rPr>
        <w:t>1、</w:t>
      </w:r>
      <w:r>
        <w:rPr>
          <w:rFonts w:hint="default" w:ascii="楷体_GB2312" w:hAnsi="宋体" w:eastAsia="楷体_GB2312" w:cs="宋体"/>
          <w:b/>
          <w:kern w:val="0"/>
          <w:sz w:val="24"/>
          <w:szCs w:val="24"/>
          <w:lang w:val="en" w:eastAsia="zh-CN" w:bidi="ar-SA"/>
        </w:rPr>
        <w:t>统计范围：</w:t>
      </w:r>
      <w:r>
        <w:rPr>
          <w:rFonts w:hint="default" w:ascii="楷体_GB2312" w:hAnsi="宋体" w:eastAsia="楷体_GB2312" w:cs="宋体"/>
          <w:b w:val="0"/>
          <w:bCs/>
          <w:kern w:val="0"/>
          <w:sz w:val="24"/>
          <w:szCs w:val="24"/>
          <w:lang w:val="en" w:eastAsia="zh-CN" w:bidi="ar-SA"/>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default" w:ascii="楷体_GB2312" w:hAnsi="宋体" w:eastAsia="楷体_GB2312" w:cs="宋体"/>
          <w:b w:val="0"/>
          <w:bCs/>
          <w:kern w:val="0"/>
          <w:sz w:val="24"/>
          <w:szCs w:val="24"/>
          <w:lang w:val="en" w:eastAsia="zh-CN" w:bidi="ar-SA"/>
        </w:rPr>
      </w:pPr>
      <w:r>
        <w:rPr>
          <w:rFonts w:hint="default" w:ascii="楷体_GB2312" w:hAnsi="宋体" w:eastAsia="楷体_GB2312" w:cs="宋体"/>
          <w:b w:val="0"/>
          <w:bCs/>
          <w:kern w:val="0"/>
          <w:sz w:val="24"/>
          <w:szCs w:val="24"/>
          <w:lang w:val="en" w:eastAsia="zh-CN" w:bidi="ar-SA"/>
        </w:rPr>
        <w:t>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rPr>
        <w:t>2、采集渠道：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kinsoku/>
        <w:wordWrap/>
        <w:overflowPunct/>
        <w:topLinePunct w:val="0"/>
        <w:autoSpaceDE/>
        <w:autoSpaceDN/>
        <w:bidi w:val="0"/>
        <w:adjustRightInd w:val="0"/>
        <w:snapToGrid w:val="0"/>
        <w:jc w:val="left"/>
        <w:outlineLvl w:val="9"/>
        <w:rPr>
          <w:rFonts w:hint="eastAsia"/>
          <w:b/>
          <w:color w:val="0000FF"/>
          <w:sz w:val="24"/>
          <w:szCs w:val="24"/>
          <w:lang w:eastAsia="zh-CN"/>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消费支出：指住户用于满足家庭日常生活消费需要的全部支出，包括用于消费品的支出和用于服务性消费的支出。根据用途不同，消费支出可划分为食品烟酒、衣着、居住、生活用品及服务、交通通信、教育文化娱乐、医疗保健、其他用品及服务八大类。食品烟酒：指用于各种食品和烟草、酒类的支出。衣着：指与居民穿着有关的支出，包括服装、服装材料、鞋类、其他衣类及配件、衣着相关加工服务的支出。居住：指与居住相关的支出，包括房租、水、电、燃料、物业管理等方面的支出，也包括自有住房折算租金。生活用品及服务：指家庭及个人的各类生活品及家庭服务。包括家具及室内装饰品、家用器具、家用纺织品、家庭日用杂品、个人用品和家庭服务。交通通信：指用于交通和通信工具及相关的各种服务费、维修费和车辆保险等支出。教育文化娱乐：指用于教育和文化娱乐方面的支出。医疗保健：指用于医疗和保健的药品、用品和服务的总费用。包括医疗器具及药品，以及医疗服务。其他用品及服务：指无法直接归入上述各类支出的其他用品和服务支出。</w:t>
      </w:r>
    </w:p>
    <w:p>
      <w:pPr>
        <w:pStyle w:val="2"/>
        <w:keepNext w:val="0"/>
        <w:keepLines w:val="0"/>
        <w:pageBreakBefore w:val="0"/>
        <w:kinsoku/>
        <w:wordWrap/>
        <w:overflowPunct/>
        <w:topLinePunct w:val="0"/>
        <w:autoSpaceDE/>
        <w:autoSpaceDN/>
        <w:bidi w:val="0"/>
        <w:adjustRightInd w:val="0"/>
        <w:snapToGrid w:val="0"/>
        <w:outlineLvl w:val="9"/>
        <w:rPr>
          <w:rFonts w:hint="eastAsia"/>
          <w:lang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65CD"/>
    <w:multiLevelType w:val="singleLevel"/>
    <w:tmpl w:val="EFDF65CD"/>
    <w:lvl w:ilvl="0" w:tentative="0">
      <w:start w:val="1"/>
      <w:numFmt w:val="decimal"/>
      <w:suff w:val="nothing"/>
      <w:lvlText w:val="%1、"/>
      <w:lvlJc w:val="left"/>
    </w:lvl>
  </w:abstractNum>
  <w:abstractNum w:abstractNumId="1">
    <w:nsid w:val="16658446"/>
    <w:multiLevelType w:val="singleLevel"/>
    <w:tmpl w:val="1665844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C094926"/>
    <w:rsid w:val="3CA06950"/>
    <w:rsid w:val="3CD34D5E"/>
    <w:rsid w:val="3DF66AB0"/>
    <w:rsid w:val="3E5544D7"/>
    <w:rsid w:val="3ED06649"/>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ED99CC2"/>
    <w:rsid w:val="7F1879BC"/>
    <w:rsid w:val="7F3A5975"/>
    <w:rsid w:val="81EB3C3A"/>
    <w:rsid w:val="8CDA845A"/>
    <w:rsid w:val="99B77EE0"/>
    <w:rsid w:val="9FED37BA"/>
    <w:rsid w:val="A1F996D1"/>
    <w:rsid w:val="A79F92C3"/>
    <w:rsid w:val="AB6F98F3"/>
    <w:rsid w:val="B7799B9E"/>
    <w:rsid w:val="B7FF7374"/>
    <w:rsid w:val="BB9F279F"/>
    <w:rsid w:val="BDF6F2E2"/>
    <w:rsid w:val="BF69E885"/>
    <w:rsid w:val="BFB650B6"/>
    <w:rsid w:val="C6FCE371"/>
    <w:rsid w:val="CD3B0D55"/>
    <w:rsid w:val="D57D44D0"/>
    <w:rsid w:val="D7EE2A06"/>
    <w:rsid w:val="DBB74874"/>
    <w:rsid w:val="DDF6AF67"/>
    <w:rsid w:val="DF7BDF92"/>
    <w:rsid w:val="DF8DE048"/>
    <w:rsid w:val="DFAB23FE"/>
    <w:rsid w:val="DFB724C3"/>
    <w:rsid w:val="DFBFE4DB"/>
    <w:rsid w:val="E7DD7C91"/>
    <w:rsid w:val="E7F7B4E4"/>
    <w:rsid w:val="E7FDA2F2"/>
    <w:rsid w:val="EA6790F0"/>
    <w:rsid w:val="EBEF1CA0"/>
    <w:rsid w:val="EBF5BF5A"/>
    <w:rsid w:val="EDFE27A9"/>
    <w:rsid w:val="EEFF3E89"/>
    <w:rsid w:val="EF7D7BB4"/>
    <w:rsid w:val="EF99AF02"/>
    <w:rsid w:val="F047853D"/>
    <w:rsid w:val="F2ECBDBB"/>
    <w:rsid w:val="F5FF6C02"/>
    <w:rsid w:val="F69F3012"/>
    <w:rsid w:val="F6FE7D1F"/>
    <w:rsid w:val="F7B564CC"/>
    <w:rsid w:val="F7BFE11D"/>
    <w:rsid w:val="FBDF6E2B"/>
    <w:rsid w:val="FE3F8DB9"/>
    <w:rsid w:val="FE77F456"/>
    <w:rsid w:val="FECFFF92"/>
    <w:rsid w:val="FF9FF837"/>
    <w:rsid w:val="FFAD37E5"/>
    <w:rsid w:val="FFD83BD6"/>
    <w:rsid w:val="FFDB47DB"/>
    <w:rsid w:val="FFDDC2DC"/>
    <w:rsid w:val="FFDF4CDE"/>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2020-08-11T17:20:00Z</dcterms:created>
  <dc:creator>NTKO</dc:creator>
  <cp:lastModifiedBy>zhk</cp:lastModifiedBy>
  <cp:lastPrinted>2025-01-24T22:35:00Z</cp:lastPrinted>
  <dcterms:modified xsi:type="dcterms:W3CDTF">2025-01-24T10:19:19Z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