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200"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2983" w:hRule="atLeast"/>
        </w:trPr>
        <w:tc>
          <w:tcPr>
            <w:tcW w:w="13200" w:type="dxa"/>
            <w:tcBorders>
              <w:tl2br w:val="nil"/>
              <w:tr2bl w:val="nil"/>
            </w:tcBorders>
            <w:vAlign w:val="center"/>
          </w:tcPr>
          <w:tbl>
            <w:tblPr>
              <w:tblStyle w:val="6"/>
              <w:tblpPr w:leftFromText="180" w:rightFromText="180" w:vertAnchor="text" w:horzAnchor="page" w:tblpX="3" w:tblpY="-3244"/>
              <w:tblOverlap w:val="never"/>
              <w:tblW w:w="13191" w:type="dxa"/>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767"/>
              <w:gridCol w:w="2013"/>
              <w:gridCol w:w="2087"/>
              <w:gridCol w:w="2129"/>
              <w:gridCol w:w="1040"/>
              <w:gridCol w:w="1155"/>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gridAfter w:val="1"/>
                <w:wAfter w:w="1155" w:type="dxa"/>
                <w:trHeight w:val="476" w:hRule="atLeast"/>
              </w:trPr>
              <w:tc>
                <w:tcPr>
                  <w:tcW w:w="12036" w:type="dxa"/>
                  <w:gridSpan w:val="5"/>
                  <w:tcBorders>
                    <w:tl2br w:val="nil"/>
                    <w:tr2bl w:val="nil"/>
                  </w:tcBorders>
                  <w:tcMar>
                    <w:left w:w="84" w:type="dxa"/>
                    <w:right w:w="84" w:type="dxa"/>
                  </w:tcMar>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eastAsia="宋体"/>
                      <w:b/>
                      <w:color w:val="404040"/>
                      <w:sz w:val="30"/>
                      <w:szCs w:val="30"/>
                      <w:lang w:eastAsia="zh-CN"/>
                    </w:rPr>
                  </w:pPr>
                  <w:r>
                    <w:rPr>
                      <w:rFonts w:hint="eastAsia"/>
                      <w:b/>
                      <w:color w:val="0000FF"/>
                      <w:sz w:val="36"/>
                      <w:szCs w:val="36"/>
                      <w:lang w:val="en-US" w:eastAsia="zh-CN"/>
                    </w:rPr>
                    <w:t xml:space="preserve">       居民收支统计数据：</w:t>
                  </w:r>
                  <w:r>
                    <w:rPr>
                      <w:rFonts w:hint="eastAsia"/>
                      <w:b/>
                      <w:color w:val="0000FF"/>
                      <w:sz w:val="36"/>
                      <w:szCs w:val="36"/>
                      <w:lang w:eastAsia="zh-CN"/>
                    </w:rPr>
                    <w:t>2024年</w:t>
                  </w:r>
                  <w:r>
                    <w:rPr>
                      <w:rFonts w:hint="default"/>
                      <w:b/>
                      <w:color w:val="0000FF"/>
                      <w:sz w:val="36"/>
                      <w:szCs w:val="36"/>
                      <w:lang w:val="en" w:eastAsia="zh-CN"/>
                    </w:rPr>
                    <w:t>1-3季</w:t>
                  </w:r>
                  <w:r>
                    <w:rPr>
                      <w:rFonts w:hint="eastAsia"/>
                      <w:b/>
                      <w:color w:val="0000FF"/>
                      <w:sz w:val="36"/>
                      <w:szCs w:val="36"/>
                      <w:lang w:eastAsia="zh-CN"/>
                    </w:rPr>
                    <w:t>度居民人均可支配收入情况</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431" w:hRule="atLeast"/>
              </w:trPr>
              <w:tc>
                <w:tcPr>
                  <w:tcW w:w="4767" w:type="dxa"/>
                  <w:vMerge w:val="restart"/>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指 标 名 称</w:t>
                  </w:r>
                </w:p>
              </w:tc>
              <w:tc>
                <w:tcPr>
                  <w:tcW w:w="4100" w:type="dxa"/>
                  <w:gridSpan w:val="2"/>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全区居民</w:t>
                  </w:r>
                </w:p>
              </w:tc>
              <w:tc>
                <w:tcPr>
                  <w:tcW w:w="4324" w:type="dxa"/>
                  <w:gridSpan w:val="3"/>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城镇居民</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atLeast"/>
              </w:trPr>
              <w:tc>
                <w:tcPr>
                  <w:tcW w:w="4767" w:type="dxa"/>
                  <w:vMerge w:val="continue"/>
                  <w:tcBorders>
                    <w:top w:val="single" w:color="auto" w:sz="2" w:space="0"/>
                    <w:bottom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outlineLvl w:val="9"/>
                    <w:rPr>
                      <w:rFonts w:hint="eastAsia" w:ascii="宋体" w:hAnsi="宋体" w:eastAsia="宋体" w:cs="宋体"/>
                      <w:b w:val="0"/>
                      <w:bCs/>
                      <w:sz w:val="24"/>
                      <w:szCs w:val="24"/>
                    </w:rPr>
                  </w:pPr>
                </w:p>
              </w:tc>
              <w:tc>
                <w:tcPr>
                  <w:tcW w:w="2013"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2024年</w:t>
                  </w:r>
                  <w:r>
                    <w:rPr>
                      <w:rStyle w:val="8"/>
                      <w:rFonts w:hint="default" w:ascii="宋体" w:hAnsi="宋体" w:eastAsia="宋体" w:cs="宋体"/>
                      <w:b w:val="0"/>
                      <w:bCs/>
                      <w:color w:val="404040"/>
                      <w:sz w:val="24"/>
                      <w:szCs w:val="24"/>
                      <w:lang w:val="en" w:eastAsia="zh-CN"/>
                    </w:rPr>
                    <w:t>1-3季</w:t>
                  </w:r>
                  <w:r>
                    <w:rPr>
                      <w:rStyle w:val="8"/>
                      <w:rFonts w:hint="eastAsia" w:ascii="宋体" w:hAnsi="宋体" w:eastAsia="宋体" w:cs="宋体"/>
                      <w:b w:val="0"/>
                      <w:bCs/>
                      <w:color w:val="404040"/>
                      <w:sz w:val="24"/>
                      <w:szCs w:val="24"/>
                      <w:lang w:eastAsia="zh-CN"/>
                    </w:rPr>
                    <w:t>度</w:t>
                  </w:r>
                </w:p>
              </w:tc>
              <w:tc>
                <w:tcPr>
                  <w:tcW w:w="2087"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c>
                <w:tcPr>
                  <w:tcW w:w="2129"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val="en-US" w:eastAsia="zh-CN"/>
                    </w:rPr>
                  </w:pPr>
                  <w:r>
                    <w:rPr>
                      <w:rStyle w:val="8"/>
                      <w:rFonts w:hint="eastAsia" w:ascii="宋体" w:hAnsi="宋体" w:eastAsia="宋体" w:cs="宋体"/>
                      <w:b w:val="0"/>
                      <w:bCs/>
                      <w:color w:val="404040"/>
                      <w:sz w:val="24"/>
                      <w:szCs w:val="24"/>
                      <w:lang w:eastAsia="zh-CN"/>
                    </w:rPr>
                    <w:t>2024年</w:t>
                  </w:r>
                  <w:r>
                    <w:rPr>
                      <w:rStyle w:val="8"/>
                      <w:rFonts w:hint="default" w:ascii="宋体" w:hAnsi="宋体" w:eastAsia="宋体" w:cs="宋体"/>
                      <w:b w:val="0"/>
                      <w:bCs/>
                      <w:color w:val="404040"/>
                      <w:sz w:val="24"/>
                      <w:szCs w:val="24"/>
                      <w:lang w:val="en" w:eastAsia="zh-CN"/>
                    </w:rPr>
                    <w:t>1-3季</w:t>
                  </w:r>
                  <w:r>
                    <w:rPr>
                      <w:rStyle w:val="8"/>
                      <w:rFonts w:hint="eastAsia" w:ascii="宋体" w:hAnsi="宋体" w:eastAsia="宋体" w:cs="宋体"/>
                      <w:b w:val="0"/>
                      <w:bCs/>
                      <w:color w:val="404040"/>
                      <w:sz w:val="24"/>
                      <w:szCs w:val="24"/>
                      <w:lang w:eastAsia="zh-CN"/>
                    </w:rPr>
                    <w:t>度</w:t>
                  </w:r>
                </w:p>
              </w:tc>
              <w:tc>
                <w:tcPr>
                  <w:tcW w:w="2195" w:type="dxa"/>
                  <w:gridSpan w:val="2"/>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single" w:color="auto" w:sz="2" w:space="0"/>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b/>
                      <w:bCs/>
                      <w:color w:val="404040"/>
                      <w:sz w:val="24"/>
                      <w:szCs w:val="24"/>
                      <w:lang w:eastAsia="zh-CN"/>
                    </w:rPr>
                  </w:pPr>
                  <w:r>
                    <w:rPr>
                      <w:rStyle w:val="8"/>
                      <w:rFonts w:hint="eastAsia" w:ascii="宋体" w:hAnsi="宋体" w:eastAsia="宋体" w:cs="宋体"/>
                      <w:b/>
                      <w:bCs/>
                      <w:color w:val="404040"/>
                      <w:sz w:val="24"/>
                      <w:szCs w:val="24"/>
                    </w:rPr>
                    <w:t> </w:t>
                  </w:r>
                  <w:r>
                    <w:rPr>
                      <w:rStyle w:val="8"/>
                      <w:rFonts w:hint="eastAsia" w:ascii="宋体" w:hAnsi="宋体" w:eastAsia="宋体" w:cs="宋体"/>
                      <w:b/>
                      <w:bCs/>
                      <w:color w:val="404040"/>
                      <w:sz w:val="24"/>
                      <w:szCs w:val="24"/>
                      <w:lang w:val="en-US" w:eastAsia="zh-CN"/>
                    </w:rPr>
                    <w:t xml:space="preserve"> </w:t>
                  </w:r>
                  <w:r>
                    <w:rPr>
                      <w:rStyle w:val="8"/>
                      <w:rFonts w:hint="eastAsia" w:ascii="宋体" w:hAnsi="宋体" w:eastAsia="宋体" w:cs="宋体"/>
                      <w:b/>
                      <w:bCs/>
                      <w:color w:val="404040"/>
                      <w:sz w:val="24"/>
                      <w:szCs w:val="24"/>
                    </w:rPr>
                    <w:t>人均可支配收入</w:t>
                  </w:r>
                  <w:r>
                    <w:rPr>
                      <w:rStyle w:val="8"/>
                      <w:rFonts w:hint="eastAsia" w:ascii="宋体" w:hAnsi="宋体" w:eastAsia="宋体" w:cs="宋体"/>
                      <w:b/>
                      <w:bCs/>
                      <w:color w:val="404040"/>
                      <w:sz w:val="24"/>
                      <w:szCs w:val="24"/>
                      <w:lang w:eastAsia="zh-CN"/>
                    </w:rPr>
                    <w:t>（元）</w:t>
                  </w:r>
                </w:p>
              </w:tc>
              <w:tc>
                <w:tcPr>
                  <w:tcW w:w="2013"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37710 </w:t>
                  </w:r>
                </w:p>
              </w:tc>
              <w:tc>
                <w:tcPr>
                  <w:tcW w:w="2087"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4.7 </w:t>
                  </w:r>
                </w:p>
              </w:tc>
              <w:tc>
                <w:tcPr>
                  <w:tcW w:w="2129"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46229 </w:t>
                  </w:r>
                </w:p>
              </w:tc>
              <w:tc>
                <w:tcPr>
                  <w:tcW w:w="2195" w:type="dxa"/>
                  <w:gridSpan w:val="2"/>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工资性收入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31625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4.4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41175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经营净收入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1045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10.5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671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14.9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财产净收入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1941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4.4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2808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single" w:color="auto" w:sz="1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转移净收入</w:t>
                  </w:r>
                </w:p>
              </w:tc>
              <w:tc>
                <w:tcPr>
                  <w:tcW w:w="2013"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3100 </w:t>
                  </w:r>
                </w:p>
              </w:tc>
              <w:tc>
                <w:tcPr>
                  <w:tcW w:w="2087"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5.9 </w:t>
                  </w:r>
                </w:p>
              </w:tc>
              <w:tc>
                <w:tcPr>
                  <w:tcW w:w="2129"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1575 </w:t>
                  </w:r>
                </w:p>
              </w:tc>
              <w:tc>
                <w:tcPr>
                  <w:tcW w:w="2195" w:type="dxa"/>
                  <w:gridSpan w:val="2"/>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22.6 </w:t>
                  </w:r>
                </w:p>
              </w:tc>
            </w:tr>
          </w:tbl>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5047" w:hRule="atLeast"/>
        </w:trPr>
        <w:tc>
          <w:tcPr>
            <w:tcW w:w="13200"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ascii="楷体_GB2312" w:hAnsi="宋体" w:eastAsia="楷体_GB2312" w:cs="宋体"/>
                <w:kern w:val="0"/>
                <w:sz w:val="22"/>
                <w:szCs w:val="22"/>
              </w:rPr>
            </w:pPr>
            <w:r>
              <w:rPr>
                <w:rFonts w:hint="eastAsia" w:ascii="楷体_GB2312" w:hAnsi="宋体" w:eastAsia="楷体_GB2312" w:cs="宋体"/>
                <w:kern w:val="0"/>
                <w:sz w:val="22"/>
                <w:szCs w:val="22"/>
              </w:rPr>
              <w:t>注释：</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kern w:val="0"/>
                <w:sz w:val="22"/>
                <w:szCs w:val="22"/>
              </w:rPr>
            </w:pPr>
            <w:r>
              <w:rPr>
                <w:rFonts w:hint="eastAsia" w:ascii="楷体_GB2312" w:hAnsi="宋体" w:eastAsia="楷体_GB2312" w:cs="宋体"/>
                <w:b/>
                <w:kern w:val="0"/>
                <w:sz w:val="22"/>
                <w:szCs w:val="22"/>
              </w:rPr>
              <w:t>统计范围：</w:t>
            </w:r>
            <w:r>
              <w:rPr>
                <w:rFonts w:hint="eastAsia" w:ascii="楷体_GB2312" w:hAnsi="宋体" w:eastAsia="楷体_GB2312" w:cs="宋体"/>
                <w:b w:val="0"/>
                <w:bCs/>
                <w:kern w:val="0"/>
                <w:sz w:val="22"/>
                <w:szCs w:val="22"/>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outlineLvl w:val="9"/>
              <w:rPr>
                <w:rFonts w:hint="eastAsia" w:ascii="楷体_GB2312" w:hAnsi="宋体" w:eastAsia="楷体_GB2312" w:cs="宋体"/>
                <w:b w:val="0"/>
                <w:bCs/>
                <w:kern w:val="0"/>
                <w:sz w:val="22"/>
                <w:szCs w:val="22"/>
              </w:rPr>
            </w:pPr>
            <w:r>
              <w:rPr>
                <w:rFonts w:hint="eastAsia" w:ascii="楷体_GB2312" w:hAnsi="宋体" w:eastAsia="楷体_GB2312" w:cs="宋体"/>
                <w:b/>
                <w:kern w:val="0"/>
                <w:sz w:val="22"/>
                <w:szCs w:val="22"/>
                <w:lang w:val="en-US" w:eastAsia="zh-CN"/>
              </w:rPr>
              <w:t>2、</w:t>
            </w:r>
            <w:r>
              <w:rPr>
                <w:rFonts w:hint="eastAsia" w:ascii="楷体_GB2312" w:hAnsi="宋体" w:eastAsia="楷体_GB2312" w:cs="宋体"/>
                <w:b/>
                <w:kern w:val="0"/>
                <w:sz w:val="22"/>
                <w:szCs w:val="22"/>
              </w:rPr>
              <w:t>采集渠道：</w:t>
            </w:r>
            <w:r>
              <w:rPr>
                <w:rFonts w:hint="eastAsia" w:ascii="楷体_GB2312" w:hAnsi="宋体" w:eastAsia="楷体_GB2312" w:cs="宋体"/>
                <w:b w:val="0"/>
                <w:bCs/>
                <w:kern w:val="0"/>
                <w:sz w:val="22"/>
                <w:szCs w:val="22"/>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val="0"/>
                <w:bCs/>
                <w:kern w:val="0"/>
                <w:sz w:val="22"/>
                <w:szCs w:val="22"/>
              </w:rPr>
            </w:pPr>
            <w:r>
              <w:rPr>
                <w:rFonts w:hint="eastAsia" w:ascii="楷体_GB2312" w:hAnsi="宋体" w:eastAsia="楷体_GB2312" w:cs="宋体"/>
                <w:b/>
                <w:kern w:val="0"/>
                <w:sz w:val="22"/>
                <w:szCs w:val="22"/>
                <w:lang w:val="en-US" w:eastAsia="zh-CN"/>
              </w:rPr>
              <w:t>3</w:t>
            </w:r>
            <w:r>
              <w:rPr>
                <w:rFonts w:hint="eastAsia" w:ascii="楷体_GB2312" w:hAnsi="宋体" w:eastAsia="楷体_GB2312" w:cs="宋体"/>
                <w:b/>
                <w:kern w:val="0"/>
                <w:sz w:val="22"/>
                <w:szCs w:val="22"/>
              </w:rPr>
              <w:t>、主要统计指标解释：</w:t>
            </w:r>
            <w:r>
              <w:rPr>
                <w:rFonts w:hint="eastAsia" w:ascii="楷体_GB2312" w:hAnsi="宋体" w:eastAsia="楷体_GB2312" w:cs="宋体"/>
                <w:b w:val="0"/>
                <w:bCs/>
                <w:kern w:val="0"/>
                <w:sz w:val="22"/>
                <w:szCs w:val="22"/>
              </w:rPr>
              <w:t>可支配收入：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可支配收入＝工资性收入+经营净收入+财产净收入+转移净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楷体_GB2312" w:hAnsi="宋体" w:eastAsia="楷体_GB2312" w:cs="宋体"/>
                <w:b w:val="0"/>
                <w:bCs/>
                <w:kern w:val="0"/>
                <w:sz w:val="22"/>
                <w:szCs w:val="22"/>
              </w:rPr>
              <w:t>工资性收入：指就业人员通过各种途径得到的全部劳动报酬和各种福利，包括受雇于单位或个人、从事各种自由职业、兼职和零星劳动得到的全部劳动报酬和福利。 经营净收入：指住户或住户成员从事生产经营活动所获得的净收入，是全部经营收入中扣除经营费用、生产性固定资产折旧和生产税之后得到的净收入。财产净收入：指住户或住户成员将其所拥有的金融资产、住房等非金融资产和自然资源交由其他机构单位、住户或个人支配而获得的回报并扣除相关的费用之后得到的净收入。财产净收入不包括转让资产所有权的溢价所得，这应该</w:t>
            </w:r>
            <w:r>
              <w:rPr>
                <w:rFonts w:hint="eastAsia" w:ascii="楷体_GB2312" w:hAnsi="宋体" w:eastAsia="楷体_GB2312" w:cs="宋体"/>
                <w:b w:val="0"/>
                <w:bCs/>
                <w:kern w:val="0"/>
                <w:sz w:val="22"/>
                <w:szCs w:val="22"/>
              </w:rPr>
              <w:t>计入“非收入所得”</w:t>
            </w:r>
            <w:r>
              <w:rPr>
                <w:rFonts w:hint="eastAsia" w:ascii="楷体_GB2312" w:hAnsi="宋体" w:eastAsia="楷体_GB2312" w:cs="宋体"/>
                <w:b w:val="0"/>
                <w:bCs/>
                <w:kern w:val="0"/>
                <w:sz w:val="22"/>
                <w:szCs w:val="22"/>
                <w:lang w:eastAsia="zh-CN"/>
              </w:rPr>
              <w:t>。</w:t>
            </w:r>
            <w:r>
              <w:rPr>
                <w:rFonts w:hint="eastAsia" w:ascii="楷体_GB2312" w:hAnsi="宋体" w:eastAsia="楷体_GB2312" w:cs="宋体"/>
                <w:b w:val="0"/>
                <w:bCs/>
                <w:kern w:val="0"/>
                <w:sz w:val="22"/>
                <w:szCs w:val="22"/>
              </w:rPr>
              <w:t>转移净收入：指国家、单位、社会团体对住户的各种经常性转移支付和住户之间的经常性收入转移，在扣减调查户对国家、单位、住户或者个人的经常性或义务性转移支付后的净收入。</w:t>
            </w:r>
          </w:p>
        </w:tc>
      </w:tr>
    </w:tbl>
    <w:p>
      <w:pPr>
        <w:pStyle w:val="2"/>
        <w:rPr>
          <w:rFonts w:hint="eastAsia"/>
          <w:lang w:val="en-US" w:eastAsia="zh-CN"/>
        </w:rPr>
      </w:pPr>
      <w:bookmarkStart w:id="0" w:name="_GoBack"/>
      <w:bookmarkEnd w:id="0"/>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58446"/>
    <w:multiLevelType w:val="singleLevel"/>
    <w:tmpl w:val="166584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D5F0FB0"/>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ADF51BC"/>
    <w:rsid w:val="1B0B13DC"/>
    <w:rsid w:val="1B122FB6"/>
    <w:rsid w:val="1BCD0481"/>
    <w:rsid w:val="1C0E5505"/>
    <w:rsid w:val="1C276350"/>
    <w:rsid w:val="1C56369B"/>
    <w:rsid w:val="1CD46D9A"/>
    <w:rsid w:val="1D7D5330"/>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E10C8"/>
    <w:rsid w:val="401D61C0"/>
    <w:rsid w:val="414B607C"/>
    <w:rsid w:val="41A3549E"/>
    <w:rsid w:val="426042E3"/>
    <w:rsid w:val="42D90AF2"/>
    <w:rsid w:val="440C601A"/>
    <w:rsid w:val="441A04D4"/>
    <w:rsid w:val="46216826"/>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71080D89"/>
    <w:rsid w:val="7175080B"/>
    <w:rsid w:val="7186F4B4"/>
    <w:rsid w:val="726A1098"/>
    <w:rsid w:val="737B2704"/>
    <w:rsid w:val="73A6F0C8"/>
    <w:rsid w:val="73CC0211"/>
    <w:rsid w:val="73EFABBB"/>
    <w:rsid w:val="741F23A4"/>
    <w:rsid w:val="74501C96"/>
    <w:rsid w:val="75E61BEE"/>
    <w:rsid w:val="75EE766E"/>
    <w:rsid w:val="75F745C8"/>
    <w:rsid w:val="7607511D"/>
    <w:rsid w:val="765833C3"/>
    <w:rsid w:val="77166765"/>
    <w:rsid w:val="7720627A"/>
    <w:rsid w:val="778962BC"/>
    <w:rsid w:val="779A77AC"/>
    <w:rsid w:val="77E9D9C2"/>
    <w:rsid w:val="77F30C7B"/>
    <w:rsid w:val="78B553DE"/>
    <w:rsid w:val="78E85C94"/>
    <w:rsid w:val="7917ABEF"/>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F1879BC"/>
    <w:rsid w:val="7F3A5975"/>
    <w:rsid w:val="7FE5E5AE"/>
    <w:rsid w:val="7FED97DC"/>
    <w:rsid w:val="81EB3C3A"/>
    <w:rsid w:val="8CDA845A"/>
    <w:rsid w:val="99B77EE0"/>
    <w:rsid w:val="9FED37BA"/>
    <w:rsid w:val="B1E636EE"/>
    <w:rsid w:val="BDF6F2E2"/>
    <w:rsid w:val="BF69E885"/>
    <w:rsid w:val="BFB650B6"/>
    <w:rsid w:val="C6FCE371"/>
    <w:rsid w:val="CD3B0D55"/>
    <w:rsid w:val="CEE987AF"/>
    <w:rsid w:val="D57D44D0"/>
    <w:rsid w:val="D7EE2A06"/>
    <w:rsid w:val="DBB74874"/>
    <w:rsid w:val="DDF6AF67"/>
    <w:rsid w:val="DF7BDF92"/>
    <w:rsid w:val="DF8DE048"/>
    <w:rsid w:val="DFAB23FE"/>
    <w:rsid w:val="DFBFE4DB"/>
    <w:rsid w:val="DFFB9D36"/>
    <w:rsid w:val="E7F7B4E4"/>
    <w:rsid w:val="E7FDA2F2"/>
    <w:rsid w:val="EA6790F0"/>
    <w:rsid w:val="EBF5BF5A"/>
    <w:rsid w:val="EDFE27A9"/>
    <w:rsid w:val="EEFF3E89"/>
    <w:rsid w:val="EF7D7BB4"/>
    <w:rsid w:val="F047853D"/>
    <w:rsid w:val="F2ECBDBB"/>
    <w:rsid w:val="F5FF6C02"/>
    <w:rsid w:val="F69F3012"/>
    <w:rsid w:val="F6FE7D1F"/>
    <w:rsid w:val="F7BFE11D"/>
    <w:rsid w:val="FBDF6E2B"/>
    <w:rsid w:val="FE3F8DB9"/>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2020-08-09T09:20:00Z</dcterms:created>
  <dc:creator>NTKO</dc:creator>
  <cp:lastModifiedBy>zhk</cp:lastModifiedBy>
  <cp:lastPrinted>2024-07-31T02:28:00Z</cp:lastPrinted>
  <dcterms:modified xsi:type="dcterms:W3CDTF">2024-10-30T10:44:45Z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