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7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88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 w:bidi="ar-SA"/>
        </w:rPr>
        <w:t>2026年1-8月密云区经济运行情况简析</w:t>
      </w:r>
    </w:p>
    <w:p>
      <w:pPr>
        <w:pStyle w:val="16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61" w:beforeLines="100" w:beforeAutospacing="0" w:after="0" w:afterAutospacing="0"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 w:bidi="ar-SA"/>
        </w:rPr>
        <w:t>2026年1-8月，密云区经济运行总体平稳，工业、固定资产投资保持增长，消费市场继续恢复，服务业降幅收窄。</w:t>
      </w:r>
    </w:p>
    <w:p>
      <w:pPr>
        <w:keepNext w:val="0"/>
        <w:keepLines w:val="0"/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11"/>
          <w:right w:val="none" w:color="000000" w:sz="0" w:space="2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560" w:lineRule="exact"/>
        <w:ind w:firstLine="640" w:firstLineChars="200"/>
        <w:contextualSpacing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一、固定资产投资增速全市领跑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11"/>
          <w:right w:val="none" w:color="000000" w:sz="0" w:space="2"/>
        </w:pBdr>
        <w:adjustRightInd w:val="0"/>
        <w:snapToGrid w:val="0"/>
        <w:spacing w:line="560" w:lineRule="exact"/>
        <w:ind w:firstLine="640" w:firstLineChars="200"/>
        <w:contextualSpacing/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1-8月，全区固定资产投资（不含农户）同比增长59.4%，高于全市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54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个百分点。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从重点监测领域看，建安投资同比增长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104.7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%，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占全区投资的比重为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58.0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%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；房地产开发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投资同比增长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6.2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，占全区投资的比重为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22.7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%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11"/>
          <w:right w:val="none" w:color="000000" w:sz="0" w:space="2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560" w:lineRule="exact"/>
        <w:ind w:firstLine="640" w:firstLineChars="200"/>
        <w:contextualSpacing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二、消费市场展现回暖势头</w:t>
      </w:r>
    </w:p>
    <w:p>
      <w:pPr>
        <w:keepNext w:val="0"/>
        <w:keepLines w:val="0"/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11"/>
          <w:right w:val="none" w:color="000000" w:sz="0" w:space="2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560" w:lineRule="exact"/>
        <w:ind w:firstLine="640" w:firstLineChars="200"/>
        <w:contextualSpacing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1-8月，全区实现社会消费品零售总额105.9亿元，同比增长1.0%。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从消费形态看，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商品零售额99.3亿元，同比增长0.8%；餐饮收入6.6亿元，同比增长3.9%。</w:t>
      </w:r>
    </w:p>
    <w:p>
      <w:pPr>
        <w:keepNext w:val="0"/>
        <w:keepLines w:val="0"/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11"/>
          <w:right w:val="none" w:color="000000" w:sz="0" w:space="2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560" w:lineRule="exact"/>
        <w:ind w:firstLine="640" w:firstLineChars="200"/>
        <w:contextualSpacing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三、工业产值保持稳步增长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11"/>
          <w:right w:val="none" w:color="000000" w:sz="0" w:space="2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560" w:lineRule="exact"/>
        <w:ind w:firstLine="640" w:firstLineChars="200"/>
        <w:contextualSpacing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1-8月，全区规模以上工业企业总产值186.1亿元，同比增长7.6%。从重点行业看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汽车制造业实现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 w:bidi="ar-SA"/>
        </w:rPr>
        <w:t>产值85.2亿元，同比增长19.7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" w:eastAsia="zh-CN" w:bidi="ar-SA"/>
        </w:rPr>
        <w:t>%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 w:bidi="ar-SA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医药制造业实现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 w:bidi="ar-SA"/>
        </w:rPr>
        <w:t>产值33.0亿元，同比增长13.7%；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酒、饮料和精制茶制造业实现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 w:bidi="ar-SA"/>
        </w:rPr>
        <w:t>产值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19.7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 w:bidi="ar-SA"/>
        </w:rPr>
        <w:t>亿元，同比下降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8.5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 w:bidi="ar-SA"/>
        </w:rPr>
        <w:t>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11"/>
          <w:right w:val="none" w:color="000000" w:sz="0" w:space="2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560" w:lineRule="exact"/>
        <w:ind w:firstLine="640" w:firstLineChars="200"/>
        <w:contextualSpacing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四、服务业降幅收窄</w:t>
      </w:r>
    </w:p>
    <w:p>
      <w:pPr>
        <w:keepNext w:val="0"/>
        <w:keepLines w:val="0"/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11"/>
          <w:right w:val="none" w:color="000000" w:sz="0" w:space="2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560" w:lineRule="exact"/>
        <w:ind w:firstLine="640" w:firstLineChars="200"/>
        <w:contextualSpacing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1-7月</w:t>
      </w:r>
      <w:r>
        <w:rPr>
          <w:rStyle w:val="138"/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footnoteReference w:id="0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，全区237家规模以上服务业企业实现营业收入210.3亿元，同比下降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4.0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%，降幅较1-6月（-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4.7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%）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收窄0.7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个百分点。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从增长行业看，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居民修理服务业表现亮眼，实现收入8.8亿元，同比增长84.2%；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文体娱乐业实现收入15.3亿元，同比增长7.0%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；租商服务业实现收入38.5亿元，同比增长9.4%；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信软业实现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收入37.6亿元，同比增长1.7%。从下降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行业看，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房地产业实现收入57.9亿元，同比下降19.8%；交通运输业、科技服务业、水利环境和公共设施管理业分别实现收入20.9亿元、27.0亿元、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4.0亿元，同比分别下降5.2%、1.3%和30.3%。</w:t>
      </w:r>
    </w:p>
    <w:p>
      <w:pPr>
        <w:pStyle w:val="172"/>
        <w:bidi w:val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附表：2026年1-8月主要经济指标实现情况</w:t>
      </w:r>
    </w:p>
    <w:p>
      <w:pPr>
        <w:pStyle w:val="172"/>
        <w:bidi w:val="0"/>
        <w:rPr>
          <w:rFonts w:hint="eastAsia"/>
          <w:lang w:val="en-US" w:eastAsia="zh-CN"/>
        </w:rPr>
      </w:pPr>
    </w:p>
    <w:p>
      <w:pPr>
        <w:pStyle w:val="172"/>
        <w:bidi w:val="0"/>
        <w:rPr>
          <w:rFonts w:hint="eastAsia"/>
          <w:lang w:val="en-US" w:eastAsia="zh-CN"/>
        </w:rPr>
      </w:pPr>
    </w:p>
    <w:p>
      <w:pPr>
        <w:pStyle w:val="172"/>
        <w:bidi w:val="0"/>
        <w:rPr>
          <w:rFonts w:hint="eastAsia"/>
          <w:lang w:val="en-US" w:eastAsia="zh-CN"/>
        </w:rPr>
      </w:pPr>
    </w:p>
    <w:p>
      <w:pPr>
        <w:pStyle w:val="172"/>
        <w:bidi w:val="0"/>
        <w:rPr>
          <w:rFonts w:hint="eastAsia"/>
          <w:lang w:val="en-US" w:eastAsia="zh-CN"/>
        </w:rPr>
      </w:pPr>
    </w:p>
    <w:p>
      <w:pPr>
        <w:pStyle w:val="172"/>
        <w:bidi w:val="0"/>
        <w:rPr>
          <w:rFonts w:hint="eastAsia"/>
          <w:lang w:val="en-US" w:eastAsia="zh-CN"/>
        </w:rPr>
      </w:pPr>
    </w:p>
    <w:p>
      <w:pPr>
        <w:pStyle w:val="172"/>
        <w:bidi w:val="0"/>
        <w:rPr>
          <w:rFonts w:hint="eastAsia"/>
          <w:lang w:val="en-US" w:eastAsia="zh-CN"/>
        </w:rPr>
      </w:pPr>
    </w:p>
    <w:p>
      <w:pPr>
        <w:pStyle w:val="172"/>
        <w:bidi w:val="0"/>
        <w:rPr>
          <w:rFonts w:hint="eastAsia"/>
          <w:lang w:val="en-US" w:eastAsia="zh-CN"/>
        </w:rPr>
      </w:pPr>
    </w:p>
    <w:p>
      <w:pPr>
        <w:pStyle w:val="172"/>
        <w:bidi w:val="0"/>
        <w:rPr>
          <w:rFonts w:hint="eastAsia"/>
          <w:lang w:val="en-US" w:eastAsia="zh-CN"/>
        </w:rPr>
      </w:pPr>
    </w:p>
    <w:p>
      <w:pPr>
        <w:pStyle w:val="172"/>
        <w:bidi w:val="0"/>
        <w:rPr>
          <w:rFonts w:hint="eastAsia"/>
          <w:lang w:val="en-US" w:eastAsia="zh-CN"/>
        </w:rPr>
      </w:pPr>
    </w:p>
    <w:p>
      <w:pPr>
        <w:pStyle w:val="172"/>
        <w:bidi w:val="0"/>
        <w:rPr>
          <w:rFonts w:hint="eastAsia"/>
          <w:lang w:val="en-US" w:eastAsia="zh-CN"/>
        </w:rPr>
      </w:pPr>
    </w:p>
    <w:p>
      <w:pPr>
        <w:pStyle w:val="172"/>
        <w:bidi w:val="0"/>
        <w:ind w:left="0" w:leftChars="0" w:firstLine="0" w:firstLineChars="0"/>
        <w:rPr>
          <w:rFonts w:hint="eastAsia"/>
          <w:lang w:val="en-US" w:eastAsia="zh-CN"/>
        </w:rPr>
      </w:pPr>
    </w:p>
    <w:tbl>
      <w:tblPr>
        <w:tblStyle w:val="35"/>
        <w:tblpPr w:leftFromText="180" w:rightFromText="180" w:vertAnchor="text" w:horzAnchor="page" w:tblpX="1806" w:tblpY="342"/>
        <w:tblOverlap w:val="never"/>
        <w:tblW w:w="832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45"/>
        <w:gridCol w:w="988"/>
        <w:gridCol w:w="950"/>
        <w:gridCol w:w="1012"/>
        <w:gridCol w:w="10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exact"/>
        </w:trPr>
        <w:tc>
          <w:tcPr>
            <w:tcW w:w="8326" w:type="dxa"/>
            <w:gridSpan w:val="5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附表                </w:t>
            </w:r>
            <w:r>
              <w:rPr>
                <w:rFonts w:hint="eastAsia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</w:t>
            </w:r>
            <w:r>
              <w:rPr>
                <w:rFonts w:hint="eastAsia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1-8月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主要经济指标实现情况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exact"/>
        </w:trPr>
        <w:tc>
          <w:tcPr>
            <w:tcW w:w="434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 标 名 称</w:t>
            </w:r>
          </w:p>
        </w:tc>
        <w:tc>
          <w:tcPr>
            <w:tcW w:w="988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95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本期累计</w:t>
            </w:r>
          </w:p>
        </w:tc>
        <w:tc>
          <w:tcPr>
            <w:tcW w:w="1012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上年同期</w:t>
            </w:r>
          </w:p>
        </w:tc>
        <w:tc>
          <w:tcPr>
            <w:tcW w:w="1031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增长（%）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固定资产投资（项目建设地）</w:t>
            </w:r>
          </w:p>
        </w:tc>
        <w:tc>
          <w:tcPr>
            <w:tcW w:w="98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固定资产投资（不含农户）</w:t>
            </w:r>
          </w:p>
        </w:tc>
        <w:tc>
          <w:tcPr>
            <w:tcW w:w="98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亿元</w:t>
            </w:r>
          </w:p>
        </w:tc>
        <w:tc>
          <w:tcPr>
            <w:tcW w:w="9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101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1031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5</w:t>
            </w:r>
            <w:r>
              <w:rPr>
                <w:rFonts w:hint="eastAsia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 xml:space="preserve">.4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其中：建安投资</w:t>
            </w:r>
          </w:p>
        </w:tc>
        <w:tc>
          <w:tcPr>
            <w:tcW w:w="98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亿元</w:t>
            </w:r>
          </w:p>
        </w:tc>
        <w:tc>
          <w:tcPr>
            <w:tcW w:w="9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101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1031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10</w:t>
            </w:r>
            <w:r>
              <w:rPr>
                <w:rFonts w:hint="eastAsia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.</w:t>
            </w:r>
            <w:r>
              <w:rPr>
                <w:rFonts w:hint="eastAsia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 xml:space="preserve">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房地产开发投资</w:t>
            </w:r>
          </w:p>
        </w:tc>
        <w:tc>
          <w:tcPr>
            <w:tcW w:w="988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亿元</w:t>
            </w:r>
          </w:p>
        </w:tc>
        <w:tc>
          <w:tcPr>
            <w:tcW w:w="9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101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0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1031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6.2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  业</w:t>
            </w:r>
          </w:p>
        </w:tc>
        <w:tc>
          <w:tcPr>
            <w:tcW w:w="98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规模以上工业总产值</w:t>
            </w:r>
          </w:p>
        </w:tc>
        <w:tc>
          <w:tcPr>
            <w:tcW w:w="98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亿元</w:t>
            </w:r>
          </w:p>
        </w:tc>
        <w:tc>
          <w:tcPr>
            <w:tcW w:w="9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186.1 </w:t>
            </w:r>
          </w:p>
        </w:tc>
        <w:tc>
          <w:tcPr>
            <w:tcW w:w="101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173.0 </w:t>
            </w:r>
          </w:p>
        </w:tc>
        <w:tc>
          <w:tcPr>
            <w:tcW w:w="1031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7.6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　其中：汽车制造业</w:t>
            </w:r>
          </w:p>
        </w:tc>
        <w:tc>
          <w:tcPr>
            <w:tcW w:w="98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亿元</w:t>
            </w:r>
          </w:p>
        </w:tc>
        <w:tc>
          <w:tcPr>
            <w:tcW w:w="9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85.2 </w:t>
            </w:r>
          </w:p>
        </w:tc>
        <w:tc>
          <w:tcPr>
            <w:tcW w:w="101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71.2 </w:t>
            </w:r>
          </w:p>
        </w:tc>
        <w:tc>
          <w:tcPr>
            <w:tcW w:w="1031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　　      医药制造业 </w:t>
            </w:r>
          </w:p>
        </w:tc>
        <w:tc>
          <w:tcPr>
            <w:tcW w:w="98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亿元</w:t>
            </w:r>
          </w:p>
        </w:tc>
        <w:tc>
          <w:tcPr>
            <w:tcW w:w="9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33.0 </w:t>
            </w:r>
          </w:p>
        </w:tc>
        <w:tc>
          <w:tcPr>
            <w:tcW w:w="101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29.0 </w:t>
            </w:r>
          </w:p>
        </w:tc>
        <w:tc>
          <w:tcPr>
            <w:tcW w:w="1031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13.7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　        酒、饮料和精制茶制造业</w:t>
            </w:r>
          </w:p>
        </w:tc>
        <w:tc>
          <w:tcPr>
            <w:tcW w:w="98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亿元</w:t>
            </w:r>
          </w:p>
        </w:tc>
        <w:tc>
          <w:tcPr>
            <w:tcW w:w="9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19.7 </w:t>
            </w:r>
          </w:p>
        </w:tc>
        <w:tc>
          <w:tcPr>
            <w:tcW w:w="101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21.5 </w:t>
            </w:r>
          </w:p>
        </w:tc>
        <w:tc>
          <w:tcPr>
            <w:tcW w:w="1031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-8.5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房地产业</w:t>
            </w:r>
          </w:p>
        </w:tc>
        <w:tc>
          <w:tcPr>
            <w:tcW w:w="98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商品房销售面积</w:t>
            </w:r>
          </w:p>
        </w:tc>
        <w:tc>
          <w:tcPr>
            <w:tcW w:w="98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万平方米</w:t>
            </w:r>
          </w:p>
        </w:tc>
        <w:tc>
          <w:tcPr>
            <w:tcW w:w="9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10.7 </w:t>
            </w:r>
          </w:p>
        </w:tc>
        <w:tc>
          <w:tcPr>
            <w:tcW w:w="101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17.4 </w:t>
            </w:r>
          </w:p>
        </w:tc>
        <w:tc>
          <w:tcPr>
            <w:tcW w:w="1031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-38.2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批发和零售、住宿和餐饮业</w:t>
            </w:r>
          </w:p>
        </w:tc>
        <w:tc>
          <w:tcPr>
            <w:tcW w:w="98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95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1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4345" w:type="dxa"/>
            <w:tcBorders>
              <w:top w:val="nil"/>
              <w:left w:val="nil"/>
              <w:bottom w:val="single" w:color="auto" w:sz="12" w:space="0"/>
              <w:right w:val="single" w:color="auto" w:sz="2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社会消费品零售总额</w:t>
            </w:r>
          </w:p>
        </w:tc>
        <w:tc>
          <w:tcPr>
            <w:tcW w:w="988" w:type="dxa"/>
            <w:tcBorders>
              <w:top w:val="nil"/>
              <w:left w:val="single" w:color="auto" w:sz="2" w:space="0"/>
              <w:bottom w:val="single" w:color="auto" w:sz="12" w:space="0"/>
              <w:right w:val="single" w:color="auto" w:sz="2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亿元</w:t>
            </w:r>
          </w:p>
        </w:tc>
        <w:tc>
          <w:tcPr>
            <w:tcW w:w="950" w:type="dxa"/>
            <w:tcBorders>
              <w:top w:val="nil"/>
              <w:left w:val="single" w:color="auto" w:sz="2" w:space="0"/>
              <w:bottom w:val="single" w:color="auto" w:sz="12" w:space="0"/>
              <w:right w:val="single" w:color="auto" w:sz="2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105.9 </w:t>
            </w:r>
          </w:p>
        </w:tc>
        <w:tc>
          <w:tcPr>
            <w:tcW w:w="1012" w:type="dxa"/>
            <w:tcBorders>
              <w:top w:val="nil"/>
              <w:left w:val="single" w:color="auto" w:sz="2" w:space="0"/>
              <w:bottom w:val="single" w:color="auto" w:sz="12" w:space="0"/>
              <w:right w:val="single" w:color="auto" w:sz="2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104.9 </w:t>
            </w:r>
          </w:p>
        </w:tc>
        <w:tc>
          <w:tcPr>
            <w:tcW w:w="1031" w:type="dxa"/>
            <w:tcBorders>
              <w:top w:val="nil"/>
              <w:left w:val="single" w:color="auto" w:sz="2" w:space="0"/>
              <w:bottom w:val="single" w:color="auto" w:sz="12" w:space="0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11"/>
          <w:right w:val="none" w:color="000000" w:sz="0" w:space="2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="0" w:afterAutospacing="0" w:line="560" w:lineRule="exact"/>
        <w:contextualSpacing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default"/>
      <w:pgSz w:w="11850" w:h="16840"/>
      <w:pgMar w:top="2098" w:right="1474" w:bottom="1984" w:left="1587" w:header="720" w:footer="73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ＭＳ ゴシック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Noto Sans Mono"/>
    <w:panose1 w:val="02060409020205020404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Mono">
    <w:panose1 w:val="020B0509040504020204"/>
    <w:charset w:val="00"/>
    <w:family w:val="auto"/>
    <w:pitch w:val="default"/>
    <w:sig w:usb0="E00002FF" w:usb1="4200FCFF" w:usb2="08000039" w:usb3="00100000" w:csb0="0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line="240" w:lineRule="auto"/>
      </w:pPr>
      <w:r>
        <w:separator/>
      </w:r>
    </w:p>
  </w:footnote>
  <w:footnote w:type="continuationSeparator" w:id="3">
    <w:p>
      <w:pPr>
        <w:spacing w:line="240" w:lineRule="auto"/>
      </w:pPr>
      <w:r>
        <w:continuationSeparator/>
      </w:r>
    </w:p>
  </w:footnote>
  <w:footnote w:id="0">
    <w:p>
      <w:pPr>
        <w:pStyle w:val="29"/>
        <w:snapToGrid w:val="0"/>
        <w:rPr>
          <w:rFonts w:hint="eastAsia" w:eastAsia="宋体"/>
          <w:lang w:eastAsia="zh-CN"/>
        </w:rPr>
      </w:pPr>
      <w:r>
        <w:rPr>
          <w:rStyle w:val="138"/>
        </w:rPr>
        <w:footnoteRef/>
      </w:r>
      <w:r>
        <w:t xml:space="preserve"> </w:t>
      </w:r>
      <w:r>
        <w:rPr>
          <w:rFonts w:hint="eastAsia"/>
          <w:lang w:eastAsia="zh-CN"/>
        </w:rPr>
        <w:t>注：该领域财务数据按月顺延发布。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720"/>
  <w:displayHorizontalDrawingGridEvery w:val="1"/>
  <w:displayVerticalDrawingGridEvery w:val="1"/>
  <w:noPunctuationKerning w:val="true"/>
  <w:characterSpacingControl w:val="doNotCompress"/>
  <w:footnotePr>
    <w:footnote w:id="2"/>
    <w:footnote w:id="3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855EF5"/>
    <w:rsid w:val="091333FE"/>
    <w:rsid w:val="121E32B3"/>
    <w:rsid w:val="14DB0AA9"/>
    <w:rsid w:val="177F64E4"/>
    <w:rsid w:val="19417587"/>
    <w:rsid w:val="196E8226"/>
    <w:rsid w:val="205A39F2"/>
    <w:rsid w:val="27383705"/>
    <w:rsid w:val="27683151"/>
    <w:rsid w:val="2B7F74DC"/>
    <w:rsid w:val="2BF86973"/>
    <w:rsid w:val="2EFD0C46"/>
    <w:rsid w:val="328B7D7B"/>
    <w:rsid w:val="33B70E9B"/>
    <w:rsid w:val="352D6A97"/>
    <w:rsid w:val="384A1902"/>
    <w:rsid w:val="3CC56139"/>
    <w:rsid w:val="3D4B2A10"/>
    <w:rsid w:val="3F0B3D7E"/>
    <w:rsid w:val="3FF19411"/>
    <w:rsid w:val="3FFFF1F4"/>
    <w:rsid w:val="40665BFF"/>
    <w:rsid w:val="46F771CD"/>
    <w:rsid w:val="55DE44D0"/>
    <w:rsid w:val="56D36869"/>
    <w:rsid w:val="5C1174DC"/>
    <w:rsid w:val="63F9BED1"/>
    <w:rsid w:val="642E0FF9"/>
    <w:rsid w:val="64FE3D3C"/>
    <w:rsid w:val="657B5C77"/>
    <w:rsid w:val="66DB1D81"/>
    <w:rsid w:val="675E9250"/>
    <w:rsid w:val="690262A9"/>
    <w:rsid w:val="6BEF2D5B"/>
    <w:rsid w:val="6C8E6ECB"/>
    <w:rsid w:val="6FCE2185"/>
    <w:rsid w:val="717BD6C4"/>
    <w:rsid w:val="76F37B52"/>
    <w:rsid w:val="77DB5970"/>
    <w:rsid w:val="77DD0D39"/>
    <w:rsid w:val="79AA7562"/>
    <w:rsid w:val="79BB7642"/>
    <w:rsid w:val="7BE7CBFA"/>
    <w:rsid w:val="7CF77DF4"/>
    <w:rsid w:val="7D7FD2BE"/>
    <w:rsid w:val="7DFDC246"/>
    <w:rsid w:val="7FC7D96E"/>
    <w:rsid w:val="7FCCFA18"/>
    <w:rsid w:val="958F0D9D"/>
    <w:rsid w:val="9F63B127"/>
    <w:rsid w:val="ACA74167"/>
    <w:rsid w:val="D7FE0708"/>
    <w:rsid w:val="E7BABDAE"/>
    <w:rsid w:val="EFEE53D8"/>
    <w:rsid w:val="FCED7D44"/>
    <w:rsid w:val="FDCE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qFormat="1"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4">
    <w:name w:val="heading 1"/>
    <w:basedOn w:val="1"/>
    <w:next w:val="1"/>
    <w:link w:val="1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5">
    <w:name w:val="heading 2"/>
    <w:basedOn w:val="1"/>
    <w:next w:val="1"/>
    <w:link w:val="1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3"/>
    <w:basedOn w:val="1"/>
    <w:next w:val="1"/>
    <w:link w:val="1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4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">
    <w:name w:val="heading 5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9">
    <w:name w:val="heading 6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0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1">
    <w:name w:val="heading 8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2">
    <w:name w:val="heading 9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5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">
    <w:name w:val="macro"/>
    <w:link w:val="1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3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50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next w:val="1"/>
    <w:link w:val="148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paragraph" w:styleId="30">
    <w:name w:val="index 9"/>
    <w:basedOn w:val="1"/>
    <w:next w:val="1"/>
    <w:qFormat/>
    <w:uiPriority w:val="99"/>
    <w:pPr>
      <w:ind w:left="1600" w:leftChars="1600"/>
    </w:pPr>
  </w:style>
  <w:style w:type="paragraph" w:styleId="31">
    <w:name w:val="Body Text 2"/>
    <w:basedOn w:val="1"/>
    <w:link w:val="149"/>
    <w:unhideWhenUsed/>
    <w:qFormat/>
    <w:uiPriority w:val="99"/>
    <w:pPr>
      <w:spacing w:after="120" w:line="480" w:lineRule="auto"/>
    </w:p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4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table" w:styleId="36">
    <w:name w:val="Table Grid"/>
    <w:basedOn w:val="3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7">
    <w:name w:val="Light Shading"/>
    <w:basedOn w:val="35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35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6">
    <w:name w:val="Strong"/>
    <w:basedOn w:val="135"/>
    <w:qFormat/>
    <w:uiPriority w:val="22"/>
    <w:rPr>
      <w:b/>
      <w:bCs/>
    </w:rPr>
  </w:style>
  <w:style w:type="character" w:styleId="137">
    <w:name w:val="Emphasis"/>
    <w:basedOn w:val="135"/>
    <w:qFormat/>
    <w:uiPriority w:val="20"/>
    <w:rPr>
      <w:i/>
      <w:iCs/>
    </w:rPr>
  </w:style>
  <w:style w:type="character" w:styleId="138">
    <w:name w:val="footnote reference"/>
    <w:basedOn w:val="135"/>
    <w:semiHidden/>
    <w:unhideWhenUsed/>
    <w:qFormat/>
    <w:uiPriority w:val="99"/>
    <w:rPr>
      <w:vertAlign w:val="superscript"/>
    </w:rPr>
  </w:style>
  <w:style w:type="character" w:customStyle="1" w:styleId="139">
    <w:name w:val="Header Char"/>
    <w:basedOn w:val="135"/>
    <w:link w:val="26"/>
    <w:qFormat/>
    <w:uiPriority w:val="99"/>
  </w:style>
  <w:style w:type="character" w:customStyle="1" w:styleId="140">
    <w:name w:val="Footer Char"/>
    <w:basedOn w:val="135"/>
    <w:link w:val="25"/>
    <w:qFormat/>
    <w:uiPriority w:val="99"/>
  </w:style>
  <w:style w:type="paragraph" w:styleId="1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2">
    <w:name w:val="Heading 1 Char"/>
    <w:basedOn w:val="135"/>
    <w:link w:val="4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3">
    <w:name w:val="Heading 2 Char"/>
    <w:basedOn w:val="135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4">
    <w:name w:val="Heading 3 Char"/>
    <w:basedOn w:val="135"/>
    <w:link w:val="6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Title Char"/>
    <w:basedOn w:val="135"/>
    <w:link w:val="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Subtitle Char"/>
    <w:basedOn w:val="135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Body Text Char"/>
    <w:basedOn w:val="135"/>
    <w:link w:val="20"/>
    <w:qFormat/>
    <w:uiPriority w:val="99"/>
  </w:style>
  <w:style w:type="character" w:customStyle="1" w:styleId="149">
    <w:name w:val="Body Text 2 Char"/>
    <w:basedOn w:val="135"/>
    <w:link w:val="31"/>
    <w:qFormat/>
    <w:uiPriority w:val="99"/>
  </w:style>
  <w:style w:type="character" w:customStyle="1" w:styleId="150">
    <w:name w:val="Body Text 3 Char"/>
    <w:basedOn w:val="135"/>
    <w:link w:val="18"/>
    <w:qFormat/>
    <w:uiPriority w:val="99"/>
    <w:rPr>
      <w:sz w:val="16"/>
      <w:szCs w:val="16"/>
    </w:rPr>
  </w:style>
  <w:style w:type="character" w:customStyle="1" w:styleId="151">
    <w:name w:val="Macro Text Char"/>
    <w:basedOn w:val="135"/>
    <w:link w:val="3"/>
    <w:qFormat/>
    <w:uiPriority w:val="99"/>
    <w:rPr>
      <w:rFonts w:ascii="Courier" w:hAnsi="Courier"/>
      <w:sz w:val="20"/>
      <w:szCs w:val="20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Quote Char"/>
    <w:basedOn w:val="135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Heading 4 Char"/>
    <w:basedOn w:val="135"/>
    <w:link w:val="7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Heading 5 Char"/>
    <w:basedOn w:val="135"/>
    <w:link w:val="8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6">
    <w:name w:val="Heading 6 Char"/>
    <w:basedOn w:val="135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7">
    <w:name w:val="Heading 7 Char"/>
    <w:basedOn w:val="135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Heading 8 Char"/>
    <w:basedOn w:val="135"/>
    <w:link w:val="11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9">
    <w:name w:val="Heading 9 Char"/>
    <w:basedOn w:val="135"/>
    <w:link w:val="12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0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Intense Quote Char"/>
    <w:basedOn w:val="135"/>
    <w:link w:val="1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Emphasis"/>
    <w:basedOn w:val="13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3">
    <w:name w:val="Intense Emphasis"/>
    <w:basedOn w:val="135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Reference"/>
    <w:basedOn w:val="135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5">
    <w:name w:val="Intense Reference"/>
    <w:basedOn w:val="135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6">
    <w:name w:val="Book Title"/>
    <w:basedOn w:val="135"/>
    <w:qFormat/>
    <w:uiPriority w:val="33"/>
    <w:rPr>
      <w:b/>
      <w:bCs/>
      <w:smallCaps/>
      <w:spacing w:val="5"/>
    </w:rPr>
  </w:style>
  <w:style w:type="paragraph" w:customStyle="1" w:styleId="167">
    <w:name w:val="TOC Heading"/>
    <w:basedOn w:val="4"/>
    <w:next w:val="1"/>
    <w:semiHidden/>
    <w:unhideWhenUsed/>
    <w:qFormat/>
    <w:uiPriority w:val="39"/>
    <w:pPr>
      <w:outlineLvl w:val="9"/>
    </w:pPr>
  </w:style>
  <w:style w:type="paragraph" w:customStyle="1" w:styleId="168">
    <w:name w:val="Title Style"/>
    <w:qFormat/>
    <w:uiPriority w:val="0"/>
    <w:pPr>
      <w:spacing w:after="360" w:line="276" w:lineRule="auto"/>
      <w:jc w:val="center"/>
    </w:pPr>
    <w:rPr>
      <w:rFonts w:ascii="黑体" w:hAnsi="黑体" w:eastAsia="黑体" w:cstheme="minorBidi"/>
      <w:b/>
      <w:sz w:val="36"/>
      <w:szCs w:val="22"/>
      <w:lang w:val="en-US" w:eastAsia="en-US" w:bidi="ar-SA"/>
    </w:rPr>
  </w:style>
  <w:style w:type="paragraph" w:customStyle="1" w:styleId="169">
    <w:name w:val="Heading 1 Style"/>
    <w:qFormat/>
    <w:uiPriority w:val="0"/>
    <w:pPr>
      <w:spacing w:before="240" w:after="120" w:line="276" w:lineRule="auto"/>
    </w:pPr>
    <w:rPr>
      <w:rFonts w:ascii="黑体" w:hAnsi="黑体" w:eastAsia="黑体" w:cstheme="minorBidi"/>
      <w:b/>
      <w:sz w:val="32"/>
      <w:szCs w:val="22"/>
      <w:lang w:val="en-US" w:eastAsia="en-US" w:bidi="ar-SA"/>
    </w:rPr>
  </w:style>
  <w:style w:type="paragraph" w:customStyle="1" w:styleId="170">
    <w:name w:val="Heading 2 Style"/>
    <w:qFormat/>
    <w:uiPriority w:val="0"/>
    <w:pPr>
      <w:spacing w:before="180" w:after="90" w:line="276" w:lineRule="auto"/>
    </w:pPr>
    <w:rPr>
      <w:rFonts w:ascii="黑体" w:hAnsi="黑体" w:eastAsia="黑体" w:cstheme="minorBidi"/>
      <w:b/>
      <w:sz w:val="28"/>
      <w:szCs w:val="22"/>
      <w:lang w:val="en-US" w:eastAsia="en-US" w:bidi="ar-SA"/>
    </w:rPr>
  </w:style>
  <w:style w:type="paragraph" w:customStyle="1" w:styleId="171">
    <w:name w:val="Heading 3 Style"/>
    <w:qFormat/>
    <w:uiPriority w:val="0"/>
    <w:pPr>
      <w:spacing w:before="120" w:after="60" w:line="276" w:lineRule="auto"/>
    </w:pPr>
    <w:rPr>
      <w:rFonts w:ascii="黑体" w:hAnsi="黑体" w:eastAsia="黑体" w:cstheme="minorBidi"/>
      <w:b/>
      <w:sz w:val="26"/>
      <w:szCs w:val="22"/>
      <w:lang w:val="en-US" w:eastAsia="en-US" w:bidi="ar-SA"/>
    </w:rPr>
  </w:style>
  <w:style w:type="paragraph" w:customStyle="1" w:styleId="172">
    <w:name w:val="Body Style"/>
    <w:qFormat/>
    <w:uiPriority w:val="0"/>
    <w:pPr>
      <w:spacing w:after="120" w:line="360" w:lineRule="auto"/>
      <w:ind w:firstLine="480"/>
    </w:pPr>
    <w:rPr>
      <w:rFonts w:ascii="宋体" w:hAnsi="宋体" w:eastAsia="宋体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2898</Words>
  <Characters>3440</Characters>
  <Lines>0</Lines>
  <Paragraphs>0</Paragraphs>
  <TotalTime>2</TotalTime>
  <ScaleCrop>false</ScaleCrop>
  <LinksUpToDate>false</LinksUpToDate>
  <CharactersWithSpaces>3468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2013-12-31T15:15:00Z</dcterms:created>
  <dc:creator>python-docx</dc:creator>
  <dc:description>generated by python-docx</dc:description>
  <cp:lastModifiedBy>uos</cp:lastModifiedBy>
  <cp:lastPrinted>2026-09-18T22:02:00Z</cp:lastPrinted>
  <dcterms:modified xsi:type="dcterms:W3CDTF">2026-09-24T09:25:04Z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