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88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 w:bidi="ar-SA"/>
        </w:rPr>
        <w:t>2026年1-7月密云区经济运行情况简析</w:t>
      </w:r>
    </w:p>
    <w:p>
      <w:pPr>
        <w:pStyle w:val="16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1" w:beforeLines="100" w:beforeAutospacing="0" w:after="0" w:afterAutospacing="0" w:line="56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 w:bidi="ar-SA"/>
        </w:rPr>
        <w:t>2026年1-7月，密云区经济运行总体平稳，工业、固定资产投资等领域增势较好。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11"/>
          <w:right w:val="none" w:color="000000" w:sz="0" w:space="2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firstLine="640" w:firstLineChars="200"/>
        <w:contextualSpacing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一、工业产值保持稳步增长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11"/>
          <w:right w:val="none" w:color="000000" w:sz="0" w:space="2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1-7月，全区规模以上工业企业实现总产值166.1亿元，同比增长9.7%。从重点行业看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  <w:t>汽车制造业实现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 w:bidi="ar-SA"/>
        </w:rPr>
        <w:t>产值77.6亿元，同比增长26.8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" w:eastAsia="zh-CN" w:bidi="ar-SA"/>
        </w:rPr>
        <w:t>%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 w:bidi="ar-SA"/>
        </w:rPr>
        <w:t>，拉动全区规上工业产值增长10.8个百分点；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  <w:t>医药制造业增势良好，实现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 w:bidi="ar-SA"/>
        </w:rPr>
        <w:t>产值28.9亿元，同比增长13%；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  <w:t>饮品行业延续下行态势，酒、饮料和精制茶制造业实现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 w:bidi="ar-SA"/>
        </w:rPr>
        <w:t>产值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17.4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 w:bidi="ar-SA"/>
        </w:rPr>
        <w:t>亿元，同比下降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10.2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 w:bidi="ar-SA"/>
        </w:rPr>
        <w:t>%。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11"/>
          <w:right w:val="none" w:color="000000" w:sz="0" w:space="2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firstLine="640" w:firstLineChars="200"/>
        <w:contextualSpacing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二、投资领域增速加快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11"/>
          <w:right w:val="none" w:color="000000" w:sz="0" w:space="2"/>
        </w:pBdr>
        <w:adjustRightInd w:val="0"/>
        <w:snapToGrid w:val="0"/>
        <w:spacing w:line="560" w:lineRule="exact"/>
        <w:ind w:firstLine="640" w:firstLineChars="200"/>
        <w:contextualSpacing/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1-7月，全区固定资产投资（不含农户）同比增长53.4%，较上半年（42.3%）加快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11.1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个百分点。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从重点监测领域看，建安投资同比增长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106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%，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占全区投资的比重为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59.7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%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；房地产开发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投资同比下降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4.8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，占全区投资的比重为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20.4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%。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11"/>
          <w:right w:val="none" w:color="000000" w:sz="0" w:space="2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firstLine="640" w:firstLineChars="200"/>
        <w:contextualSpacing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三、消费市场展现回暖势头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11"/>
          <w:right w:val="none" w:color="000000" w:sz="0" w:space="2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1-7月，全区实现社会消费品零售总额93.3亿元，同比下降0.3%，降幅较上半年收窄1.4个百分点。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从消费形态看，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商品零售额87.4亿元，同比下降0.5%；餐饮收入5.8亿元，同比增长3.6%。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11"/>
          <w:right w:val="none" w:color="000000" w:sz="0" w:space="2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firstLine="640" w:firstLineChars="200"/>
        <w:contextualSpacing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四、服务业降幅收窄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11"/>
          <w:right w:val="none" w:color="000000" w:sz="0" w:space="2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1-6月</w:t>
      </w:r>
      <w:r>
        <w:rPr>
          <w:rStyle w:val="138"/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footnoteReference w:id="0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，全区236家规模以上服务业企业实现营业收入178.2亿元，同比下降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4.7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%，降幅较1-5月（-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5.6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%）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收窄0.9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个百分点。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从增长行业看，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居民修理服务业表现亮眼，实现收入7.4亿元，同比增长90.3%；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文体娱乐业实现收入12.1亿元，同比增长12.6%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；租商服务业实现收入32.3亿元，同比增长5.4%；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信软业实现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收入32亿元，同比增长2.6%。从下降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行业看，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房地产业实现收入49.2亿元，同比下降20.7%；交通运输业、科技服务业、水利环境和公共设施管理业分别实现收入17.8亿元、23.6亿元、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3.6亿元，增速分别为-6.2%、-1.4%和-31%。</w:t>
      </w:r>
    </w:p>
    <w:p>
      <w:pPr>
        <w:pStyle w:val="172"/>
        <w:bidi w:val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ar-SA"/>
        </w:rPr>
        <w:t>附表：2026年1-7月主要经济指标实现情况</w:t>
      </w:r>
    </w:p>
    <w:p>
      <w:pPr>
        <w:pStyle w:val="172"/>
        <w:bidi w:val="0"/>
        <w:rPr>
          <w:rFonts w:hint="eastAsia"/>
          <w:lang w:val="en-US" w:eastAsia="zh-CN"/>
        </w:rPr>
      </w:pPr>
    </w:p>
    <w:p>
      <w:pPr>
        <w:pStyle w:val="172"/>
        <w:bidi w:val="0"/>
        <w:rPr>
          <w:rFonts w:hint="eastAsia"/>
          <w:lang w:val="en-US" w:eastAsia="zh-CN"/>
        </w:rPr>
      </w:pPr>
    </w:p>
    <w:p>
      <w:pPr>
        <w:pStyle w:val="172"/>
        <w:bidi w:val="0"/>
        <w:rPr>
          <w:rFonts w:hint="eastAsia"/>
          <w:lang w:val="en-US" w:eastAsia="zh-CN"/>
        </w:rPr>
      </w:pPr>
    </w:p>
    <w:p>
      <w:pPr>
        <w:pStyle w:val="172"/>
        <w:bidi w:val="0"/>
        <w:rPr>
          <w:rFonts w:hint="eastAsia"/>
          <w:lang w:val="en-US" w:eastAsia="zh-CN"/>
        </w:rPr>
      </w:pPr>
    </w:p>
    <w:p>
      <w:pPr>
        <w:pStyle w:val="172"/>
        <w:bidi w:val="0"/>
        <w:rPr>
          <w:rFonts w:hint="eastAsia"/>
          <w:lang w:val="en-US" w:eastAsia="zh-CN"/>
        </w:rPr>
      </w:pPr>
    </w:p>
    <w:p>
      <w:pPr>
        <w:pStyle w:val="172"/>
        <w:bidi w:val="0"/>
        <w:rPr>
          <w:rFonts w:hint="eastAsia"/>
          <w:lang w:val="en-US" w:eastAsia="zh-CN"/>
        </w:rPr>
      </w:pPr>
    </w:p>
    <w:p>
      <w:pPr>
        <w:pStyle w:val="172"/>
        <w:bidi w:val="0"/>
        <w:rPr>
          <w:rFonts w:hint="eastAsia"/>
          <w:lang w:val="en-US" w:eastAsia="zh-CN"/>
        </w:rPr>
      </w:pPr>
    </w:p>
    <w:tbl>
      <w:tblPr>
        <w:tblStyle w:val="35"/>
        <w:tblpPr w:leftFromText="180" w:rightFromText="180" w:vertAnchor="text" w:horzAnchor="page" w:tblpX="1806" w:tblpY="342"/>
        <w:tblOverlap w:val="never"/>
        <w:tblW w:w="832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5"/>
        <w:gridCol w:w="988"/>
        <w:gridCol w:w="950"/>
        <w:gridCol w:w="1012"/>
        <w:gridCol w:w="10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exact"/>
        </w:trPr>
        <w:tc>
          <w:tcPr>
            <w:tcW w:w="8326" w:type="dxa"/>
            <w:gridSpan w:val="5"/>
            <w:tcBorders>
              <w:top w:val="nil"/>
              <w:left w:val="nil"/>
              <w:bottom w:val="single" w:color="000000" w:sz="12" w:space="0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附表                </w:t>
            </w:r>
            <w:r>
              <w:rPr>
                <w:rFonts w:hint="eastAsia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</w:t>
            </w:r>
            <w:r>
              <w:rPr>
                <w:rFonts w:hint="eastAsia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1-7月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主要经济指标实现情况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exact"/>
        </w:trPr>
        <w:tc>
          <w:tcPr>
            <w:tcW w:w="434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 标 名 称</w:t>
            </w:r>
          </w:p>
        </w:tc>
        <w:tc>
          <w:tcPr>
            <w:tcW w:w="98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95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本期累计</w:t>
            </w:r>
          </w:p>
        </w:tc>
        <w:tc>
          <w:tcPr>
            <w:tcW w:w="1012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上年同期</w:t>
            </w:r>
          </w:p>
        </w:tc>
        <w:tc>
          <w:tcPr>
            <w:tcW w:w="1031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增长（%）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固定资产投资（项目建设地）</w:t>
            </w:r>
          </w:p>
        </w:tc>
        <w:tc>
          <w:tcPr>
            <w:tcW w:w="98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1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固定资产投资（不含农户）</w:t>
            </w:r>
          </w:p>
        </w:tc>
        <w:tc>
          <w:tcPr>
            <w:tcW w:w="98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95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00" w:firstLineChars="20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01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00" w:firstLineChars="20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031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 xml:space="preserve">53.4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其中：建安投资</w:t>
            </w:r>
          </w:p>
        </w:tc>
        <w:tc>
          <w:tcPr>
            <w:tcW w:w="98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95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00" w:firstLineChars="20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01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00" w:firstLineChars="20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031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 xml:space="preserve">106.0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</w:t>
            </w:r>
            <w:r>
              <w:rPr>
                <w:rFonts w:hint="eastAsia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房地产开发投资</w:t>
            </w:r>
          </w:p>
        </w:tc>
        <w:tc>
          <w:tcPr>
            <w:tcW w:w="988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95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00" w:firstLineChars="20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01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00" w:firstLineChars="20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031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-</w:t>
            </w:r>
            <w:r>
              <w:rPr>
                <w:rFonts w:hint="eastAsia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4.8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  业</w:t>
            </w:r>
          </w:p>
        </w:tc>
        <w:tc>
          <w:tcPr>
            <w:tcW w:w="98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1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规模以上工业总产值</w:t>
            </w:r>
          </w:p>
        </w:tc>
        <w:tc>
          <w:tcPr>
            <w:tcW w:w="98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95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166.1 </w:t>
            </w:r>
          </w:p>
        </w:tc>
        <w:tc>
          <w:tcPr>
            <w:tcW w:w="101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151.4 </w:t>
            </w:r>
          </w:p>
        </w:tc>
        <w:tc>
          <w:tcPr>
            <w:tcW w:w="1031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　其中：汽车制造业</w:t>
            </w:r>
          </w:p>
        </w:tc>
        <w:tc>
          <w:tcPr>
            <w:tcW w:w="98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95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77.6 </w:t>
            </w:r>
          </w:p>
        </w:tc>
        <w:tc>
          <w:tcPr>
            <w:tcW w:w="101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61.2 </w:t>
            </w:r>
          </w:p>
        </w:tc>
        <w:tc>
          <w:tcPr>
            <w:tcW w:w="1031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26.8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　　      </w:t>
            </w:r>
            <w:r>
              <w:rPr>
                <w:rFonts w:hint="eastAsia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医药制造业 </w:t>
            </w:r>
          </w:p>
        </w:tc>
        <w:tc>
          <w:tcPr>
            <w:tcW w:w="98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95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28.9 </w:t>
            </w:r>
          </w:p>
        </w:tc>
        <w:tc>
          <w:tcPr>
            <w:tcW w:w="101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25.6 </w:t>
            </w:r>
          </w:p>
        </w:tc>
        <w:tc>
          <w:tcPr>
            <w:tcW w:w="1031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13.0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　        </w:t>
            </w:r>
            <w:r>
              <w:rPr>
                <w:rFonts w:hint="eastAsia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酒、饮料和精制茶制造业</w:t>
            </w:r>
          </w:p>
        </w:tc>
        <w:tc>
          <w:tcPr>
            <w:tcW w:w="98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95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17.4 </w:t>
            </w:r>
          </w:p>
        </w:tc>
        <w:tc>
          <w:tcPr>
            <w:tcW w:w="101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19.4 </w:t>
            </w:r>
          </w:p>
        </w:tc>
        <w:tc>
          <w:tcPr>
            <w:tcW w:w="1031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-10.2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房地产业</w:t>
            </w:r>
          </w:p>
        </w:tc>
        <w:tc>
          <w:tcPr>
            <w:tcW w:w="98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95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1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商品房销售面积</w:t>
            </w:r>
          </w:p>
        </w:tc>
        <w:tc>
          <w:tcPr>
            <w:tcW w:w="98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万平方米</w:t>
            </w:r>
          </w:p>
        </w:tc>
        <w:tc>
          <w:tcPr>
            <w:tcW w:w="95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9.7 </w:t>
            </w:r>
          </w:p>
        </w:tc>
        <w:tc>
          <w:tcPr>
            <w:tcW w:w="101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16.6 </w:t>
            </w:r>
          </w:p>
        </w:tc>
        <w:tc>
          <w:tcPr>
            <w:tcW w:w="1031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-41.1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批发和零售、住宿和餐饮业</w:t>
            </w:r>
          </w:p>
        </w:tc>
        <w:tc>
          <w:tcPr>
            <w:tcW w:w="98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95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1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4345" w:type="dxa"/>
            <w:tcBorders>
              <w:top w:val="nil"/>
              <w:left w:val="nil"/>
              <w:bottom w:val="single" w:color="auto" w:sz="12" w:space="0"/>
              <w:right w:val="single" w:color="auto" w:sz="2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社会消费品零售总额</w:t>
            </w:r>
          </w:p>
        </w:tc>
        <w:tc>
          <w:tcPr>
            <w:tcW w:w="988" w:type="dxa"/>
            <w:tcBorders>
              <w:top w:val="nil"/>
              <w:left w:val="single" w:color="auto" w:sz="2" w:space="0"/>
              <w:bottom w:val="single" w:color="auto" w:sz="12" w:space="0"/>
              <w:right w:val="single" w:color="auto" w:sz="2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950" w:type="dxa"/>
            <w:tcBorders>
              <w:top w:val="nil"/>
              <w:left w:val="single" w:color="auto" w:sz="2" w:space="0"/>
              <w:bottom w:val="single" w:color="auto" w:sz="12" w:space="0"/>
              <w:right w:val="single" w:color="auto" w:sz="2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93.3 </w:t>
            </w:r>
          </w:p>
        </w:tc>
        <w:tc>
          <w:tcPr>
            <w:tcW w:w="1012" w:type="dxa"/>
            <w:tcBorders>
              <w:top w:val="nil"/>
              <w:left w:val="single" w:color="auto" w:sz="2" w:space="0"/>
              <w:bottom w:val="single" w:color="auto" w:sz="12" w:space="0"/>
              <w:right w:val="single" w:color="auto" w:sz="2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93.6 </w:t>
            </w:r>
          </w:p>
        </w:tc>
        <w:tc>
          <w:tcPr>
            <w:tcW w:w="1031" w:type="dxa"/>
            <w:tcBorders>
              <w:top w:val="nil"/>
              <w:left w:val="single" w:color="auto" w:sz="2" w:space="0"/>
              <w:bottom w:val="single" w:color="auto" w:sz="12" w:space="0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-0.3 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11"/>
          <w:right w:val="none" w:color="000000" w:sz="0" w:space="2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contextualSpacing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5" w:type="default"/>
      <w:pgSz w:w="11850" w:h="16840"/>
      <w:pgMar w:top="2098" w:right="1474" w:bottom="1984" w:left="1587" w:header="720" w:footer="73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ＭＳ ゴシック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">
    <w:altName w:val="Noto Sans Mono"/>
    <w:panose1 w:val="02060409020205020404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altName w:val="Noto Sans Syriac Eastern"/>
    <w:panose1 w:val="02040503050406030204"/>
    <w:charset w:val="00"/>
    <w:family w:val="auto"/>
    <w:pitch w:val="default"/>
    <w:sig w:usb0="00000000" w:usb1="00000000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Mono">
    <w:panose1 w:val="020B0509040504020204"/>
    <w:charset w:val="00"/>
    <w:family w:val="auto"/>
    <w:pitch w:val="default"/>
    <w:sig w:usb0="E00002FF" w:usb1="4200FCFF" w:usb2="08000039" w:usb3="00100000" w:csb0="0000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5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line="240" w:lineRule="auto"/>
      </w:pPr>
      <w:r>
        <w:separator/>
      </w:r>
    </w:p>
  </w:footnote>
  <w:footnote w:type="continuationSeparator" w:id="3">
    <w:p>
      <w:pPr>
        <w:spacing w:line="240" w:lineRule="auto"/>
      </w:pPr>
      <w:r>
        <w:continuationSeparator/>
      </w:r>
    </w:p>
  </w:footnote>
  <w:footnote w:id="0">
    <w:p>
      <w:pPr>
        <w:pStyle w:val="29"/>
        <w:snapToGrid w:val="0"/>
        <w:rPr>
          <w:rFonts w:hint="eastAsia" w:eastAsia="宋体"/>
          <w:lang w:eastAsia="zh-CN"/>
        </w:rPr>
      </w:pPr>
      <w:r>
        <w:rPr>
          <w:rStyle w:val="138"/>
        </w:rPr>
        <w:footnoteRef/>
      </w:r>
      <w:r>
        <w:t xml:space="preserve"> </w:t>
      </w:r>
      <w:r>
        <w:rPr>
          <w:rFonts w:hint="eastAsia"/>
          <w:lang w:eastAsia="zh-CN"/>
        </w:rPr>
        <w:t>注：该领域财务数据按月顺延发布。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9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5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7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documentProtection w:enforcement="0"/>
  <w:defaultTabStop w:val="720"/>
  <w:displayHorizontalDrawingGridEvery w:val="1"/>
  <w:displayVerticalDrawingGridEvery w:val="1"/>
  <w:noPunctuationKerning w:val="true"/>
  <w:characterSpacingControl w:val="doNotCompress"/>
  <w:footnotePr>
    <w:footnote w:id="2"/>
    <w:footnote w:id="3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91333FE"/>
    <w:rsid w:val="121E32B3"/>
    <w:rsid w:val="14DB0AA9"/>
    <w:rsid w:val="19417587"/>
    <w:rsid w:val="196E8226"/>
    <w:rsid w:val="205A39F2"/>
    <w:rsid w:val="27383705"/>
    <w:rsid w:val="27683151"/>
    <w:rsid w:val="2BF86973"/>
    <w:rsid w:val="2EFD0C46"/>
    <w:rsid w:val="328B7D7B"/>
    <w:rsid w:val="33B70E9B"/>
    <w:rsid w:val="3CC56139"/>
    <w:rsid w:val="3F7F8090"/>
    <w:rsid w:val="3FF19411"/>
    <w:rsid w:val="3FFFF1F4"/>
    <w:rsid w:val="40665BFF"/>
    <w:rsid w:val="46F771CD"/>
    <w:rsid w:val="55D715EF"/>
    <w:rsid w:val="55DE44D0"/>
    <w:rsid w:val="56D36869"/>
    <w:rsid w:val="63F9BED1"/>
    <w:rsid w:val="64FE3D3C"/>
    <w:rsid w:val="657B5C77"/>
    <w:rsid w:val="66DB1D81"/>
    <w:rsid w:val="675E9250"/>
    <w:rsid w:val="6BEF2D5B"/>
    <w:rsid w:val="6C8E6ECB"/>
    <w:rsid w:val="6FCE2185"/>
    <w:rsid w:val="717BD6C4"/>
    <w:rsid w:val="77DB5970"/>
    <w:rsid w:val="77DD0D39"/>
    <w:rsid w:val="79AA7562"/>
    <w:rsid w:val="7BE7CBFA"/>
    <w:rsid w:val="7CF77DF4"/>
    <w:rsid w:val="7D7FD2BE"/>
    <w:rsid w:val="7DFDC246"/>
    <w:rsid w:val="7FC7D96E"/>
    <w:rsid w:val="7FCCFA18"/>
    <w:rsid w:val="958F0D9D"/>
    <w:rsid w:val="9F63B127"/>
    <w:rsid w:val="ACA74167"/>
    <w:rsid w:val="D7FE0708"/>
    <w:rsid w:val="E7BABDAE"/>
    <w:rsid w:val="EFEE53D8"/>
    <w:rsid w:val="FCED7D44"/>
    <w:rsid w:val="FDCE307C"/>
    <w:rsid w:val="FE6DD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qFormat="1"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 w:line="276" w:lineRule="auto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paragraph" w:styleId="4">
    <w:name w:val="heading 1"/>
    <w:basedOn w:val="1"/>
    <w:next w:val="1"/>
    <w:link w:val="142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5">
    <w:name w:val="heading 2"/>
    <w:basedOn w:val="1"/>
    <w:next w:val="1"/>
    <w:link w:val="14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6">
    <w:name w:val="heading 3"/>
    <w:basedOn w:val="1"/>
    <w:next w:val="1"/>
    <w:link w:val="144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4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8">
    <w:name w:val="heading 5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9">
    <w:name w:val="heading 6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10">
    <w:name w:val="heading 7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1">
    <w:name w:val="heading 8"/>
    <w:basedOn w:val="1"/>
    <w:next w:val="1"/>
    <w:link w:val="158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2">
    <w:name w:val="heading 9"/>
    <w:basedOn w:val="1"/>
    <w:next w:val="1"/>
    <w:link w:val="159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5">
    <w:name w:val="Default Paragraph Font"/>
    <w:semiHidden/>
    <w:unhideWhenUsed/>
    <w:qFormat/>
    <w:uiPriority w:val="1"/>
  </w:style>
  <w:style w:type="table" w:default="1" w:styleId="3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145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3">
    <w:name w:val="macro"/>
    <w:link w:val="151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3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4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5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7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8">
    <w:name w:val="Body Text 3"/>
    <w:basedOn w:val="1"/>
    <w:link w:val="150"/>
    <w:unhideWhenUsed/>
    <w:qFormat/>
    <w:uiPriority w:val="99"/>
    <w:pPr>
      <w:spacing w:after="120"/>
    </w:pPr>
    <w:rPr>
      <w:sz w:val="16"/>
      <w:szCs w:val="16"/>
    </w:rPr>
  </w:style>
  <w:style w:type="paragraph" w:styleId="19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0">
    <w:name w:val="Body Text"/>
    <w:basedOn w:val="1"/>
    <w:next w:val="1"/>
    <w:link w:val="148"/>
    <w:unhideWhenUsed/>
    <w:qFormat/>
    <w:uiPriority w:val="99"/>
    <w:pPr>
      <w:spacing w:after="120"/>
    </w:pPr>
  </w:style>
  <w:style w:type="paragraph" w:styleId="21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2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3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5">
    <w:name w:val="footer"/>
    <w:basedOn w:val="1"/>
    <w:link w:val="14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header"/>
    <w:basedOn w:val="1"/>
    <w:link w:val="13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Subtitle"/>
    <w:basedOn w:val="1"/>
    <w:next w:val="1"/>
    <w:link w:val="14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9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</w:rPr>
  </w:style>
  <w:style w:type="paragraph" w:styleId="30">
    <w:name w:val="index 9"/>
    <w:basedOn w:val="1"/>
    <w:next w:val="1"/>
    <w:qFormat/>
    <w:uiPriority w:val="99"/>
    <w:pPr>
      <w:ind w:left="1600" w:leftChars="1600"/>
    </w:pPr>
  </w:style>
  <w:style w:type="paragraph" w:styleId="31">
    <w:name w:val="Body Text 2"/>
    <w:basedOn w:val="1"/>
    <w:link w:val="149"/>
    <w:unhideWhenUsed/>
    <w:qFormat/>
    <w:uiPriority w:val="99"/>
    <w:pPr>
      <w:spacing w:after="120" w:line="480" w:lineRule="auto"/>
    </w:pPr>
  </w:style>
  <w:style w:type="paragraph" w:styleId="32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34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table" w:styleId="36">
    <w:name w:val="Table Grid"/>
    <w:basedOn w:val="3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7">
    <w:name w:val="Light Shading"/>
    <w:basedOn w:val="35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35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35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35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35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35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35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35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35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35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35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35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35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35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35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35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35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35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35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35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35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35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35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35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35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35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35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35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35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35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35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35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35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35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35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6">
    <w:name w:val="Strong"/>
    <w:basedOn w:val="135"/>
    <w:qFormat/>
    <w:uiPriority w:val="22"/>
    <w:rPr>
      <w:b/>
      <w:bCs/>
    </w:rPr>
  </w:style>
  <w:style w:type="character" w:styleId="137">
    <w:name w:val="Emphasis"/>
    <w:basedOn w:val="135"/>
    <w:qFormat/>
    <w:uiPriority w:val="20"/>
    <w:rPr>
      <w:i/>
      <w:iCs/>
    </w:rPr>
  </w:style>
  <w:style w:type="character" w:styleId="138">
    <w:name w:val="footnote reference"/>
    <w:basedOn w:val="135"/>
    <w:semiHidden/>
    <w:unhideWhenUsed/>
    <w:qFormat/>
    <w:uiPriority w:val="99"/>
    <w:rPr>
      <w:vertAlign w:val="superscript"/>
    </w:rPr>
  </w:style>
  <w:style w:type="character" w:customStyle="1" w:styleId="139">
    <w:name w:val="Header Char"/>
    <w:basedOn w:val="135"/>
    <w:link w:val="26"/>
    <w:qFormat/>
    <w:uiPriority w:val="99"/>
  </w:style>
  <w:style w:type="character" w:customStyle="1" w:styleId="140">
    <w:name w:val="Footer Char"/>
    <w:basedOn w:val="135"/>
    <w:link w:val="25"/>
    <w:qFormat/>
    <w:uiPriority w:val="99"/>
  </w:style>
  <w:style w:type="paragraph" w:styleId="141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2">
    <w:name w:val="Heading 1 Char"/>
    <w:basedOn w:val="135"/>
    <w:link w:val="4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3">
    <w:name w:val="Heading 2 Char"/>
    <w:basedOn w:val="135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4">
    <w:name w:val="Heading 3 Char"/>
    <w:basedOn w:val="135"/>
    <w:link w:val="6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5">
    <w:name w:val="Title Char"/>
    <w:basedOn w:val="135"/>
    <w:link w:val="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6">
    <w:name w:val="Subtitle Char"/>
    <w:basedOn w:val="135"/>
    <w:link w:val="2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7">
    <w:name w:val="List Paragraph"/>
    <w:basedOn w:val="1"/>
    <w:qFormat/>
    <w:uiPriority w:val="34"/>
    <w:pPr>
      <w:ind w:left="720"/>
      <w:contextualSpacing/>
    </w:pPr>
  </w:style>
  <w:style w:type="character" w:customStyle="1" w:styleId="148">
    <w:name w:val="Body Text Char"/>
    <w:basedOn w:val="135"/>
    <w:link w:val="20"/>
    <w:qFormat/>
    <w:uiPriority w:val="99"/>
  </w:style>
  <w:style w:type="character" w:customStyle="1" w:styleId="149">
    <w:name w:val="Body Text 2 Char"/>
    <w:basedOn w:val="135"/>
    <w:link w:val="31"/>
    <w:qFormat/>
    <w:uiPriority w:val="99"/>
  </w:style>
  <w:style w:type="character" w:customStyle="1" w:styleId="150">
    <w:name w:val="Body Text 3 Char"/>
    <w:basedOn w:val="135"/>
    <w:link w:val="18"/>
    <w:qFormat/>
    <w:uiPriority w:val="99"/>
    <w:rPr>
      <w:sz w:val="16"/>
      <w:szCs w:val="16"/>
    </w:rPr>
  </w:style>
  <w:style w:type="character" w:customStyle="1" w:styleId="151">
    <w:name w:val="Macro Text Char"/>
    <w:basedOn w:val="135"/>
    <w:link w:val="3"/>
    <w:qFormat/>
    <w:uiPriority w:val="99"/>
    <w:rPr>
      <w:rFonts w:ascii="Courier" w:hAnsi="Courier"/>
      <w:sz w:val="20"/>
      <w:szCs w:val="20"/>
    </w:rPr>
  </w:style>
  <w:style w:type="paragraph" w:styleId="152">
    <w:name w:val="Quote"/>
    <w:basedOn w:val="1"/>
    <w:next w:val="1"/>
    <w:link w:val="153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3">
    <w:name w:val="Quote Char"/>
    <w:basedOn w:val="135"/>
    <w:link w:val="15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4">
    <w:name w:val="Heading 4 Char"/>
    <w:basedOn w:val="135"/>
    <w:link w:val="7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5">
    <w:name w:val="Heading 5 Char"/>
    <w:basedOn w:val="135"/>
    <w:link w:val="8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6">
    <w:name w:val="Heading 6 Char"/>
    <w:basedOn w:val="135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7">
    <w:name w:val="Heading 7 Char"/>
    <w:basedOn w:val="135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8">
    <w:name w:val="Heading 8 Char"/>
    <w:basedOn w:val="135"/>
    <w:link w:val="11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9">
    <w:name w:val="Heading 9 Char"/>
    <w:basedOn w:val="135"/>
    <w:link w:val="12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60">
    <w:name w:val="Intense Quote"/>
    <w:basedOn w:val="1"/>
    <w:next w:val="1"/>
    <w:link w:val="161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Intense Quote Char"/>
    <w:basedOn w:val="135"/>
    <w:link w:val="160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2">
    <w:name w:val="Subtle Emphasis"/>
    <w:basedOn w:val="135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3">
    <w:name w:val="Intense Emphasis"/>
    <w:basedOn w:val="135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4">
    <w:name w:val="Subtle Reference"/>
    <w:basedOn w:val="135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5">
    <w:name w:val="Intense Reference"/>
    <w:basedOn w:val="135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6">
    <w:name w:val="Book Title"/>
    <w:basedOn w:val="135"/>
    <w:qFormat/>
    <w:uiPriority w:val="33"/>
    <w:rPr>
      <w:b/>
      <w:bCs/>
      <w:smallCaps/>
      <w:spacing w:val="5"/>
    </w:rPr>
  </w:style>
  <w:style w:type="paragraph" w:customStyle="1" w:styleId="167">
    <w:name w:val="TOC Heading"/>
    <w:basedOn w:val="4"/>
    <w:next w:val="1"/>
    <w:semiHidden/>
    <w:unhideWhenUsed/>
    <w:qFormat/>
    <w:uiPriority w:val="39"/>
    <w:pPr>
      <w:outlineLvl w:val="9"/>
    </w:pPr>
  </w:style>
  <w:style w:type="paragraph" w:customStyle="1" w:styleId="168">
    <w:name w:val="Title Style"/>
    <w:qFormat/>
    <w:uiPriority w:val="0"/>
    <w:pPr>
      <w:spacing w:after="360" w:line="276" w:lineRule="auto"/>
      <w:jc w:val="center"/>
    </w:pPr>
    <w:rPr>
      <w:rFonts w:ascii="黑体" w:hAnsi="黑体" w:eastAsia="黑体" w:cstheme="minorBidi"/>
      <w:b/>
      <w:sz w:val="36"/>
      <w:szCs w:val="22"/>
      <w:lang w:val="en-US" w:eastAsia="en-US" w:bidi="ar-SA"/>
    </w:rPr>
  </w:style>
  <w:style w:type="paragraph" w:customStyle="1" w:styleId="169">
    <w:name w:val="Heading 1 Style"/>
    <w:qFormat/>
    <w:uiPriority w:val="0"/>
    <w:pPr>
      <w:spacing w:before="240" w:after="120" w:line="276" w:lineRule="auto"/>
    </w:pPr>
    <w:rPr>
      <w:rFonts w:ascii="黑体" w:hAnsi="黑体" w:eastAsia="黑体" w:cstheme="minorBidi"/>
      <w:b/>
      <w:sz w:val="32"/>
      <w:szCs w:val="22"/>
      <w:lang w:val="en-US" w:eastAsia="en-US" w:bidi="ar-SA"/>
    </w:rPr>
  </w:style>
  <w:style w:type="paragraph" w:customStyle="1" w:styleId="170">
    <w:name w:val="Heading 2 Style"/>
    <w:qFormat/>
    <w:uiPriority w:val="0"/>
    <w:pPr>
      <w:spacing w:before="180" w:after="90" w:line="276" w:lineRule="auto"/>
    </w:pPr>
    <w:rPr>
      <w:rFonts w:ascii="黑体" w:hAnsi="黑体" w:eastAsia="黑体" w:cstheme="minorBidi"/>
      <w:b/>
      <w:sz w:val="28"/>
      <w:szCs w:val="22"/>
      <w:lang w:val="en-US" w:eastAsia="en-US" w:bidi="ar-SA"/>
    </w:rPr>
  </w:style>
  <w:style w:type="paragraph" w:customStyle="1" w:styleId="171">
    <w:name w:val="Heading 3 Style"/>
    <w:qFormat/>
    <w:uiPriority w:val="0"/>
    <w:pPr>
      <w:spacing w:before="120" w:after="60" w:line="276" w:lineRule="auto"/>
    </w:pPr>
    <w:rPr>
      <w:rFonts w:ascii="黑体" w:hAnsi="黑体" w:eastAsia="黑体" w:cstheme="minorBidi"/>
      <w:b/>
      <w:sz w:val="26"/>
      <w:szCs w:val="22"/>
      <w:lang w:val="en-US" w:eastAsia="en-US" w:bidi="ar-SA"/>
    </w:rPr>
  </w:style>
  <w:style w:type="paragraph" w:customStyle="1" w:styleId="172">
    <w:name w:val="Body Style"/>
    <w:qFormat/>
    <w:uiPriority w:val="0"/>
    <w:pPr>
      <w:spacing w:after="120" w:line="360" w:lineRule="auto"/>
      <w:ind w:firstLine="480"/>
    </w:pPr>
    <w:rPr>
      <w:rFonts w:ascii="宋体" w:hAnsi="宋体" w:eastAsia="宋体" w:cstheme="minorBidi"/>
      <w:sz w:val="24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2898</Words>
  <Characters>3440</Characters>
  <Lines>0</Lines>
  <Paragraphs>0</Paragraphs>
  <TotalTime>12</TotalTime>
  <ScaleCrop>false</ScaleCrop>
  <LinksUpToDate>false</LinksUpToDate>
  <CharactersWithSpaces>3468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2013-12-31T23:15:00Z</dcterms:created>
  <dc:creator>python-docx</dc:creator>
  <dc:description>generated by python-docx</dc:description>
  <cp:lastModifiedBy>uos</cp:lastModifiedBy>
  <cp:lastPrinted>2026-08-21T17:34:00Z</cp:lastPrinted>
  <dcterms:modified xsi:type="dcterms:W3CDTF">2026-08-24T10:22:24Z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