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增长18.9%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下降2.2%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040" cy="3294380"/>
            <wp:effectExtent l="0" t="0" r="0" b="12700"/>
            <wp:docPr id="1" name="图片 1" descr="投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投资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8E56095"/>
    <w:rsid w:val="097E226E"/>
    <w:rsid w:val="0A360385"/>
    <w:rsid w:val="0B7C7179"/>
    <w:rsid w:val="0BC5778E"/>
    <w:rsid w:val="0C0C2D5C"/>
    <w:rsid w:val="0CA36702"/>
    <w:rsid w:val="0CF00449"/>
    <w:rsid w:val="0DFFBF94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97069CC"/>
    <w:rsid w:val="39E813BA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0546FF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2026-01-27T10:43:25Z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