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0A6EC">
      <w:pPr>
        <w:textAlignment w:val="top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附件1</w:t>
      </w:r>
    </w:p>
    <w:p w14:paraId="17CC268A">
      <w:pPr>
        <w:jc w:val="center"/>
        <w:textAlignment w:val="top"/>
        <w:rPr>
          <w:color w:val="auto"/>
        </w:rPr>
      </w:pPr>
      <w:r>
        <w:rPr>
          <w:rFonts w:ascii="Verdana"/>
          <w:color w:val="auto"/>
          <w:sz w:val="44"/>
        </w:rPr>
        <w:t>本次检验项目</w:t>
      </w:r>
    </w:p>
    <w:p w14:paraId="0B00E678">
      <w:pPr>
        <w:spacing w:before="4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hint="eastAsia" w:ascii="仿宋_GB2312" w:hAnsi="Times New Roman" w:eastAsia="仿宋_GB2312"/>
          <w:color w:val="auto"/>
          <w:sz w:val="32"/>
        </w:rPr>
        <w:t>粮食加工品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,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22</w:t>
      </w:r>
      <w:r>
        <w:rPr>
          <w:rFonts w:hint="eastAsia" w:ascii="仿宋_GB2312" w:hAnsi="仿宋_GB2312" w:eastAsia="仿宋_GB2312"/>
          <w:color w:val="auto"/>
          <w:sz w:val="32"/>
        </w:rPr>
        <w:t>批次</w:t>
      </w:r>
      <w:r>
        <w:rPr>
          <w:rFonts w:hint="eastAsia" w:eastAsia="仿宋"/>
          <w:color w:val="auto"/>
          <w:sz w:val="32"/>
        </w:rPr>
        <w:t>。</w:t>
      </w:r>
    </w:p>
    <w:p w14:paraId="5F40E200">
      <w:pPr>
        <w:ind w:firstLine="640" w:firstLineChars="200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4F454209">
      <w:pPr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</w:rPr>
        <w:t>抽检依据</w:t>
      </w:r>
      <w:r>
        <w:rPr>
          <w:rFonts w:hint="eastAsia" w:eastAsia="仿宋"/>
          <w:color w:val="auto"/>
          <w:sz w:val="32"/>
          <w:szCs w:val="32"/>
        </w:rPr>
        <w:t>是GB 2762-2022《食品安全国家标准 食品中污染物限量》</w:t>
      </w:r>
      <w:r>
        <w:rPr>
          <w:rFonts w:hint="eastAsia" w:eastAsia="仿宋"/>
          <w:color w:val="auto"/>
          <w:sz w:val="32"/>
          <w:szCs w:val="32"/>
          <w:lang w:eastAsia="zh-CN"/>
        </w:rPr>
        <w:t>、</w:t>
      </w:r>
      <w:r>
        <w:rPr>
          <w:rFonts w:hint="eastAsia" w:eastAsia="仿宋"/>
          <w:color w:val="auto"/>
          <w:sz w:val="32"/>
          <w:szCs w:val="32"/>
        </w:rPr>
        <w:t>GB 2761-2017《食品安全国家标准 食品中真菌毒素限量》</w:t>
      </w:r>
      <w:r>
        <w:rPr>
          <w:rFonts w:hint="eastAsia" w:eastAsia="仿宋"/>
          <w:color w:val="auto"/>
          <w:sz w:val="32"/>
          <w:szCs w:val="32"/>
          <w:lang w:eastAsia="zh-CN"/>
        </w:rPr>
        <w:t>、卫生部公告[2011]第4号 卫生部等7部门《关于撤销食品添加剂过氧化苯甲酰、过氧化钙的公告》</w:t>
      </w:r>
      <w:r>
        <w:rPr>
          <w:rFonts w:hint="eastAsia" w:eastAsia="仿宋"/>
          <w:color w:val="auto"/>
          <w:sz w:val="32"/>
          <w:szCs w:val="32"/>
        </w:rPr>
        <w:t>等</w:t>
      </w:r>
      <w:r>
        <w:rPr>
          <w:rFonts w:eastAsia="仿宋"/>
          <w:color w:val="auto"/>
          <w:sz w:val="32"/>
        </w:rPr>
        <w:t>标准及产品明示标准和指标的要求。</w:t>
      </w:r>
    </w:p>
    <w:p w14:paraId="3A911173">
      <w:pPr>
        <w:ind w:firstLine="640" w:firstLineChars="200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0E375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1、小麦粉抽检项目包括镉、黄曲霉毒素B₁、赭曲霉毒素A、苯并[a]芘、玉米赤霉烯酮、脱氧雪腐镰刀菌烯醇、过氧化苯甲酰7个指标。</w:t>
      </w:r>
    </w:p>
    <w:p w14:paraId="63E02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default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2、大米抽检项目包括铅、镉、无机砷、赭曲霉毒素A、黄曲霉毒素B₁、苯并[a]芘6个指标。</w:t>
      </w:r>
    </w:p>
    <w:p w14:paraId="012F549E">
      <w:pPr>
        <w:ind w:firstLine="640" w:firstLineChars="200"/>
        <w:rPr>
          <w:rFonts w:ascii="仿宋" w:hAnsi="仿宋" w:eastAsia="仿宋" w:cs="仿宋"/>
          <w:color w:val="548DD4" w:themeColor="text2" w:themeTint="99"/>
          <w:sz w:val="32"/>
        </w:rPr>
      </w:pPr>
    </w:p>
    <w:p w14:paraId="7A7CC736">
      <w:pPr>
        <w:rPr>
          <w:rFonts w:hint="eastAsia"/>
          <w:color w:val="548DD4" w:themeColor="text2" w:themeTint="99"/>
        </w:rPr>
      </w:pPr>
    </w:p>
    <w:p w14:paraId="55B2E27F">
      <w:pPr>
        <w:rPr>
          <w:rFonts w:hint="eastAsia"/>
          <w:color w:val="548DD4" w:themeColor="text2" w:themeTint="99"/>
        </w:rPr>
      </w:pPr>
    </w:p>
    <w:p w14:paraId="179A4AAD">
      <w:pPr>
        <w:rPr>
          <w:rFonts w:hint="eastAsia"/>
          <w:color w:val="548DD4" w:themeColor="text2" w:themeTint="99"/>
        </w:rPr>
      </w:pPr>
    </w:p>
    <w:p w14:paraId="43B46A1B">
      <w:pPr>
        <w:rPr>
          <w:rFonts w:hint="eastAsia"/>
          <w:color w:val="548DD4" w:themeColor="text2" w:themeTint="99"/>
        </w:rPr>
      </w:pPr>
    </w:p>
    <w:p w14:paraId="058E8F56">
      <w:pPr>
        <w:rPr>
          <w:rFonts w:hint="eastAsia"/>
          <w:color w:val="548DD4" w:themeColor="text2" w:themeTint="99"/>
        </w:rPr>
      </w:pPr>
    </w:p>
    <w:p w14:paraId="73B86BB5">
      <w:pPr>
        <w:rPr>
          <w:rFonts w:hint="eastAsia"/>
          <w:color w:val="548DD4" w:themeColor="text2" w:themeTint="99"/>
        </w:rPr>
      </w:pPr>
    </w:p>
    <w:p w14:paraId="0EC66138">
      <w:pPr>
        <w:rPr>
          <w:rFonts w:hint="eastAsia"/>
          <w:color w:val="548DD4" w:themeColor="text2" w:themeTint="99"/>
        </w:rPr>
      </w:pPr>
    </w:p>
    <w:p w14:paraId="200FA9E0">
      <w:pPr>
        <w:rPr>
          <w:rFonts w:hint="eastAsia"/>
          <w:color w:val="548DD4" w:themeColor="text2" w:themeTint="99"/>
        </w:rPr>
      </w:pPr>
    </w:p>
    <w:p w14:paraId="0BE85547">
      <w:pPr>
        <w:rPr>
          <w:rFonts w:hint="eastAsia"/>
          <w:color w:val="548DD4" w:themeColor="text2" w:themeTint="99"/>
        </w:rPr>
      </w:pPr>
    </w:p>
    <w:p w14:paraId="41B9AB67">
      <w:pPr>
        <w:rPr>
          <w:rFonts w:hint="eastAsia"/>
          <w:color w:val="548DD4" w:themeColor="text2" w:themeTint="99"/>
        </w:rPr>
      </w:pPr>
    </w:p>
    <w:p w14:paraId="4C8DE2D9">
      <w:pPr>
        <w:rPr>
          <w:rFonts w:hint="eastAsia"/>
          <w:color w:val="548DD4" w:themeColor="text2" w:themeTint="99"/>
        </w:rPr>
      </w:pPr>
    </w:p>
    <w:p w14:paraId="0E5FF676">
      <w:pPr>
        <w:rPr>
          <w:rFonts w:hint="eastAsia"/>
          <w:color w:val="548DD4" w:themeColor="text2" w:themeTint="99"/>
        </w:rPr>
      </w:pPr>
    </w:p>
    <w:p w14:paraId="56CF39FD">
      <w:pPr>
        <w:spacing w:before="4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hint="eastAsia" w:ascii="仿宋_GB2312" w:hAnsi="Times New Roman" w:eastAsia="仿宋_GB2312"/>
          <w:color w:val="auto"/>
          <w:sz w:val="32"/>
        </w:rPr>
        <w:t>食用油、油脂及其制品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,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9</w:t>
      </w:r>
      <w:r>
        <w:rPr>
          <w:rFonts w:hint="eastAsia" w:ascii="仿宋_GB2312" w:hAnsi="仿宋_GB2312" w:eastAsia="仿宋_GB2312"/>
          <w:color w:val="auto"/>
          <w:sz w:val="32"/>
        </w:rPr>
        <w:t>批次</w:t>
      </w:r>
      <w:r>
        <w:rPr>
          <w:rFonts w:hint="eastAsia" w:eastAsia="仿宋"/>
          <w:color w:val="auto"/>
          <w:sz w:val="32"/>
        </w:rPr>
        <w:t>。</w:t>
      </w:r>
    </w:p>
    <w:p w14:paraId="1882CE08">
      <w:pPr>
        <w:ind w:firstLine="640" w:firstLineChars="200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4BB77843">
      <w:pPr>
        <w:ind w:firstLine="640" w:firstLineChars="200"/>
        <w:rPr>
          <w:rFonts w:eastAsia="仿宋"/>
          <w:color w:val="548DD4" w:themeColor="text2" w:themeTint="99"/>
          <w:sz w:val="32"/>
        </w:rPr>
      </w:pPr>
      <w:r>
        <w:rPr>
          <w:rFonts w:eastAsia="仿宋"/>
          <w:color w:val="auto"/>
          <w:sz w:val="32"/>
        </w:rPr>
        <w:t>抽检</w:t>
      </w:r>
      <w:r>
        <w:rPr>
          <w:rFonts w:hint="eastAsia" w:eastAsia="仿宋"/>
          <w:color w:val="auto"/>
          <w:sz w:val="32"/>
          <w:lang w:eastAsia="zh-CN"/>
        </w:rPr>
        <w:t>依据是GB 2760-2024《食品安全国家标准 食品添加剂使用标准》、GB 2762-2022《食品安全国家标准 食品中污染物限量》、GB/T 1535-2017《大豆油》、GB/T 1536-2021《菜籽油》、Q/BBAH0019S-2022《大豆油》、Q/LDCTJ05-2024《大豆油》、GB 2716-2018《食品安全国家标准 植物油》等标准及产品明示</w:t>
      </w:r>
      <w:r>
        <w:rPr>
          <w:rFonts w:eastAsia="仿宋"/>
          <w:color w:val="auto"/>
          <w:sz w:val="32"/>
        </w:rPr>
        <w:t>标准和指标的要求。</w:t>
      </w:r>
    </w:p>
    <w:p w14:paraId="7C54F6A9">
      <w:pPr>
        <w:numPr>
          <w:ilvl w:val="0"/>
          <w:numId w:val="1"/>
        </w:numPr>
        <w:tabs>
          <w:tab w:val="center" w:pos="4153"/>
        </w:tabs>
        <w:spacing w:line="480" w:lineRule="auto"/>
        <w:ind w:firstLine="640" w:firstLineChars="200"/>
        <w:rPr>
          <w:rFonts w:hint="eastAsia" w:eastAsia="仿宋"/>
          <w:color w:val="auto"/>
          <w:sz w:val="32"/>
          <w:lang w:eastAsia="zh-CN"/>
        </w:rPr>
      </w:pPr>
      <w:r>
        <w:rPr>
          <w:rFonts w:eastAsia="仿宋"/>
          <w:color w:val="auto"/>
          <w:sz w:val="32"/>
        </w:rPr>
        <w:t>检验项目</w:t>
      </w:r>
      <w:r>
        <w:rPr>
          <w:rFonts w:hint="eastAsia" w:eastAsia="仿宋"/>
          <w:color w:val="auto"/>
          <w:sz w:val="32"/>
          <w:lang w:eastAsia="zh-CN"/>
        </w:rPr>
        <w:tab/>
      </w:r>
    </w:p>
    <w:p w14:paraId="719CFE86">
      <w:pPr>
        <w:ind w:firstLine="640" w:firstLineChars="200"/>
        <w:rPr>
          <w:rFonts w:hint="default" w:eastAsia="仿宋"/>
          <w:color w:val="auto"/>
          <w:sz w:val="32"/>
          <w:lang w:val="en-US" w:eastAsia="zh-CN"/>
        </w:rPr>
      </w:pPr>
      <w:r>
        <w:rPr>
          <w:rFonts w:hint="eastAsia" w:ascii="仿宋_GB2312" w:hAnsi="Times New Roman" w:eastAsia="仿宋_GB2312"/>
          <w:color w:val="auto"/>
          <w:sz w:val="32"/>
        </w:rPr>
        <w:t>食用油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酸价、过氧化值、苯并[a]芘、溶剂残留量、特丁基对苯二酚5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val="en-US" w:eastAsia="zh-CN"/>
        </w:rPr>
        <w:t>。</w:t>
      </w:r>
    </w:p>
    <w:p w14:paraId="0EB9E38E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1D0CB576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7CA550D9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0DC425AF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67B0C029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7625F169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755384D1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4D9AD1C5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2D98C2E5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4DF79892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13959793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443824A1">
      <w:pPr>
        <w:spacing w:before="4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hint="eastAsia" w:ascii="仿宋_GB2312" w:hAnsi="Times New Roman" w:eastAsia="仿宋_GB2312"/>
          <w:color w:val="auto"/>
          <w:sz w:val="32"/>
        </w:rPr>
        <w:t>调味品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,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14</w:t>
      </w:r>
      <w:r>
        <w:rPr>
          <w:rFonts w:hint="eastAsia" w:ascii="仿宋_GB2312" w:hAnsi="仿宋_GB2312" w:eastAsia="仿宋_GB2312"/>
          <w:color w:val="auto"/>
          <w:sz w:val="32"/>
        </w:rPr>
        <w:t>批次</w:t>
      </w:r>
      <w:r>
        <w:rPr>
          <w:rFonts w:hint="eastAsia" w:eastAsia="仿宋"/>
          <w:color w:val="auto"/>
          <w:sz w:val="32"/>
        </w:rPr>
        <w:t>。</w:t>
      </w:r>
    </w:p>
    <w:p w14:paraId="038B0279">
      <w:pPr>
        <w:ind w:firstLine="640" w:firstLineChars="200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7FDE16C3">
      <w:pPr>
        <w:ind w:firstLine="640" w:firstLineChars="200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</w:t>
      </w:r>
      <w:r>
        <w:rPr>
          <w:rFonts w:hint="eastAsia" w:eastAsia="仿宋"/>
          <w:color w:val="auto"/>
          <w:sz w:val="32"/>
          <w:lang w:eastAsia="zh-CN"/>
        </w:rPr>
        <w:t>依据是GB 2760-2014《食品安全国家标准 食品添加剂使用标准》、GB 2760-2024《食品安全国家标准 食品添加剂使用标准》、GB 2721-2015《食品安全国家标准 食用盐》、GB 26878-2011《食品安全国家标准 食用盐碘含量》、GB 2762-2022《食品安全国家标准 食品中污染物限量》、GB/T 18186-2000《酿造酱油》、GB 2717-2018《食品安全国家标准 酱油》、SB/T 10371-2003《鸡精调味料》等标准及产品明示</w:t>
      </w:r>
      <w:r>
        <w:rPr>
          <w:rFonts w:eastAsia="仿宋"/>
          <w:color w:val="auto"/>
          <w:sz w:val="32"/>
        </w:rPr>
        <w:t>标准和指标的要求。</w:t>
      </w:r>
    </w:p>
    <w:p w14:paraId="43F0C83B">
      <w:pPr>
        <w:numPr>
          <w:numId w:val="0"/>
        </w:numPr>
        <w:tabs>
          <w:tab w:val="center" w:pos="4153"/>
        </w:tabs>
        <w:spacing w:line="480" w:lineRule="auto"/>
        <w:ind w:firstLine="640" w:firstLineChars="200"/>
        <w:rPr>
          <w:rFonts w:hint="eastAsia" w:eastAsia="仿宋"/>
          <w:color w:val="auto"/>
          <w:sz w:val="32"/>
          <w:lang w:eastAsia="zh-CN"/>
        </w:rPr>
      </w:pPr>
      <w:bookmarkStart w:id="0" w:name="_GoBack"/>
      <w:bookmarkEnd w:id="0"/>
      <w:r>
        <w:rPr>
          <w:rFonts w:hint="eastAsia" w:eastAsia="仿宋"/>
          <w:color w:val="auto"/>
          <w:sz w:val="32"/>
          <w:lang w:val="en-US" w:eastAsia="zh-CN"/>
        </w:rPr>
        <w:t>二、</w:t>
      </w:r>
      <w:r>
        <w:rPr>
          <w:rFonts w:eastAsia="仿宋"/>
          <w:color w:val="auto"/>
          <w:sz w:val="32"/>
        </w:rPr>
        <w:t>检验项目</w:t>
      </w:r>
      <w:r>
        <w:rPr>
          <w:rFonts w:hint="eastAsia" w:eastAsia="仿宋"/>
          <w:color w:val="auto"/>
          <w:sz w:val="32"/>
          <w:lang w:eastAsia="zh-CN"/>
        </w:rPr>
        <w:tab/>
      </w:r>
    </w:p>
    <w:p w14:paraId="7FDB6E74">
      <w:pPr>
        <w:numPr>
          <w:ilvl w:val="0"/>
          <w:numId w:val="2"/>
        </w:numPr>
        <w:ind w:firstLine="640" w:firstLineChars="200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酱油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氨基酸态</w:t>
      </w:r>
      <w:r>
        <w:rPr>
          <w:rFonts w:hint="eastAsia" w:eastAsia="仿宋"/>
          <w:color w:val="auto"/>
          <w:sz w:val="32"/>
          <w:lang w:val="en-US" w:eastAsia="zh-CN"/>
        </w:rPr>
        <w:t>氮、全氮、铵盐、苯甲酸及其钠盐、山梨酸及其钾盐、糖精钠、脱氢乙酸及其钠盐、对羟基苯甲酸酯类及其钠盐、三氯蔗糖、甜蜜素、菌落总数、大肠菌群12个指标。</w:t>
      </w:r>
    </w:p>
    <w:p w14:paraId="339FB843">
      <w:pPr>
        <w:numPr>
          <w:ilvl w:val="0"/>
          <w:numId w:val="2"/>
        </w:numPr>
        <w:ind w:firstLine="640" w:firstLineChars="200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固体复合调味料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铅、谷氨酸钠、呈味核苷酸二钠、糖精钠、甜蜜素、安赛蜜、菌落总数、大肠菌群8</w:t>
      </w:r>
      <w:r>
        <w:rPr>
          <w:rFonts w:eastAsia="仿宋"/>
          <w:color w:val="auto"/>
          <w:sz w:val="32"/>
        </w:rPr>
        <w:t>个指标。</w:t>
      </w:r>
    </w:p>
    <w:p w14:paraId="69D0CCC8">
      <w:pPr>
        <w:ind w:firstLine="640" w:firstLineChars="200"/>
        <w:rPr>
          <w:rFonts w:hint="default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2、食用盐抽检项目包括铅、镉、总汞、总砷、钡、碘、亚铁氰化钾/亚铁氰化钠7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val="en-US" w:eastAsia="zh-CN"/>
        </w:rPr>
        <w:t>。</w:t>
      </w:r>
    </w:p>
    <w:p w14:paraId="0AC49A4B">
      <w:pPr>
        <w:rPr>
          <w:rFonts w:hint="eastAsia" w:eastAsia="仿宋"/>
          <w:color w:val="548DD4" w:themeColor="text2" w:themeTint="99"/>
          <w:sz w:val="32"/>
        </w:rPr>
      </w:pPr>
    </w:p>
    <w:p w14:paraId="67DAC03A">
      <w:pPr>
        <w:rPr>
          <w:rFonts w:hint="eastAsia" w:eastAsia="仿宋"/>
          <w:color w:val="548DD4" w:themeColor="text2" w:themeTint="99"/>
          <w:sz w:val="32"/>
        </w:rPr>
      </w:pPr>
    </w:p>
    <w:p w14:paraId="1C7939B8">
      <w:pPr>
        <w:spacing w:line="480" w:lineRule="auto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  <w:lang w:val="en-US" w:eastAsia="zh-CN"/>
        </w:rPr>
        <w:t>食糖</w:t>
      </w:r>
      <w:r>
        <w:rPr>
          <w:rFonts w:hint="eastAsia" w:ascii="仿宋_GB2312" w:eastAsia="仿宋_GB2312"/>
          <w:color w:val="auto"/>
          <w:sz w:val="32"/>
          <w:lang w:eastAsia="zh-CN"/>
        </w:rPr>
        <w:t>，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5</w:t>
      </w:r>
      <w:r>
        <w:rPr>
          <w:rFonts w:hint="eastAsia" w:ascii="仿宋_GB2312" w:hAnsi="仿宋_GB2312" w:eastAsia="仿宋_GB2312"/>
          <w:color w:val="auto"/>
          <w:sz w:val="32"/>
        </w:rPr>
        <w:t>批次</w:t>
      </w:r>
      <w:r>
        <w:rPr>
          <w:rFonts w:hint="eastAsia" w:eastAsia="仿宋"/>
          <w:color w:val="auto"/>
          <w:sz w:val="32"/>
        </w:rPr>
        <w:t>。</w:t>
      </w:r>
    </w:p>
    <w:p w14:paraId="41F2090A">
      <w:pPr>
        <w:spacing w:line="480" w:lineRule="auto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045FDFBD">
      <w:pPr>
        <w:spacing w:line="480" w:lineRule="auto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2760-2024《食品安全国家标准 食品添加剂使用标准》</w:t>
      </w:r>
      <w:r>
        <w:rPr>
          <w:rFonts w:hint="eastAsia" w:eastAsia="仿宋"/>
          <w:color w:val="auto"/>
          <w:sz w:val="32"/>
          <w:lang w:eastAsia="zh-CN"/>
        </w:rPr>
        <w:t>、GB 13104-2014《食品安全国家标准 食糖》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4CE7D20E">
      <w:pPr>
        <w:spacing w:line="480" w:lineRule="auto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5D62F95C">
      <w:pPr>
        <w:spacing w:line="480" w:lineRule="auto"/>
        <w:ind w:firstLine="480" w:firstLineChars="150"/>
        <w:jc w:val="left"/>
        <w:rPr>
          <w:rFonts w:eastAsia="仿宋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食糖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二氧化硫残留量、螨2</w:t>
      </w:r>
      <w:r>
        <w:rPr>
          <w:rFonts w:eastAsia="仿宋"/>
          <w:color w:val="auto"/>
          <w:sz w:val="32"/>
        </w:rPr>
        <w:t>个指标。</w:t>
      </w:r>
    </w:p>
    <w:p w14:paraId="2BA73969">
      <w:pPr>
        <w:spacing w:line="480" w:lineRule="auto"/>
        <w:rPr>
          <w:rFonts w:hint="eastAsia" w:eastAsia="仿宋"/>
          <w:color w:val="548DD4" w:themeColor="text2" w:themeTint="99"/>
          <w:sz w:val="32"/>
        </w:rPr>
      </w:pPr>
    </w:p>
    <w:p w14:paraId="09146CA1">
      <w:pPr>
        <w:spacing w:line="480" w:lineRule="auto"/>
        <w:rPr>
          <w:rFonts w:hint="eastAsia" w:eastAsia="仿宋"/>
          <w:color w:val="548DD4" w:themeColor="text2" w:themeTint="99"/>
          <w:sz w:val="32"/>
        </w:rPr>
      </w:pPr>
    </w:p>
    <w:p w14:paraId="654FA457">
      <w:pPr>
        <w:spacing w:line="480" w:lineRule="auto"/>
        <w:rPr>
          <w:rFonts w:hint="eastAsia" w:eastAsia="仿宋"/>
          <w:color w:val="548DD4" w:themeColor="text2" w:themeTint="99"/>
          <w:sz w:val="32"/>
        </w:rPr>
      </w:pPr>
    </w:p>
    <w:p w14:paraId="0EC2F6ED">
      <w:pPr>
        <w:spacing w:line="480" w:lineRule="auto"/>
        <w:rPr>
          <w:rFonts w:hint="eastAsia" w:eastAsia="仿宋"/>
          <w:color w:val="548DD4" w:themeColor="text2" w:themeTint="99"/>
          <w:sz w:val="32"/>
        </w:rPr>
      </w:pPr>
    </w:p>
    <w:p w14:paraId="5F07241D">
      <w:pPr>
        <w:spacing w:line="480" w:lineRule="auto"/>
        <w:rPr>
          <w:rFonts w:hint="eastAsia" w:eastAsia="仿宋"/>
          <w:color w:val="548DD4" w:themeColor="text2" w:themeTint="99"/>
          <w:sz w:val="32"/>
        </w:rPr>
      </w:pPr>
    </w:p>
    <w:p w14:paraId="27125AEA">
      <w:pPr>
        <w:spacing w:line="480" w:lineRule="auto"/>
        <w:rPr>
          <w:rFonts w:hint="eastAsia" w:eastAsia="仿宋"/>
          <w:color w:val="548DD4" w:themeColor="text2" w:themeTint="99"/>
          <w:sz w:val="32"/>
        </w:rPr>
      </w:pPr>
    </w:p>
    <w:p w14:paraId="4D60FE89">
      <w:pPr>
        <w:spacing w:line="480" w:lineRule="auto"/>
        <w:rPr>
          <w:rFonts w:hint="eastAsia" w:eastAsia="仿宋"/>
          <w:color w:val="548DD4" w:themeColor="text2" w:themeTint="99"/>
          <w:sz w:val="32"/>
        </w:rPr>
      </w:pPr>
    </w:p>
    <w:p w14:paraId="24401989">
      <w:pPr>
        <w:spacing w:line="480" w:lineRule="auto"/>
        <w:rPr>
          <w:rFonts w:hint="eastAsia" w:eastAsia="仿宋"/>
          <w:color w:val="548DD4" w:themeColor="text2" w:themeTint="99"/>
          <w:sz w:val="32"/>
        </w:rPr>
      </w:pPr>
    </w:p>
    <w:p w14:paraId="0AD282C0">
      <w:pPr>
        <w:spacing w:line="480" w:lineRule="auto"/>
        <w:rPr>
          <w:rFonts w:hint="eastAsia" w:eastAsia="仿宋"/>
          <w:color w:val="548DD4" w:themeColor="text2" w:themeTint="99"/>
          <w:sz w:val="32"/>
        </w:rPr>
      </w:pPr>
    </w:p>
    <w:p w14:paraId="45E03426">
      <w:pPr>
        <w:spacing w:line="480" w:lineRule="auto"/>
        <w:rPr>
          <w:rFonts w:hint="eastAsia" w:eastAsia="仿宋"/>
          <w:color w:val="548DD4" w:themeColor="text2" w:themeTint="99"/>
          <w:sz w:val="32"/>
        </w:rPr>
      </w:pPr>
    </w:p>
    <w:p w14:paraId="1596BCEE">
      <w:pPr>
        <w:spacing w:line="480" w:lineRule="auto"/>
        <w:rPr>
          <w:rFonts w:hint="eastAsia" w:eastAsia="仿宋"/>
          <w:color w:val="548DD4" w:themeColor="text2" w:themeTint="99"/>
          <w:sz w:val="32"/>
        </w:rPr>
      </w:pPr>
    </w:p>
    <w:p w14:paraId="04A0D63E">
      <w:pPr>
        <w:spacing w:line="480" w:lineRule="auto"/>
        <w:rPr>
          <w:rFonts w:hint="eastAsia" w:eastAsia="仿宋"/>
          <w:color w:val="548DD4" w:themeColor="text2" w:themeTint="99"/>
          <w:sz w:val="32"/>
        </w:rPr>
      </w:pPr>
    </w:p>
    <w:p w14:paraId="7E0978E5">
      <w:pPr>
        <w:spacing w:line="480" w:lineRule="auto"/>
        <w:rPr>
          <w:rFonts w:hint="eastAsia" w:eastAsia="仿宋"/>
          <w:color w:val="548DD4" w:themeColor="text2" w:themeTint="99"/>
          <w:sz w:val="32"/>
        </w:rPr>
      </w:pPr>
    </w:p>
    <w:p w14:paraId="1F64951E">
      <w:pPr>
        <w:spacing w:line="480" w:lineRule="auto"/>
        <w:rPr>
          <w:rFonts w:hint="eastAsia" w:eastAsia="仿宋"/>
          <w:color w:val="548DD4" w:themeColor="text2" w:themeTint="99"/>
          <w:sz w:val="32"/>
        </w:rPr>
      </w:pPr>
    </w:p>
    <w:p w14:paraId="46CEBB11">
      <w:pPr>
        <w:spacing w:line="480" w:lineRule="auto"/>
        <w:rPr>
          <w:rFonts w:hint="eastAsia" w:eastAsia="仿宋"/>
          <w:color w:val="548DD4" w:themeColor="text2" w:themeTint="99"/>
          <w:sz w:val="32"/>
        </w:rPr>
      </w:pPr>
    </w:p>
    <w:p w14:paraId="26ACC9EA">
      <w:pPr>
        <w:spacing w:line="480" w:lineRule="auto"/>
        <w:ind w:firstLine="640" w:firstLineChars="200"/>
        <w:jc w:val="left"/>
        <w:rPr>
          <w:rFonts w:hint="eastAsia" w:asci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hAnsi="Times New Roman" w:eastAsia="仿宋_GB2312"/>
          <w:color w:val="auto"/>
          <w:sz w:val="32"/>
          <w:lang w:val="en-US" w:eastAsia="zh-CN"/>
        </w:rPr>
        <w:t>淀粉及淀粉制品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,5批次。</w:t>
      </w:r>
    </w:p>
    <w:p w14:paraId="4515190E">
      <w:pPr>
        <w:spacing w:line="480" w:lineRule="auto"/>
        <w:ind w:firstLine="640" w:firstLineChars="200"/>
        <w:jc w:val="left"/>
        <w:rPr>
          <w:rFonts w:hint="eastAsia" w:asci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lang w:val="en-US" w:eastAsia="zh-CN"/>
        </w:rPr>
        <w:t>一、抽检依据</w:t>
      </w:r>
    </w:p>
    <w:p w14:paraId="58626B2B">
      <w:pPr>
        <w:spacing w:line="480" w:lineRule="auto"/>
        <w:ind w:firstLine="640" w:firstLineChars="200"/>
        <w:jc w:val="left"/>
        <w:rPr>
          <w:rFonts w:hint="eastAsia" w:asci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lang w:val="en-US" w:eastAsia="zh-CN"/>
        </w:rPr>
        <w:t>抽检依据是GB 2760-2014《食品安全国家标准 食品添加剂使用标准》、GB 2760-2024《食品安全国家标准 食品添加剂使用标准》、GB 2762-2022《食品安全国家标准 食品中污染物限量》等标准及产品明示标准和指标的要求。</w:t>
      </w:r>
    </w:p>
    <w:p w14:paraId="2D14BE92">
      <w:pPr>
        <w:spacing w:line="480" w:lineRule="auto"/>
        <w:ind w:firstLine="640" w:firstLineChars="200"/>
        <w:jc w:val="left"/>
        <w:rPr>
          <w:rFonts w:hint="eastAsia" w:asci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lang w:val="en-US" w:eastAsia="zh-CN"/>
        </w:rPr>
        <w:t>二、检验项目</w:t>
      </w:r>
    </w:p>
    <w:p w14:paraId="11DF1AE7">
      <w:pPr>
        <w:spacing w:line="480" w:lineRule="auto"/>
        <w:ind w:firstLine="640" w:firstLineChars="200"/>
        <w:jc w:val="left"/>
        <w:rPr>
          <w:rFonts w:hint="eastAsia" w:asci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hAnsi="Times New Roman" w:eastAsia="仿宋_GB2312"/>
          <w:color w:val="auto"/>
          <w:sz w:val="32"/>
          <w:lang w:val="en-US" w:eastAsia="zh-CN"/>
        </w:rPr>
        <w:t>淀粉及淀粉制品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抽检项目包括铅、铝的残留量、二氧化硫残留量、</w:t>
      </w:r>
      <w:r>
        <w:rPr>
          <w:rFonts w:hint="eastAsia" w:eastAsia="仿宋"/>
          <w:color w:val="auto"/>
          <w:sz w:val="32"/>
          <w:lang w:val="en-US" w:eastAsia="zh-CN"/>
        </w:rPr>
        <w:t>苯甲酸及其钠盐、山梨酸及其钾盐、脱氢乙酸及其钠盐6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个指标。</w:t>
      </w:r>
    </w:p>
    <w:p w14:paraId="1C4270E9">
      <w:pPr>
        <w:spacing w:line="480" w:lineRule="auto"/>
        <w:ind w:firstLine="640" w:firstLineChars="200"/>
        <w:jc w:val="left"/>
        <w:rPr>
          <w:rFonts w:hint="eastAsia" w:ascii="仿宋_GB2312" w:eastAsia="仿宋_GB2312"/>
          <w:color w:val="548DD4" w:themeColor="text2" w:themeTint="99"/>
          <w:sz w:val="32"/>
          <w:lang w:val="en-US" w:eastAsia="zh-CN"/>
        </w:rPr>
      </w:pPr>
    </w:p>
    <w:p w14:paraId="087D6AA1">
      <w:pPr>
        <w:spacing w:line="480" w:lineRule="auto"/>
        <w:ind w:firstLine="640" w:firstLineChars="200"/>
        <w:jc w:val="left"/>
        <w:rPr>
          <w:rFonts w:hint="eastAsia" w:ascii="仿宋_GB2312" w:eastAsia="仿宋_GB2312"/>
          <w:color w:val="548DD4" w:themeColor="text2" w:themeTint="99"/>
          <w:sz w:val="32"/>
          <w:lang w:val="en-US" w:eastAsia="zh-CN"/>
        </w:rPr>
      </w:pPr>
    </w:p>
    <w:p w14:paraId="09E8A463">
      <w:pPr>
        <w:spacing w:line="480" w:lineRule="auto"/>
        <w:ind w:firstLine="640" w:firstLineChars="200"/>
        <w:jc w:val="left"/>
        <w:rPr>
          <w:rFonts w:hint="eastAsia" w:ascii="仿宋_GB2312" w:eastAsia="仿宋_GB2312"/>
          <w:color w:val="548DD4" w:themeColor="text2" w:themeTint="99"/>
          <w:sz w:val="32"/>
          <w:lang w:val="en-US" w:eastAsia="zh-CN"/>
        </w:rPr>
      </w:pPr>
    </w:p>
    <w:p w14:paraId="07CB8837">
      <w:pPr>
        <w:spacing w:line="480" w:lineRule="auto"/>
        <w:ind w:firstLine="640" w:firstLineChars="200"/>
        <w:jc w:val="left"/>
        <w:rPr>
          <w:rFonts w:hint="eastAsia" w:ascii="仿宋_GB2312" w:eastAsia="仿宋_GB2312"/>
          <w:color w:val="548DD4" w:themeColor="text2" w:themeTint="99"/>
          <w:sz w:val="32"/>
          <w:lang w:val="en-US" w:eastAsia="zh-CN"/>
        </w:rPr>
      </w:pPr>
    </w:p>
    <w:p w14:paraId="2300A60C">
      <w:pPr>
        <w:spacing w:line="480" w:lineRule="auto"/>
        <w:ind w:firstLine="640" w:firstLineChars="200"/>
        <w:jc w:val="left"/>
        <w:rPr>
          <w:rFonts w:hint="eastAsia" w:ascii="仿宋_GB2312" w:eastAsia="仿宋_GB2312"/>
          <w:color w:val="548DD4" w:themeColor="text2" w:themeTint="99"/>
          <w:sz w:val="32"/>
          <w:lang w:val="en-US" w:eastAsia="zh-CN"/>
        </w:rPr>
      </w:pPr>
    </w:p>
    <w:p w14:paraId="25B044DC">
      <w:pPr>
        <w:spacing w:line="480" w:lineRule="auto"/>
        <w:ind w:firstLine="640" w:firstLineChars="200"/>
        <w:jc w:val="left"/>
        <w:rPr>
          <w:rFonts w:hint="eastAsia" w:ascii="仿宋_GB2312" w:eastAsia="仿宋_GB2312"/>
          <w:color w:val="548DD4" w:themeColor="text2" w:themeTint="99"/>
          <w:sz w:val="32"/>
          <w:lang w:val="en-US" w:eastAsia="zh-CN"/>
        </w:rPr>
      </w:pPr>
    </w:p>
    <w:p w14:paraId="126FF8B3">
      <w:pPr>
        <w:spacing w:line="480" w:lineRule="auto"/>
        <w:ind w:firstLine="640" w:firstLineChars="200"/>
        <w:jc w:val="left"/>
        <w:rPr>
          <w:rFonts w:hint="eastAsia" w:ascii="仿宋_GB2312" w:eastAsia="仿宋_GB2312"/>
          <w:color w:val="548DD4" w:themeColor="text2" w:themeTint="99"/>
          <w:sz w:val="32"/>
          <w:lang w:val="en-US" w:eastAsia="zh-CN"/>
        </w:rPr>
      </w:pPr>
    </w:p>
    <w:p w14:paraId="6EED0BEF">
      <w:pPr>
        <w:spacing w:line="480" w:lineRule="auto"/>
        <w:ind w:firstLine="640" w:firstLineChars="200"/>
        <w:jc w:val="left"/>
        <w:rPr>
          <w:rFonts w:hint="eastAsia" w:ascii="仿宋_GB2312" w:eastAsia="仿宋_GB2312"/>
          <w:color w:val="548DD4" w:themeColor="text2" w:themeTint="99"/>
          <w:sz w:val="32"/>
          <w:lang w:val="en-US" w:eastAsia="zh-CN"/>
        </w:rPr>
      </w:pPr>
    </w:p>
    <w:p w14:paraId="403C6A78">
      <w:pPr>
        <w:spacing w:line="480" w:lineRule="auto"/>
        <w:ind w:firstLine="640" w:firstLineChars="200"/>
        <w:jc w:val="left"/>
        <w:rPr>
          <w:rFonts w:hint="eastAsia" w:ascii="仿宋_GB2312" w:eastAsia="仿宋_GB2312"/>
          <w:color w:val="548DD4" w:themeColor="text2" w:themeTint="99"/>
          <w:sz w:val="32"/>
          <w:lang w:val="en-US" w:eastAsia="zh-CN"/>
        </w:rPr>
      </w:pPr>
    </w:p>
    <w:p w14:paraId="69B0FCE1">
      <w:pPr>
        <w:spacing w:line="480" w:lineRule="auto"/>
        <w:ind w:firstLine="640" w:firstLineChars="200"/>
        <w:jc w:val="left"/>
        <w:rPr>
          <w:rFonts w:hint="eastAsia" w:ascii="仿宋_GB2312" w:eastAsia="仿宋_GB2312"/>
          <w:color w:val="548DD4" w:themeColor="text2" w:themeTint="99"/>
          <w:sz w:val="32"/>
          <w:lang w:val="en-US" w:eastAsia="zh-CN"/>
        </w:rPr>
      </w:pPr>
    </w:p>
    <w:p w14:paraId="70EF9F27">
      <w:pPr>
        <w:spacing w:line="480" w:lineRule="auto"/>
        <w:ind w:firstLine="640" w:firstLineChars="200"/>
        <w:jc w:val="left"/>
        <w:rPr>
          <w:rFonts w:hint="eastAsia" w:ascii="仿宋_GB2312" w:eastAsia="仿宋_GB2312"/>
          <w:color w:val="548DD4" w:themeColor="text2" w:themeTint="99"/>
          <w:sz w:val="32"/>
          <w:lang w:val="en-US" w:eastAsia="zh-CN"/>
        </w:rPr>
      </w:pPr>
    </w:p>
    <w:p w14:paraId="0257282E">
      <w:pPr>
        <w:spacing w:line="480" w:lineRule="auto"/>
        <w:ind w:firstLine="640" w:firstLineChars="200"/>
        <w:jc w:val="left"/>
        <w:rPr>
          <w:rFonts w:hint="eastAsia" w:ascii="仿宋_GB2312" w:eastAsia="仿宋_GB2312"/>
          <w:color w:val="548DD4" w:themeColor="text2" w:themeTint="99"/>
          <w:sz w:val="32"/>
          <w:lang w:val="en-US" w:eastAsia="zh-CN"/>
        </w:rPr>
      </w:pPr>
    </w:p>
    <w:p w14:paraId="16042EFC">
      <w:pPr>
        <w:spacing w:line="480" w:lineRule="auto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  <w:lang w:val="en-US" w:eastAsia="zh-CN"/>
        </w:rPr>
        <w:t>豆制品</w:t>
      </w:r>
      <w:r>
        <w:rPr>
          <w:rFonts w:hint="eastAsia" w:ascii="仿宋_GB2312" w:eastAsia="仿宋_GB2312"/>
          <w:color w:val="auto"/>
          <w:sz w:val="32"/>
          <w:lang w:eastAsia="zh-CN"/>
        </w:rPr>
        <w:t>，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5</w:t>
      </w:r>
      <w:r>
        <w:rPr>
          <w:rFonts w:hint="eastAsia" w:ascii="仿宋_GB2312" w:hAnsi="仿宋_GB2312" w:eastAsia="仿宋_GB2312"/>
          <w:color w:val="auto"/>
          <w:sz w:val="32"/>
        </w:rPr>
        <w:t>批次</w:t>
      </w:r>
      <w:r>
        <w:rPr>
          <w:rFonts w:hint="eastAsia" w:eastAsia="仿宋"/>
          <w:color w:val="auto"/>
          <w:sz w:val="32"/>
        </w:rPr>
        <w:t>。</w:t>
      </w:r>
    </w:p>
    <w:p w14:paraId="7DC7C7AA">
      <w:pPr>
        <w:spacing w:line="480" w:lineRule="auto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775EA07B">
      <w:pPr>
        <w:spacing w:line="480" w:lineRule="auto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2760-2024《食品安全国家标准 食品添加剂使用标准》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  <w:lang w:val="en-US" w:eastAsia="zh-CN"/>
        </w:rPr>
        <w:t>GB 2762-2022《食品安全国家标准 食品中污染物限量》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4E993768">
      <w:pPr>
        <w:spacing w:line="480" w:lineRule="auto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4B9101AE">
      <w:pPr>
        <w:spacing w:line="480" w:lineRule="auto"/>
        <w:ind w:firstLine="480" w:firstLineChars="150"/>
        <w:jc w:val="left"/>
        <w:rPr>
          <w:rFonts w:eastAsia="仿宋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豆制品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铅、铝的残留量、苯甲酸及其钠盐、山梨酸及其钾盐、</w:t>
      </w:r>
      <w:r>
        <w:rPr>
          <w:rFonts w:hint="eastAsia" w:eastAsia="仿宋"/>
          <w:color w:val="auto"/>
          <w:sz w:val="32"/>
        </w:rPr>
        <w:t>脱氢乙酸及其钠盐</w:t>
      </w:r>
      <w:r>
        <w:rPr>
          <w:rFonts w:hint="eastAsia" w:eastAsia="仿宋"/>
          <w:color w:val="auto"/>
          <w:sz w:val="32"/>
          <w:lang w:val="en-US" w:eastAsia="zh-CN"/>
        </w:rPr>
        <w:t>5</w:t>
      </w:r>
      <w:r>
        <w:rPr>
          <w:rFonts w:eastAsia="仿宋"/>
          <w:color w:val="auto"/>
          <w:sz w:val="32"/>
        </w:rPr>
        <w:t>个指标。</w:t>
      </w:r>
    </w:p>
    <w:p w14:paraId="42FB4458">
      <w:pPr>
        <w:spacing w:line="480" w:lineRule="auto"/>
        <w:ind w:firstLine="640" w:firstLineChars="200"/>
        <w:jc w:val="left"/>
        <w:rPr>
          <w:rFonts w:hint="eastAsia" w:ascii="仿宋_GB2312" w:eastAsia="仿宋_GB2312"/>
          <w:color w:val="auto"/>
          <w:sz w:val="32"/>
          <w:lang w:val="en-US" w:eastAsia="zh-CN"/>
        </w:rPr>
      </w:pPr>
    </w:p>
    <w:p w14:paraId="0C6536E3">
      <w:pPr>
        <w:spacing w:line="480" w:lineRule="auto"/>
        <w:ind w:firstLine="640" w:firstLineChars="200"/>
        <w:jc w:val="left"/>
        <w:rPr>
          <w:rFonts w:hint="eastAsia" w:ascii="仿宋_GB2312" w:eastAsia="仿宋_GB2312"/>
          <w:color w:val="auto"/>
          <w:sz w:val="32"/>
          <w:lang w:val="en-US" w:eastAsia="zh-CN"/>
        </w:rPr>
      </w:pPr>
    </w:p>
    <w:p w14:paraId="1136E5EC">
      <w:pPr>
        <w:spacing w:line="480" w:lineRule="auto"/>
        <w:ind w:firstLine="640" w:firstLineChars="200"/>
        <w:jc w:val="left"/>
        <w:rPr>
          <w:rFonts w:hint="eastAsia" w:ascii="仿宋_GB2312" w:eastAsia="仿宋_GB2312"/>
          <w:color w:val="auto"/>
          <w:sz w:val="32"/>
          <w:lang w:val="en-US" w:eastAsia="zh-CN"/>
        </w:rPr>
      </w:pPr>
    </w:p>
    <w:p w14:paraId="7946DC34">
      <w:pPr>
        <w:spacing w:line="480" w:lineRule="auto"/>
        <w:ind w:firstLine="640" w:firstLineChars="200"/>
        <w:jc w:val="left"/>
        <w:rPr>
          <w:rFonts w:hint="eastAsia" w:ascii="仿宋_GB2312" w:eastAsia="仿宋_GB2312"/>
          <w:color w:val="auto"/>
          <w:sz w:val="32"/>
          <w:lang w:val="en-US" w:eastAsia="zh-CN"/>
        </w:rPr>
      </w:pPr>
    </w:p>
    <w:p w14:paraId="0D488BAA">
      <w:pPr>
        <w:spacing w:line="480" w:lineRule="auto"/>
        <w:ind w:firstLine="640" w:firstLineChars="200"/>
        <w:jc w:val="left"/>
        <w:rPr>
          <w:rFonts w:hint="eastAsia" w:ascii="仿宋_GB2312" w:eastAsia="仿宋_GB2312"/>
          <w:color w:val="auto"/>
          <w:sz w:val="32"/>
          <w:lang w:val="en-US" w:eastAsia="zh-CN"/>
        </w:rPr>
      </w:pPr>
    </w:p>
    <w:p w14:paraId="25B4F2FE">
      <w:pPr>
        <w:spacing w:line="480" w:lineRule="auto"/>
        <w:ind w:firstLine="640" w:firstLineChars="200"/>
        <w:jc w:val="left"/>
        <w:rPr>
          <w:rFonts w:hint="eastAsia" w:ascii="仿宋_GB2312" w:eastAsia="仿宋_GB2312"/>
          <w:color w:val="auto"/>
          <w:sz w:val="32"/>
          <w:lang w:val="en-US" w:eastAsia="zh-CN"/>
        </w:rPr>
      </w:pPr>
    </w:p>
    <w:p w14:paraId="7640066A">
      <w:pPr>
        <w:spacing w:line="480" w:lineRule="auto"/>
        <w:ind w:firstLine="640" w:firstLineChars="200"/>
        <w:jc w:val="left"/>
        <w:rPr>
          <w:rFonts w:hint="eastAsia" w:ascii="仿宋_GB2312" w:eastAsia="仿宋_GB2312"/>
          <w:color w:val="auto"/>
          <w:sz w:val="32"/>
          <w:lang w:val="en-US" w:eastAsia="zh-CN"/>
        </w:rPr>
      </w:pPr>
    </w:p>
    <w:p w14:paraId="35A727C6">
      <w:pPr>
        <w:spacing w:line="480" w:lineRule="auto"/>
        <w:ind w:firstLine="640" w:firstLineChars="200"/>
        <w:jc w:val="left"/>
        <w:rPr>
          <w:rFonts w:hint="eastAsia" w:ascii="仿宋_GB2312" w:eastAsia="仿宋_GB2312"/>
          <w:color w:val="auto"/>
          <w:sz w:val="32"/>
          <w:lang w:val="en-US" w:eastAsia="zh-CN"/>
        </w:rPr>
      </w:pPr>
    </w:p>
    <w:p w14:paraId="24DDD1DA">
      <w:pPr>
        <w:spacing w:line="480" w:lineRule="auto"/>
        <w:ind w:firstLine="640" w:firstLineChars="200"/>
        <w:jc w:val="left"/>
        <w:rPr>
          <w:rFonts w:hint="eastAsia" w:ascii="仿宋_GB2312" w:eastAsia="仿宋_GB2312"/>
          <w:color w:val="auto"/>
          <w:sz w:val="32"/>
          <w:lang w:val="en-US" w:eastAsia="zh-CN"/>
        </w:rPr>
      </w:pPr>
    </w:p>
    <w:p w14:paraId="0F4D1D73">
      <w:pPr>
        <w:spacing w:line="480" w:lineRule="auto"/>
        <w:ind w:firstLine="640" w:firstLineChars="200"/>
        <w:jc w:val="left"/>
        <w:rPr>
          <w:rFonts w:hint="eastAsia" w:ascii="仿宋_GB2312" w:eastAsia="仿宋_GB2312"/>
          <w:color w:val="auto"/>
          <w:sz w:val="32"/>
          <w:lang w:val="en-US" w:eastAsia="zh-CN"/>
        </w:rPr>
      </w:pPr>
    </w:p>
    <w:p w14:paraId="35E9297D">
      <w:pPr>
        <w:spacing w:line="480" w:lineRule="auto"/>
        <w:ind w:firstLine="640" w:firstLineChars="200"/>
        <w:jc w:val="left"/>
        <w:rPr>
          <w:rFonts w:hint="eastAsia" w:ascii="仿宋_GB2312" w:eastAsia="仿宋_GB2312"/>
          <w:color w:val="auto"/>
          <w:sz w:val="32"/>
          <w:lang w:val="en-US" w:eastAsia="zh-CN"/>
        </w:rPr>
      </w:pPr>
    </w:p>
    <w:p w14:paraId="04CB1798">
      <w:pPr>
        <w:spacing w:line="480" w:lineRule="auto"/>
        <w:ind w:firstLine="640" w:firstLineChars="200"/>
        <w:jc w:val="left"/>
        <w:rPr>
          <w:rFonts w:hint="eastAsia" w:ascii="仿宋_GB2312" w:eastAsia="仿宋_GB2312"/>
          <w:color w:val="auto"/>
          <w:sz w:val="32"/>
          <w:lang w:val="en-US" w:eastAsia="zh-CN"/>
        </w:rPr>
      </w:pPr>
    </w:p>
    <w:p w14:paraId="1AE486CA">
      <w:pPr>
        <w:spacing w:line="480" w:lineRule="auto"/>
        <w:ind w:firstLine="640" w:firstLineChars="200"/>
        <w:jc w:val="left"/>
        <w:rPr>
          <w:rFonts w:hint="eastAsia" w:ascii="仿宋_GB2312" w:eastAsia="仿宋_GB2312"/>
          <w:color w:val="auto"/>
          <w:sz w:val="32"/>
          <w:lang w:val="en-US" w:eastAsia="zh-CN"/>
        </w:rPr>
      </w:pPr>
    </w:p>
    <w:p w14:paraId="746666C3">
      <w:pPr>
        <w:spacing w:line="480" w:lineRule="auto"/>
        <w:ind w:firstLine="640" w:firstLineChars="200"/>
        <w:jc w:val="left"/>
        <w:rPr>
          <w:rFonts w:hint="eastAsia" w:ascii="仿宋_GB2312" w:eastAsia="仿宋_GB2312"/>
          <w:color w:val="auto"/>
          <w:sz w:val="32"/>
          <w:lang w:val="en-US" w:eastAsia="zh-CN"/>
        </w:rPr>
      </w:pPr>
    </w:p>
    <w:p w14:paraId="0817D106">
      <w:pPr>
        <w:spacing w:line="480" w:lineRule="auto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  <w:lang w:val="en-US" w:eastAsia="zh-CN"/>
        </w:rPr>
        <w:t>食用农产品,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5批次</w:t>
      </w:r>
      <w:r>
        <w:rPr>
          <w:rFonts w:hint="eastAsia" w:eastAsia="仿宋"/>
          <w:color w:val="auto"/>
          <w:sz w:val="32"/>
        </w:rPr>
        <w:t>。</w:t>
      </w:r>
    </w:p>
    <w:p w14:paraId="551D03DB">
      <w:pPr>
        <w:spacing w:line="480" w:lineRule="auto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7C6399D9">
      <w:pPr>
        <w:spacing w:line="480" w:lineRule="auto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2762-2022《食品安全国家标准 食品中污染物限量》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、</w:t>
      </w:r>
      <w:r>
        <w:rPr>
          <w:rFonts w:hint="eastAsia" w:eastAsia="仿宋"/>
          <w:color w:val="auto"/>
          <w:sz w:val="32"/>
        </w:rPr>
        <w:t>GB 2763-2021《食品安全国家标准 食品中农药最大残留限量》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</w:rPr>
        <w:t>GB 31650-2019《食品安全国家标准 食品中兽药最大残留限量》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</w:rPr>
        <w:t>GB 31650.1-2022《食品安全国家标准 食品中41种兽药最大残留限量》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</w:rPr>
        <w:t>农业农村部公告 第250号《食品动物中禁止使用的药品及其他化合物清单》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7DACCD33">
      <w:pPr>
        <w:spacing w:line="480" w:lineRule="auto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1C9FB5B1">
      <w:pPr>
        <w:spacing w:line="480" w:lineRule="auto"/>
        <w:ind w:firstLine="480" w:firstLineChars="150"/>
        <w:jc w:val="left"/>
        <w:rPr>
          <w:rFonts w:eastAsia="仿宋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1、畜禽肉及副产品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克伦特罗、莱克多巴胺、沙丁胺醇、恩诺沙星、磺胺（总量）、甲氧苄啶、地塞米松7</w:t>
      </w:r>
      <w:r>
        <w:rPr>
          <w:rFonts w:eastAsia="仿宋"/>
          <w:color w:val="auto"/>
          <w:sz w:val="32"/>
        </w:rPr>
        <w:t>个指标。</w:t>
      </w:r>
    </w:p>
    <w:p w14:paraId="6F05A156">
      <w:pPr>
        <w:spacing w:line="480" w:lineRule="auto"/>
        <w:ind w:firstLine="480" w:firstLineChars="150"/>
        <w:jc w:val="left"/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2、蔬菜抽检项目包括铅、镉、阿维菌素、哒螨灵、敌敌畏、毒死蜱、腐霉利、甲氨基阿维菌素苯甲酸盐、甲拌磷、克百威、乐果、噻虫嗪、氧乐果、杀扑磷、乙酰甲胺磷、氯氟氰菊酯和高效氯氟氰菊酯、氯氰菊酯和高效氯氰菊酯17个指标。</w:t>
      </w:r>
    </w:p>
    <w:p w14:paraId="4E241D93">
      <w:pPr>
        <w:spacing w:line="480" w:lineRule="auto"/>
        <w:ind w:firstLine="480" w:firstLineChars="150"/>
        <w:jc w:val="left"/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3、鲜蛋抽检项目包括甲硝唑、地美硝唑、呋喃唑酮代谢物、氯霉素、氟苯尼考、甲砜霉素、恩诺沙星、氧氟沙星、沙拉沙星、多西环素、地克珠利、托曲珠利、氟虫腈、甲氧苄啶14个指标。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83B8C2"/>
    <w:multiLevelType w:val="singleLevel"/>
    <w:tmpl w:val="0883B8C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E765BDC"/>
    <w:multiLevelType w:val="singleLevel"/>
    <w:tmpl w:val="0E765BD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dhNWI1ZTM2OGU5ZGQxYzNkNWEwNTVmMGFlYmRhMTYifQ=="/>
  </w:docVars>
  <w:rsids>
    <w:rsidRoot w:val="00C81C83"/>
    <w:rsid w:val="000F1D65"/>
    <w:rsid w:val="00343C33"/>
    <w:rsid w:val="00357512"/>
    <w:rsid w:val="005820BD"/>
    <w:rsid w:val="00627E0D"/>
    <w:rsid w:val="006C4137"/>
    <w:rsid w:val="008865D3"/>
    <w:rsid w:val="008D3D75"/>
    <w:rsid w:val="008E2A0E"/>
    <w:rsid w:val="00A90C7F"/>
    <w:rsid w:val="00C81C83"/>
    <w:rsid w:val="00ED37FD"/>
    <w:rsid w:val="00F30DF2"/>
    <w:rsid w:val="00FC4155"/>
    <w:rsid w:val="01445550"/>
    <w:rsid w:val="014A102B"/>
    <w:rsid w:val="016F361C"/>
    <w:rsid w:val="01BE7323"/>
    <w:rsid w:val="021C5C34"/>
    <w:rsid w:val="02741DEE"/>
    <w:rsid w:val="04365896"/>
    <w:rsid w:val="04957263"/>
    <w:rsid w:val="04B465B1"/>
    <w:rsid w:val="04DF4BBE"/>
    <w:rsid w:val="05317CBA"/>
    <w:rsid w:val="05397A35"/>
    <w:rsid w:val="059E275E"/>
    <w:rsid w:val="05ED242D"/>
    <w:rsid w:val="05FB6170"/>
    <w:rsid w:val="06B75848"/>
    <w:rsid w:val="07DC0503"/>
    <w:rsid w:val="08BC0B84"/>
    <w:rsid w:val="08E621B0"/>
    <w:rsid w:val="09503DD3"/>
    <w:rsid w:val="09F50896"/>
    <w:rsid w:val="0A5C1147"/>
    <w:rsid w:val="0B1D50BA"/>
    <w:rsid w:val="0B403661"/>
    <w:rsid w:val="0C0C6D4B"/>
    <w:rsid w:val="0CAF3E71"/>
    <w:rsid w:val="0DB43078"/>
    <w:rsid w:val="0DBA0EBF"/>
    <w:rsid w:val="0E19425F"/>
    <w:rsid w:val="0E633D7F"/>
    <w:rsid w:val="0F346E76"/>
    <w:rsid w:val="109179FC"/>
    <w:rsid w:val="11CE39C4"/>
    <w:rsid w:val="132D2960"/>
    <w:rsid w:val="136E3561"/>
    <w:rsid w:val="13F8694C"/>
    <w:rsid w:val="144D6911"/>
    <w:rsid w:val="158A4E5F"/>
    <w:rsid w:val="16FA4C9C"/>
    <w:rsid w:val="176D577D"/>
    <w:rsid w:val="184E3455"/>
    <w:rsid w:val="18B126D7"/>
    <w:rsid w:val="1B157B5C"/>
    <w:rsid w:val="1C3F45AF"/>
    <w:rsid w:val="1C7865F4"/>
    <w:rsid w:val="1EC37572"/>
    <w:rsid w:val="1EFD121E"/>
    <w:rsid w:val="1FB21E1D"/>
    <w:rsid w:val="221A374B"/>
    <w:rsid w:val="221A7674"/>
    <w:rsid w:val="22B93C24"/>
    <w:rsid w:val="23424FFC"/>
    <w:rsid w:val="245E7A3D"/>
    <w:rsid w:val="2665256E"/>
    <w:rsid w:val="26704B8B"/>
    <w:rsid w:val="26E11D97"/>
    <w:rsid w:val="276A5A12"/>
    <w:rsid w:val="278220C7"/>
    <w:rsid w:val="281E2746"/>
    <w:rsid w:val="28C8675B"/>
    <w:rsid w:val="298E0913"/>
    <w:rsid w:val="29C46615"/>
    <w:rsid w:val="29C50684"/>
    <w:rsid w:val="2A2B2EF8"/>
    <w:rsid w:val="2A8B754E"/>
    <w:rsid w:val="2C115FA8"/>
    <w:rsid w:val="2E1B4B77"/>
    <w:rsid w:val="2F2E6FE6"/>
    <w:rsid w:val="32285F4E"/>
    <w:rsid w:val="32836AB1"/>
    <w:rsid w:val="34552F1F"/>
    <w:rsid w:val="35936562"/>
    <w:rsid w:val="35FC620D"/>
    <w:rsid w:val="36021AD6"/>
    <w:rsid w:val="37061151"/>
    <w:rsid w:val="37D30F61"/>
    <w:rsid w:val="37DB6EF3"/>
    <w:rsid w:val="38EB1BA0"/>
    <w:rsid w:val="390658A4"/>
    <w:rsid w:val="39487663"/>
    <w:rsid w:val="3A5F5A7F"/>
    <w:rsid w:val="3AF55C1A"/>
    <w:rsid w:val="3B0454BA"/>
    <w:rsid w:val="3EE947C4"/>
    <w:rsid w:val="3F086251"/>
    <w:rsid w:val="40B01F51"/>
    <w:rsid w:val="410D2F00"/>
    <w:rsid w:val="42445B87"/>
    <w:rsid w:val="4437014D"/>
    <w:rsid w:val="44AC21E0"/>
    <w:rsid w:val="44F645DE"/>
    <w:rsid w:val="457676DF"/>
    <w:rsid w:val="45B05463"/>
    <w:rsid w:val="4637108E"/>
    <w:rsid w:val="486677BF"/>
    <w:rsid w:val="499D0ED7"/>
    <w:rsid w:val="49E62F52"/>
    <w:rsid w:val="4AB663B6"/>
    <w:rsid w:val="4B445089"/>
    <w:rsid w:val="4B707BE9"/>
    <w:rsid w:val="4BC278B8"/>
    <w:rsid w:val="4DF9246E"/>
    <w:rsid w:val="4E8C0DB6"/>
    <w:rsid w:val="5016502A"/>
    <w:rsid w:val="507E7976"/>
    <w:rsid w:val="5110096F"/>
    <w:rsid w:val="512E6655"/>
    <w:rsid w:val="51567B83"/>
    <w:rsid w:val="52F77B3F"/>
    <w:rsid w:val="53E72D42"/>
    <w:rsid w:val="56D55286"/>
    <w:rsid w:val="597C5636"/>
    <w:rsid w:val="59B219EA"/>
    <w:rsid w:val="59E9425F"/>
    <w:rsid w:val="5A7A360E"/>
    <w:rsid w:val="5AEA1839"/>
    <w:rsid w:val="5E306B69"/>
    <w:rsid w:val="606745F8"/>
    <w:rsid w:val="607C2503"/>
    <w:rsid w:val="620A72BB"/>
    <w:rsid w:val="621B491E"/>
    <w:rsid w:val="62502FB6"/>
    <w:rsid w:val="63307A1D"/>
    <w:rsid w:val="63AC40D6"/>
    <w:rsid w:val="63F633B2"/>
    <w:rsid w:val="64644F52"/>
    <w:rsid w:val="655820EC"/>
    <w:rsid w:val="65BC6B1F"/>
    <w:rsid w:val="667C61B3"/>
    <w:rsid w:val="66F86D10"/>
    <w:rsid w:val="67A43B02"/>
    <w:rsid w:val="67BA0E3C"/>
    <w:rsid w:val="68556DB7"/>
    <w:rsid w:val="695B7827"/>
    <w:rsid w:val="699266B6"/>
    <w:rsid w:val="6AC06E04"/>
    <w:rsid w:val="6B0E7DE3"/>
    <w:rsid w:val="6B405C58"/>
    <w:rsid w:val="6CA00357"/>
    <w:rsid w:val="6D711160"/>
    <w:rsid w:val="6E4A4335"/>
    <w:rsid w:val="6FF677BA"/>
    <w:rsid w:val="70B55D17"/>
    <w:rsid w:val="76AD71B4"/>
    <w:rsid w:val="76B16769"/>
    <w:rsid w:val="78AF5E18"/>
    <w:rsid w:val="7B393DF9"/>
    <w:rsid w:val="7BA852D8"/>
    <w:rsid w:val="7D352F5B"/>
    <w:rsid w:val="7E281E48"/>
    <w:rsid w:val="7FF6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apple-converted-space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1174</Words>
  <Characters>1374</Characters>
  <Lines>26</Lines>
  <Paragraphs>7</Paragraphs>
  <TotalTime>11</TotalTime>
  <ScaleCrop>false</ScaleCrop>
  <LinksUpToDate>false</LinksUpToDate>
  <CharactersWithSpaces>1410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2019-07-17T06:21:00Z</dcterms:created>
  <dc:creator>马维佳</dc:creator>
  <cp:lastModifiedBy>梦想</cp:lastModifiedBy>
  <dcterms:modified xsi:type="dcterms:W3CDTF">2025-11-20T16:39:43Z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3A3A45E169F041B9B30E407791245F0D_12</vt:lpwstr>
  </property>
  <property fmtid="{D5CDD505-2E9C-101B-9397-08002B2CF9AE}" pid="4" name="KSOTemplateDocerSaveRecord">
    <vt:lpwstr>eyJoZGlkIjoiMGE0M2RjNjAyZGQyNjkyOGE0YTM1ZDM2MjNjNDU3OTIiLCJ1c2VySWQiOiIxMDA5MDUzMzEzIn0=</vt:lpwstr>
  </property>
</Properties>
</file>