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fixed"/>
        <w:tblCellMar>
          <w:top w:w="0" w:type="dxa"/>
          <w:left w:w="0" w:type="dxa"/>
          <w:bottom w:w="0" w:type="dxa"/>
          <w:right w:w="0" w:type="dxa"/>
        </w:tblCellMar>
      </w:tblPr>
      <w:tblGrid>
        <w:gridCol w:w="784"/>
        <w:gridCol w:w="1821"/>
        <w:gridCol w:w="5941"/>
      </w:tblGrid>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4" w:space="0"/>
              <w:left w:val="single" w:color="auto" w:sz="6"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CellMar>
            <w:top w:w="0" w:type="dxa"/>
            <w:left w:w="0" w:type="dxa"/>
            <w:bottom w:w="0" w:type="dxa"/>
            <w:right w:w="0" w:type="dxa"/>
          </w:tblCellMar>
        </w:tblPrEx>
        <w:trPr>
          <w:trHeight w:val="57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CellMar>
            <w:top w:w="0" w:type="dxa"/>
            <w:left w:w="0" w:type="dxa"/>
            <w:bottom w:w="0" w:type="dxa"/>
            <w:right w:w="0" w:type="dxa"/>
          </w:tblCellMar>
        </w:tblPrEx>
        <w:trPr>
          <w:trHeight w:val="48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CellMar>
            <w:top w:w="0" w:type="dxa"/>
            <w:left w:w="0" w:type="dxa"/>
            <w:bottom w:w="0" w:type="dxa"/>
            <w:right w:w="0" w:type="dxa"/>
          </w:tblCellMar>
        </w:tblPrEx>
        <w:trPr>
          <w:trHeight w:val="7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CellMar>
            <w:top w:w="0" w:type="dxa"/>
            <w:left w:w="0" w:type="dxa"/>
            <w:bottom w:w="0" w:type="dxa"/>
            <w:right w:w="0" w:type="dxa"/>
          </w:tblCellMar>
        </w:tblPrEx>
        <w:trPr>
          <w:trHeight w:val="5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CellMar>
            <w:top w:w="0" w:type="dxa"/>
            <w:left w:w="0" w:type="dxa"/>
            <w:bottom w:w="0" w:type="dxa"/>
            <w:right w:w="0" w:type="dxa"/>
          </w:tblCellMar>
        </w:tblPrEx>
        <w:trPr>
          <w:trHeight w:val="69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CellMar>
            <w:top w:w="0" w:type="dxa"/>
            <w:left w:w="0" w:type="dxa"/>
            <w:bottom w:w="0" w:type="dxa"/>
            <w:right w:w="0" w:type="dxa"/>
          </w:tblCellMar>
        </w:tblPrEx>
        <w:trPr>
          <w:trHeight w:val="8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CellMar>
            <w:top w:w="0" w:type="dxa"/>
            <w:left w:w="0" w:type="dxa"/>
            <w:bottom w:w="0" w:type="dxa"/>
            <w:right w:w="0" w:type="dxa"/>
          </w:tblCellMar>
        </w:tblPrEx>
        <w:trPr>
          <w:trHeight w:val="4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CellMar>
            <w:top w:w="0" w:type="dxa"/>
            <w:left w:w="0" w:type="dxa"/>
            <w:bottom w:w="0" w:type="dxa"/>
            <w:right w:w="0" w:type="dxa"/>
          </w:tblCellMar>
        </w:tblPrEx>
        <w:trPr>
          <w:trHeight w:val="57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CellMar>
            <w:top w:w="0" w:type="dxa"/>
            <w:left w:w="0" w:type="dxa"/>
            <w:bottom w:w="0" w:type="dxa"/>
            <w:right w:w="0" w:type="dxa"/>
          </w:tblCellMar>
        </w:tblPrEx>
        <w:trPr>
          <w:trHeight w:val="4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CellMar>
            <w:top w:w="0" w:type="dxa"/>
            <w:left w:w="0" w:type="dxa"/>
            <w:bottom w:w="0" w:type="dxa"/>
            <w:right w:w="0" w:type="dxa"/>
          </w:tblCellMar>
        </w:tblPrEx>
        <w:trPr>
          <w:trHeight w:val="57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CellMar>
            <w:top w:w="0" w:type="dxa"/>
            <w:left w:w="0" w:type="dxa"/>
            <w:bottom w:w="0" w:type="dxa"/>
            <w:right w:w="0" w:type="dxa"/>
          </w:tblCellMar>
        </w:tblPrEx>
        <w:trPr>
          <w:trHeight w:val="57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CellMar>
            <w:top w:w="0" w:type="dxa"/>
            <w:left w:w="0" w:type="dxa"/>
            <w:bottom w:w="0" w:type="dxa"/>
            <w:right w:w="0" w:type="dxa"/>
          </w:tblCellMar>
        </w:tblPrEx>
        <w:trPr>
          <w:trHeight w:val="58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二、行政处罚类行政职权运行通用责任清单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4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(一)立案</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对符合立案条件的案件及时立案。 </w:t>
            </w:r>
          </w:p>
        </w:tc>
      </w:tr>
      <w:tr>
        <w:tblPrEx>
          <w:tblCellMar>
            <w:top w:w="0" w:type="dxa"/>
            <w:left w:w="0" w:type="dxa"/>
            <w:bottom w:w="0" w:type="dxa"/>
            <w:right w:w="0" w:type="dxa"/>
          </w:tblCellMar>
        </w:tblPrEx>
        <w:trPr>
          <w:trHeight w:val="4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(二)调查</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出示执法身份证件,表明执法身份。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应当有2名以上(含2名)行政执法人员共同参加调查取证。 </w:t>
            </w:r>
          </w:p>
        </w:tc>
      </w:tr>
      <w:tr>
        <w:tblPrEx>
          <w:tblCellMar>
            <w:top w:w="0" w:type="dxa"/>
            <w:left w:w="0" w:type="dxa"/>
            <w:bottom w:w="0" w:type="dxa"/>
            <w:right w:w="0" w:type="dxa"/>
          </w:tblCellMar>
        </w:tblPrEx>
        <w:trPr>
          <w:trHeight w:val="52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依法调查和保存证据。 </w:t>
            </w:r>
          </w:p>
        </w:tc>
      </w:tr>
      <w:tr>
        <w:tblPrEx>
          <w:tblCellMar>
            <w:top w:w="0" w:type="dxa"/>
            <w:left w:w="0" w:type="dxa"/>
            <w:bottom w:w="0" w:type="dxa"/>
            <w:right w:w="0" w:type="dxa"/>
          </w:tblCellMar>
        </w:tblPrEx>
        <w:trPr>
          <w:trHeight w:val="69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适用简易程序的,当场制作行政处罚决定书并当场交付,在事后难以执行及特殊情况下应当当场收缴罚款。 </w:t>
            </w:r>
          </w:p>
        </w:tc>
      </w:tr>
      <w:tr>
        <w:tblPrEx>
          <w:tblCellMar>
            <w:top w:w="0" w:type="dxa"/>
            <w:left w:w="0" w:type="dxa"/>
            <w:bottom w:w="0" w:type="dxa"/>
            <w:right w:w="0" w:type="dxa"/>
          </w:tblCellMar>
        </w:tblPrEx>
        <w:trPr>
          <w:trHeight w:val="52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适用简易程序的,执法人员当场作出的行政处罚决定应当报所属行政机关备案。 </w:t>
            </w:r>
          </w:p>
        </w:tc>
      </w:tr>
      <w:tr>
        <w:tblPrEx>
          <w:tblCellMar>
            <w:top w:w="0" w:type="dxa"/>
            <w:left w:w="0" w:type="dxa"/>
            <w:bottom w:w="0" w:type="dxa"/>
            <w:right w:w="0" w:type="dxa"/>
          </w:tblCellMar>
        </w:tblPrEx>
        <w:trPr>
          <w:trHeight w:val="10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(三)审查</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审理案件调查报告,对案件违法事实、证据、调查取证程序、法律适用、处罚种类和幅度、当事人陈述和申辩理由等方面进行审查,提出处理意见(主要证据不足时,以适当的方式补充调查)。 </w:t>
            </w:r>
          </w:p>
        </w:tc>
      </w:tr>
      <w:tr>
        <w:tblPrEx>
          <w:tblCellMar>
            <w:top w:w="0" w:type="dxa"/>
            <w:left w:w="0" w:type="dxa"/>
            <w:bottom w:w="0" w:type="dxa"/>
            <w:right w:w="0" w:type="dxa"/>
          </w:tblCellMar>
        </w:tblPrEx>
        <w:trPr>
          <w:trHeight w:val="4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构成犯罪的,移送司法机关依法追究刑事责任。 </w:t>
            </w:r>
          </w:p>
        </w:tc>
      </w:tr>
      <w:tr>
        <w:tblPrEx>
          <w:tblCellMar>
            <w:top w:w="0" w:type="dxa"/>
            <w:left w:w="0" w:type="dxa"/>
            <w:bottom w:w="0" w:type="dxa"/>
            <w:right w:w="0" w:type="dxa"/>
          </w:tblCellMar>
        </w:tblPrEx>
        <w:trPr>
          <w:trHeight w:val="79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(四)告知</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在作出行政处罚前,应告知当事人作出行政处罚决定的事实、理由及依据,并告知当事人依法享有的权利。 </w:t>
            </w:r>
          </w:p>
        </w:tc>
      </w:tr>
      <w:tr>
        <w:tblPrEx>
          <w:tblCellMar>
            <w:top w:w="0" w:type="dxa"/>
            <w:left w:w="0" w:type="dxa"/>
            <w:bottom w:w="0" w:type="dxa"/>
            <w:right w:w="0" w:type="dxa"/>
          </w:tblCellMar>
        </w:tblPrEx>
        <w:trPr>
          <w:trHeight w:val="6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依法告知当事人有举行听证的权利,当事人要求听证的,应当依法组织听证。 </w:t>
            </w:r>
          </w:p>
        </w:tc>
      </w:tr>
      <w:tr>
        <w:tblPrEx>
          <w:tblCellMar>
            <w:top w:w="0" w:type="dxa"/>
            <w:left w:w="0" w:type="dxa"/>
            <w:bottom w:w="0" w:type="dxa"/>
            <w:right w:w="0" w:type="dxa"/>
          </w:tblCellMar>
        </w:tblPrEx>
        <w:trPr>
          <w:trHeight w:val="102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(五)决定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充分听取当事人的意见,对当事人提出的事实、理由和证据,应当进行复核;当事人提出的事实、理由或者证据成立的,应当</w:t>
            </w:r>
            <w:r>
              <w:rPr>
                <w:rFonts w:hint="eastAsia" w:ascii="宋体" w:hAnsi="宋体" w:eastAsia="宋体" w:cs="宋体"/>
                <w:color w:val="000000"/>
                <w:kern w:val="0"/>
                <w:sz w:val="24"/>
                <w:szCs w:val="24"/>
              </w:rPr>
              <w:t>采纳,不得因当事人申辩而加重处罚。</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对情节复杂或者重大违法行为给予较重的行政处罚,应当集体讨论决定。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依法决定给予行政处罚,制作行政处罚决定书,并在处罚决定书中告知对处罚决定不服的可以依法申请行政复议或者提起行政诉讼。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7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10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(六)送达</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行政处罚决定书应当在宣告后当场交付当事人;当事人不在场的,行政机关应当在7日内依照民事诉讼法的有关规定,将行政处罚决定书送达当事人。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(七)执行</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使用法定部门制发的罚款、没收财物单据进行罚款、没收财物等处罚。 </w:t>
            </w:r>
          </w:p>
        </w:tc>
      </w:tr>
      <w:tr>
        <w:tblPrEx>
          <w:tblCellMar>
            <w:top w:w="0" w:type="dxa"/>
            <w:left w:w="0" w:type="dxa"/>
            <w:bottom w:w="0" w:type="dxa"/>
            <w:right w:w="0" w:type="dxa"/>
          </w:tblCellMar>
        </w:tblPrEx>
        <w:trPr>
          <w:trHeight w:val="5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对当事人的同一个违法行为,不得给予两次以上罚款的行政处罚。 </w:t>
            </w:r>
          </w:p>
        </w:tc>
      </w:tr>
      <w:tr>
        <w:tblPrEx>
          <w:tblCellMar>
            <w:top w:w="0" w:type="dxa"/>
            <w:left w:w="0" w:type="dxa"/>
            <w:bottom w:w="0" w:type="dxa"/>
            <w:right w:w="0" w:type="dxa"/>
          </w:tblCellMar>
        </w:tblPrEx>
        <w:trPr>
          <w:trHeight w:val="5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19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实施行政处罚时,应当责令当事人改正或者限期改正违法行为。 </w:t>
            </w:r>
          </w:p>
        </w:tc>
      </w:tr>
      <w:tr>
        <w:tblPrEx>
          <w:tblCellMar>
            <w:top w:w="0" w:type="dxa"/>
            <w:left w:w="0" w:type="dxa"/>
            <w:bottom w:w="0" w:type="dxa"/>
            <w:right w:w="0" w:type="dxa"/>
          </w:tblCellMar>
        </w:tblPrEx>
        <w:trPr>
          <w:trHeight w:val="750"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三、行政确认类行政职权运行通用责任清单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CellMar>
            <w:top w:w="0" w:type="dxa"/>
            <w:left w:w="0" w:type="dxa"/>
            <w:bottom w:w="0" w:type="dxa"/>
            <w:right w:w="0" w:type="dxa"/>
          </w:tblCellMar>
        </w:tblPrEx>
        <w:trPr>
          <w:trHeight w:val="79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CellMar>
            <w:top w:w="0" w:type="dxa"/>
            <w:left w:w="0" w:type="dxa"/>
            <w:bottom w:w="0" w:type="dxa"/>
            <w:right w:w="0" w:type="dxa"/>
          </w:tblCellMar>
        </w:tblPrEx>
        <w:trPr>
          <w:trHeight w:val="4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CellMar>
            <w:top w:w="0" w:type="dxa"/>
            <w:left w:w="0" w:type="dxa"/>
            <w:bottom w:w="0" w:type="dxa"/>
            <w:right w:w="0" w:type="dxa"/>
          </w:tblCellMar>
        </w:tblPrEx>
        <w:trPr>
          <w:trHeight w:val="8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CellMar>
            <w:top w:w="0" w:type="dxa"/>
            <w:left w:w="0" w:type="dxa"/>
            <w:bottom w:w="0" w:type="dxa"/>
            <w:right w:w="0" w:type="dxa"/>
          </w:tblCellMar>
        </w:tblPrEx>
        <w:trPr>
          <w:trHeight w:val="5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CellMar>
            <w:top w:w="0" w:type="dxa"/>
            <w:left w:w="0" w:type="dxa"/>
            <w:bottom w:w="0" w:type="dxa"/>
            <w:right w:w="0" w:type="dxa"/>
          </w:tblCellMar>
        </w:tblPrEx>
        <w:trPr>
          <w:trHeight w:val="57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CellMar>
            <w:top w:w="0" w:type="dxa"/>
            <w:left w:w="0" w:type="dxa"/>
            <w:bottom w:w="0" w:type="dxa"/>
            <w:right w:w="0" w:type="dxa"/>
          </w:tblCellMar>
        </w:tblPrEx>
        <w:trPr>
          <w:trHeight w:val="78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990"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四、行政强制类(行政强制措施)行政职权运行通用责任清单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CellMar>
            <w:top w:w="0" w:type="dxa"/>
            <w:left w:w="0" w:type="dxa"/>
            <w:bottom w:w="0" w:type="dxa"/>
            <w:right w:w="0" w:type="dxa"/>
          </w:tblCellMar>
        </w:tblPrEx>
        <w:trPr>
          <w:trHeight w:val="100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CellMar>
            <w:top w:w="0" w:type="dxa"/>
            <w:left w:w="0" w:type="dxa"/>
            <w:bottom w:w="0" w:type="dxa"/>
            <w:right w:w="0" w:type="dxa"/>
          </w:tblCellMar>
        </w:tblPrEx>
        <w:trPr>
          <w:trHeight w:val="108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CellMar>
            <w:top w:w="0" w:type="dxa"/>
            <w:left w:w="0" w:type="dxa"/>
            <w:bottom w:w="0" w:type="dxa"/>
            <w:right w:w="0" w:type="dxa"/>
          </w:tblCellMar>
        </w:tblPrEx>
        <w:trPr>
          <w:trHeight w:val="14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CellMar>
            <w:top w:w="0" w:type="dxa"/>
            <w:left w:w="0" w:type="dxa"/>
            <w:bottom w:w="0" w:type="dxa"/>
            <w:right w:w="0" w:type="dxa"/>
          </w:tblCellMar>
        </w:tblPrEx>
        <w:trPr>
          <w:trHeight w:val="10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CellMar>
            <w:top w:w="0" w:type="dxa"/>
            <w:left w:w="0" w:type="dxa"/>
            <w:bottom w:w="0" w:type="dxa"/>
            <w:right w:w="0" w:type="dxa"/>
          </w:tblCellMar>
        </w:tblPrEx>
        <w:trPr>
          <w:trHeight w:val="72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CellMar>
            <w:top w:w="0" w:type="dxa"/>
            <w:left w:w="0" w:type="dxa"/>
            <w:bottom w:w="0" w:type="dxa"/>
            <w:right w:w="0" w:type="dxa"/>
          </w:tblCellMar>
        </w:tblPrEx>
        <w:trPr>
          <w:trHeight w:val="79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65"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五、行政强制类(行政强制执行)行政职权运行通用责任清单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4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CellMar>
            <w:top w:w="0" w:type="dxa"/>
            <w:left w:w="0" w:type="dxa"/>
            <w:bottom w:w="0" w:type="dxa"/>
            <w:right w:w="0" w:type="dxa"/>
          </w:tblCellMar>
        </w:tblPrEx>
        <w:trPr>
          <w:trHeight w:val="8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7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CellMar>
            <w:top w:w="0" w:type="dxa"/>
            <w:left w:w="0" w:type="dxa"/>
            <w:bottom w:w="0" w:type="dxa"/>
            <w:right w:w="0" w:type="dxa"/>
          </w:tblCellMar>
        </w:tblPrEx>
        <w:trPr>
          <w:trHeight w:val="102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CellMar>
            <w:top w:w="0" w:type="dxa"/>
            <w:left w:w="0" w:type="dxa"/>
            <w:bottom w:w="0" w:type="dxa"/>
            <w:right w:w="0" w:type="dxa"/>
          </w:tblCellMar>
        </w:tblPrEx>
        <w:trPr>
          <w:trHeight w:val="10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CellMar>
            <w:top w:w="0" w:type="dxa"/>
            <w:left w:w="0" w:type="dxa"/>
            <w:bottom w:w="0" w:type="dxa"/>
            <w:right w:w="0" w:type="dxa"/>
          </w:tblCellMar>
        </w:tblPrEx>
        <w:trPr>
          <w:trHeight w:val="58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CellMar>
            <w:top w:w="0" w:type="dxa"/>
            <w:left w:w="0" w:type="dxa"/>
            <w:bottom w:w="0" w:type="dxa"/>
            <w:right w:w="0" w:type="dxa"/>
          </w:tblCellMar>
        </w:tblPrEx>
        <w:trPr>
          <w:trHeight w:val="11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CellMar>
            <w:top w:w="0" w:type="dxa"/>
            <w:left w:w="0" w:type="dxa"/>
            <w:bottom w:w="0" w:type="dxa"/>
            <w:right w:w="0" w:type="dxa"/>
          </w:tblCellMar>
        </w:tblPrEx>
        <w:trPr>
          <w:trHeight w:val="99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CellMar>
            <w:top w:w="0" w:type="dxa"/>
            <w:left w:w="0" w:type="dxa"/>
            <w:bottom w:w="0" w:type="dxa"/>
            <w:right w:w="0" w:type="dxa"/>
          </w:tblCellMar>
        </w:tblPrEx>
        <w:trPr>
          <w:trHeight w:val="108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CellMar>
            <w:top w:w="0" w:type="dxa"/>
            <w:left w:w="0" w:type="dxa"/>
            <w:bottom w:w="0" w:type="dxa"/>
            <w:right w:w="0" w:type="dxa"/>
          </w:tblCellMar>
        </w:tblPrEx>
        <w:trPr>
          <w:trHeight w:val="79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CellMar>
            <w:top w:w="0" w:type="dxa"/>
            <w:left w:w="0" w:type="dxa"/>
            <w:bottom w:w="0" w:type="dxa"/>
            <w:right w:w="0" w:type="dxa"/>
          </w:tblCellMar>
        </w:tblPrEx>
        <w:trPr>
          <w:trHeight w:val="735"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六、行政征收类(税费类)行政职权运行通用责任清单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一次性告知申报人需提交的申报材料及办理流程。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(二)</w:t>
            </w:r>
            <w:r>
              <w:rPr>
                <w:rFonts w:hint="eastAsia" w:ascii="宋体" w:hAnsi="宋体" w:eastAsia="宋体" w:cs="宋体"/>
                <w:b/>
                <w:bCs/>
                <w:kern w:val="0"/>
                <w:sz w:val="24"/>
                <w:szCs w:val="24"/>
              </w:rPr>
              <w:t>审核</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对申报材料依法及时进行审核。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依法出具纳税或缴费凭证。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当事人缴纳超过应缴纳的税费,应当退还。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不得截留、私分或擅自开支征收款。 </w:t>
            </w:r>
          </w:p>
        </w:tc>
      </w:tr>
      <w:tr>
        <w:tblPrEx>
          <w:tblCellMar>
            <w:top w:w="0" w:type="dxa"/>
            <w:left w:w="0" w:type="dxa"/>
            <w:bottom w:w="0" w:type="dxa"/>
            <w:right w:w="0" w:type="dxa"/>
          </w:tblCellMar>
        </w:tblPrEx>
        <w:trPr>
          <w:trHeight w:val="8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开展检查,及时稽查,加强日常监管。 </w:t>
            </w:r>
          </w:p>
        </w:tc>
      </w:tr>
      <w:tr>
        <w:tblPrEx>
          <w:tblCellMar>
            <w:top w:w="0" w:type="dxa"/>
            <w:left w:w="0" w:type="dxa"/>
            <w:bottom w:w="0" w:type="dxa"/>
            <w:right w:w="0" w:type="dxa"/>
          </w:tblCellMar>
        </w:tblPrEx>
        <w:trPr>
          <w:trHeight w:val="675"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七、行政征收类(实物类)行政职权运行通用责任清单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2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拟定征收补偿方案。 </w:t>
            </w:r>
          </w:p>
        </w:tc>
      </w:tr>
      <w:tr>
        <w:tblPrEx>
          <w:tblCellMar>
            <w:top w:w="0" w:type="dxa"/>
            <w:left w:w="0" w:type="dxa"/>
            <w:bottom w:w="0" w:type="dxa"/>
            <w:right w:w="0" w:type="dxa"/>
          </w:tblCellMar>
        </w:tblPrEx>
        <w:trPr>
          <w:trHeight w:val="5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应当在社会稳定风险评估基础上作出征收决定。 </w:t>
            </w:r>
          </w:p>
        </w:tc>
      </w:tr>
      <w:tr>
        <w:tblPrEx>
          <w:tblCellMar>
            <w:top w:w="0" w:type="dxa"/>
            <w:left w:w="0" w:type="dxa"/>
            <w:bottom w:w="0" w:type="dxa"/>
            <w:right w:w="0" w:type="dxa"/>
          </w:tblCellMar>
        </w:tblPrEx>
        <w:trPr>
          <w:trHeight w:val="5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应当及时公告征收决定。 </w:t>
            </w:r>
          </w:p>
        </w:tc>
      </w:tr>
      <w:tr>
        <w:tblPrEx>
          <w:tblCellMar>
            <w:top w:w="0" w:type="dxa"/>
            <w:left w:w="0" w:type="dxa"/>
            <w:bottom w:w="0" w:type="dxa"/>
            <w:right w:w="0" w:type="dxa"/>
          </w:tblCellMar>
        </w:tblPrEx>
        <w:trPr>
          <w:trHeight w:val="54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(三)实施</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依据征收决定进行征收。 </w:t>
            </w:r>
          </w:p>
        </w:tc>
      </w:tr>
      <w:tr>
        <w:tblPrEx>
          <w:tblCellMar>
            <w:top w:w="0" w:type="dxa"/>
            <w:left w:w="0" w:type="dxa"/>
            <w:bottom w:w="0" w:type="dxa"/>
            <w:right w:w="0" w:type="dxa"/>
          </w:tblCellMar>
        </w:tblPrEx>
        <w:trPr>
          <w:trHeight w:val="57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根据补偿安置方案进行补偿、安置。 </w:t>
            </w:r>
          </w:p>
        </w:tc>
      </w:tr>
      <w:tr>
        <w:tblPrEx>
          <w:tblCellMar>
            <w:top w:w="0" w:type="dxa"/>
            <w:left w:w="0" w:type="dxa"/>
            <w:bottom w:w="0" w:type="dxa"/>
            <w:right w:w="0" w:type="dxa"/>
          </w:tblCellMar>
        </w:tblPrEx>
        <w:trPr>
          <w:trHeight w:val="52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应当依法建立征收补偿档案。 </w:t>
            </w:r>
          </w:p>
        </w:tc>
      </w:tr>
      <w:tr>
        <w:tblPrEx>
          <w:tblCellMar>
            <w:top w:w="0" w:type="dxa"/>
            <w:left w:w="0" w:type="dxa"/>
            <w:bottom w:w="0" w:type="dxa"/>
            <w:right w:w="0" w:type="dxa"/>
          </w:tblCellMar>
        </w:tblPrEx>
        <w:trPr>
          <w:trHeight w:val="52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对征收补偿费用管理和使用情况进行监督。 </w:t>
            </w:r>
          </w:p>
        </w:tc>
      </w:tr>
      <w:tr>
        <w:tblPrEx>
          <w:tblCellMar>
            <w:top w:w="0" w:type="dxa"/>
            <w:left w:w="0" w:type="dxa"/>
            <w:bottom w:w="0" w:type="dxa"/>
            <w:right w:w="0" w:type="dxa"/>
          </w:tblCellMar>
        </w:tblPrEx>
        <w:trPr>
          <w:trHeight w:val="630"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八、行政裁决类行政职权运行通用责任清单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3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对符合受理条件的,应当制作受理通知书,并送达申请人。 </w:t>
            </w:r>
          </w:p>
        </w:tc>
      </w:tr>
      <w:tr>
        <w:tblPrEx>
          <w:tblCellMar>
            <w:top w:w="0" w:type="dxa"/>
            <w:left w:w="0" w:type="dxa"/>
            <w:bottom w:w="0" w:type="dxa"/>
            <w:right w:w="0" w:type="dxa"/>
          </w:tblCellMar>
        </w:tblPrEx>
        <w:trPr>
          <w:trHeight w:val="7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78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对不符合受理条件的,应当书面告知申请人不予受理的理由和依据。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(二)审理</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在法定期限内进行审理。 </w:t>
            </w:r>
          </w:p>
        </w:tc>
      </w:tr>
      <w:tr>
        <w:tblPrEx>
          <w:tblCellMar>
            <w:top w:w="0" w:type="dxa"/>
            <w:left w:w="0" w:type="dxa"/>
            <w:bottom w:w="0" w:type="dxa"/>
            <w:right w:w="0" w:type="dxa"/>
          </w:tblCellMar>
        </w:tblPrEx>
        <w:trPr>
          <w:trHeight w:val="6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通知争议申请人及对方当事人,并要求对方当事人在规定的期限内提交相关材料。 </w:t>
            </w:r>
          </w:p>
        </w:tc>
      </w:tr>
      <w:tr>
        <w:tblPrEx>
          <w:tblCellMar>
            <w:top w:w="0" w:type="dxa"/>
            <w:left w:w="0" w:type="dxa"/>
            <w:bottom w:w="0" w:type="dxa"/>
            <w:right w:w="0" w:type="dxa"/>
          </w:tblCellMar>
        </w:tblPrEx>
        <w:trPr>
          <w:trHeight w:val="91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对争议的事实、证据材料进行审查,针对疑问情况或经当事人请求,举行公开听证,由当事人双方当面陈述案情,进行辩论、举证、质证,以查明案情。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审理时对确有必要的应当进行实地调查。 </w:t>
            </w:r>
          </w:p>
        </w:tc>
      </w:tr>
      <w:tr>
        <w:tblPrEx>
          <w:tblCellMar>
            <w:top w:w="0" w:type="dxa"/>
            <w:left w:w="0" w:type="dxa"/>
            <w:bottom w:w="0" w:type="dxa"/>
            <w:right w:w="0" w:type="dxa"/>
          </w:tblCellMar>
        </w:tblPrEx>
        <w:trPr>
          <w:trHeight w:val="6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(三)裁决</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根据事实和法律、法规作出裁决,制作并向双方当事人送达裁决书。 </w:t>
            </w:r>
          </w:p>
        </w:tc>
      </w:tr>
      <w:tr>
        <w:tblPrEx>
          <w:tblCellMar>
            <w:top w:w="0" w:type="dxa"/>
            <w:left w:w="0" w:type="dxa"/>
            <w:bottom w:w="0" w:type="dxa"/>
            <w:right w:w="0" w:type="dxa"/>
          </w:tblCellMar>
        </w:tblPrEx>
        <w:trPr>
          <w:trHeight w:val="55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(四)执行</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裁决生效后,争议当事人应当自觉履行。 </w:t>
            </w:r>
          </w:p>
        </w:tc>
      </w:tr>
      <w:tr>
        <w:tblPrEx>
          <w:tblCellMar>
            <w:top w:w="0" w:type="dxa"/>
            <w:left w:w="0" w:type="dxa"/>
            <w:bottom w:w="0" w:type="dxa"/>
            <w:right w:w="0" w:type="dxa"/>
          </w:tblCellMar>
        </w:tblPrEx>
        <w:trPr>
          <w:trHeight w:val="660"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九、行政给付行政职权运行通用责任清单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10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CellMar>
            <w:top w:w="0" w:type="dxa"/>
            <w:left w:w="0" w:type="dxa"/>
            <w:bottom w:w="0" w:type="dxa"/>
            <w:right w:w="0" w:type="dxa"/>
          </w:tblCellMar>
        </w:tblPrEx>
        <w:trPr>
          <w:trHeight w:val="81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CellMar>
            <w:top w:w="0" w:type="dxa"/>
            <w:left w:w="0" w:type="dxa"/>
            <w:bottom w:w="0" w:type="dxa"/>
            <w:right w:w="0" w:type="dxa"/>
          </w:tblCellMar>
        </w:tblPrEx>
        <w:trPr>
          <w:trHeight w:val="64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CellMar>
            <w:top w:w="0" w:type="dxa"/>
            <w:left w:w="0" w:type="dxa"/>
            <w:bottom w:w="0" w:type="dxa"/>
            <w:right w:w="0" w:type="dxa"/>
          </w:tblCellMar>
        </w:tblPrEx>
        <w:trPr>
          <w:trHeight w:val="375"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十、行政奖励类行政职权运行通用责任清单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依法科学制定奖励方案,明确奖励条件、程序等内容。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(二)审核公示</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对符合条件的推荐对象进行审核审定,并进行公示。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依法、及时调查核实举报投诉涉及问题。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(三)实施奖励</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依法、及时按程序报批决定奖励的等级和金额。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及时通知当事人领取奖励。 </w:t>
            </w:r>
          </w:p>
        </w:tc>
      </w:tr>
      <w:tr>
        <w:tblPrEx>
          <w:tblCellMar>
            <w:top w:w="0" w:type="dxa"/>
            <w:left w:w="0" w:type="dxa"/>
            <w:bottom w:w="0" w:type="dxa"/>
            <w:right w:w="0" w:type="dxa"/>
          </w:tblCellMar>
        </w:tblPrEx>
        <w:trPr>
          <w:trHeight w:val="720" w:hRule="atLeast"/>
          <w:tblCellSpacing w:w="0" w:type="dxa"/>
        </w:trPr>
        <w:tc>
          <w:tcPr>
            <w:tcW w:w="854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十一、行政检查类行政职权运行通用责任清单</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0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center"/>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CellMar>
            <w:top w:w="0" w:type="dxa"/>
            <w:left w:w="0" w:type="dxa"/>
            <w:bottom w:w="0" w:type="dxa"/>
            <w:right w:w="0" w:type="dxa"/>
          </w:tblCellMar>
        </w:tblPrEx>
        <w:trPr>
          <w:trHeight w:val="7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CellMar>
            <w:top w:w="0" w:type="dxa"/>
            <w:left w:w="0" w:type="dxa"/>
            <w:bottom w:w="0" w:type="dxa"/>
            <w:right w:w="0" w:type="dxa"/>
          </w:tblCellMar>
        </w:tblPrEx>
        <w:trPr>
          <w:trHeight w:val="43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2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CellMar>
            <w:top w:w="0" w:type="dxa"/>
            <w:left w:w="0" w:type="dxa"/>
            <w:bottom w:w="0" w:type="dxa"/>
            <w:right w:w="0" w:type="dxa"/>
          </w:tblCellMar>
        </w:tblPrEx>
        <w:trPr>
          <w:trHeight w:val="49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CellMar>
            <w:top w:w="0" w:type="dxa"/>
            <w:left w:w="0" w:type="dxa"/>
            <w:bottom w:w="0" w:type="dxa"/>
            <w:right w:w="0" w:type="dxa"/>
          </w:tblCellMar>
        </w:tblPrEx>
        <w:trPr>
          <w:trHeight w:val="52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CellMar>
            <w:top w:w="0" w:type="dxa"/>
            <w:left w:w="0" w:type="dxa"/>
            <w:bottom w:w="0" w:type="dxa"/>
            <w:right w:w="0" w:type="dxa"/>
          </w:tblCellMar>
        </w:tblPrEx>
        <w:trPr>
          <w:trHeight w:val="46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CellMar>
            <w:top w:w="0" w:type="dxa"/>
            <w:left w:w="0" w:type="dxa"/>
            <w:bottom w:w="0" w:type="dxa"/>
            <w:right w:w="0" w:type="dxa"/>
          </w:tblCellMar>
        </w:tblPrEx>
        <w:trPr>
          <w:trHeight w:val="75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CellMar>
            <w:top w:w="0" w:type="dxa"/>
            <w:left w:w="0" w:type="dxa"/>
            <w:bottom w:w="0" w:type="dxa"/>
            <w:right w:w="0" w:type="dxa"/>
          </w:tblCellMar>
        </w:tblPrEx>
        <w:trPr>
          <w:trHeight w:val="37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CellMar>
            <w:top w:w="0" w:type="dxa"/>
            <w:left w:w="0" w:type="dxa"/>
            <w:bottom w:w="0" w:type="dxa"/>
            <w:right w:w="0" w:type="dxa"/>
          </w:tblCellMar>
        </w:tblPrEx>
        <w:trPr>
          <w:trHeight w:val="60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CellMar>
            <w:top w:w="0" w:type="dxa"/>
            <w:left w:w="0" w:type="dxa"/>
            <w:bottom w:w="0" w:type="dxa"/>
            <w:right w:w="0" w:type="dxa"/>
          </w:tblCellMar>
        </w:tblPrEx>
        <w:trPr>
          <w:trHeight w:val="420"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noWrap/>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CellMar>
            <w:top w:w="0" w:type="dxa"/>
            <w:left w:w="0" w:type="dxa"/>
            <w:bottom w:w="0" w:type="dxa"/>
            <w:right w:w="0" w:type="dxa"/>
          </w:tblCellMar>
        </w:tblPrEx>
        <w:trPr>
          <w:trHeight w:val="795" w:hRule="atLeast"/>
          <w:tblCellSpacing w:w="0" w:type="dxa"/>
        </w:trPr>
        <w:tc>
          <w:tcPr>
            <w:tcW w:w="7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2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keepNext w:val="0"/>
        <w:keepLines w:val="0"/>
        <w:pageBreakBefore w:val="0"/>
        <w:kinsoku/>
        <w:wordWrap/>
        <w:overflowPunct/>
        <w:topLinePunct w:val="0"/>
        <w:autoSpaceDE/>
        <w:autoSpaceDN/>
        <w:bidi w:val="0"/>
        <w:adjustRightInd/>
        <w:snapToGrid/>
        <w:spacing w:line="44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3E9E53E5"/>
    <w:rsid w:val="69F7AE00"/>
    <w:rsid w:val="7FCE7A50"/>
    <w:rsid w:val="FAF9F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43</TotalTime>
  <ScaleCrop>false</ScaleCrop>
  <LinksUpToDate>false</LinksUpToDate>
  <CharactersWithSpaces>5593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2017-09-02T09:16:00Z</dcterms:created>
  <dc:creator>wangpeng</dc:creator>
  <cp:lastModifiedBy>user</cp:lastModifiedBy>
  <dcterms:modified xsi:type="dcterms:W3CDTF">2022-09-02T09:05:22Z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7543CA6C976A476B972E6E3580E6CC2F</vt:lpwstr>
  </property>
</Properties>
</file>