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密云区统计局</w:t>
      </w:r>
      <w:r>
        <w:rPr>
          <w:rFonts w:hint="eastAsia" w:ascii="方正小标宋简体" w:hAnsi="方正小标宋简体" w:eastAsia="方正小标宋简体" w:cs="方正小标宋简体"/>
          <w:sz w:val="36"/>
          <w:szCs w:val="36"/>
        </w:rPr>
        <w:t>行政职权运行责任清单</w:t>
      </w:r>
    </w:p>
    <w:p>
      <w:pPr>
        <w:rPr>
          <w:rFonts w:hint="eastAsia"/>
        </w:rPr>
      </w:pPr>
    </w:p>
    <w:tbl>
      <w:tblPr>
        <w:tblStyle w:val="4"/>
        <w:tblW w:w="8546" w:type="dxa"/>
        <w:tblCellSpacing w:w="0" w:type="dxa"/>
        <w:tblInd w:w="10" w:type="dxa"/>
        <w:tblLayout w:type="fixed"/>
        <w:tblCellMar>
          <w:top w:w="0" w:type="dxa"/>
          <w:left w:w="0" w:type="dxa"/>
          <w:bottom w:w="0" w:type="dxa"/>
          <w:right w:w="0" w:type="dxa"/>
        </w:tblCellMar>
      </w:tblPr>
      <w:tblGrid>
        <w:gridCol w:w="758"/>
        <w:gridCol w:w="1818"/>
        <w:gridCol w:w="5970"/>
      </w:tblGrid>
      <w:tr>
        <w:tblPrEx>
          <w:tblLayout w:type="fixed"/>
          <w:tblCellMar>
            <w:top w:w="0" w:type="dxa"/>
            <w:left w:w="0" w:type="dxa"/>
            <w:bottom w:w="0" w:type="dxa"/>
            <w:right w:w="0" w:type="dxa"/>
          </w:tblCellMar>
        </w:tblPrEx>
        <w:trPr>
          <w:trHeight w:val="765" w:hRule="atLeast"/>
          <w:tblCellSpacing w:w="0" w:type="dxa"/>
        </w:trPr>
        <w:tc>
          <w:tcPr>
            <w:tcW w:w="8546" w:type="dxa"/>
            <w:gridSpan w:val="3"/>
            <w:tcBorders>
              <w:top w:val="single" w:color="000000" w:sz="2" w:space="0"/>
              <w:left w:val="single" w:color="000000" w:sz="6" w:space="0"/>
              <w:bottom w:val="single" w:color="000000" w:sz="2" w:space="0"/>
              <w:right w:val="single" w:color="000000" w:sz="2" w:space="0"/>
            </w:tcBorders>
            <w:shd w:val="clear" w:color="auto" w:fill="auto"/>
            <w:tcMar>
              <w:top w:w="0" w:type="dxa"/>
              <w:left w:w="105" w:type="dxa"/>
              <w:bottom w:w="0" w:type="dxa"/>
              <w:right w:w="105" w:type="dxa"/>
            </w:tcMar>
            <w:vAlign w:val="center"/>
          </w:tcPr>
          <w:p>
            <w:pPr>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二、行政处罚类行政职权运行通用责任清单</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single" w:color="000000" w:sz="2" w:space="0"/>
              <w:left w:val="single" w:color="000000" w:sz="6" w:space="0"/>
              <w:bottom w:val="single" w:color="000000" w:sz="2" w:space="0"/>
              <w:right w:val="single" w:color="000000" w:sz="2"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single" w:color="000000" w:sz="2" w:space="0"/>
              <w:left w:val="single" w:color="000000" w:sz="2" w:space="0"/>
              <w:bottom w:val="single" w:color="000000" w:sz="2" w:space="0"/>
              <w:right w:val="single" w:color="000000" w:sz="2"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single" w:color="000000" w:sz="2" w:space="0"/>
              <w:left w:val="single" w:color="000000" w:sz="2" w:space="0"/>
              <w:bottom w:val="single" w:color="000000" w:sz="2" w:space="0"/>
              <w:right w:val="single" w:color="000000" w:sz="2"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4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一</w:t>
            </w:r>
            <w:r>
              <w:rPr>
                <w:rFonts w:hint="eastAsia" w:ascii="宋体" w:hAnsi="宋体" w:eastAsia="宋体" w:cs="宋体"/>
                <w:b/>
                <w:bCs/>
                <w:kern w:val="0"/>
                <w:sz w:val="24"/>
                <w:szCs w:val="24"/>
              </w:rPr>
              <w:t>)调查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出示执法身份证件,表明执法身份。</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应当有2名以上(含2名)行政执法人员共同参加调查取证。</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3</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依法调查和保存证据。</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适用简易程序的,当场制作行政处罚决定书并当场交付。</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 xml:space="preserve">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适用简易程序的,执法人员当场作出的行政处罚决定应当报所属行政机关备案。</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w:t>
            </w:r>
            <w:r>
              <w:rPr>
                <w:rFonts w:hint="eastAsia" w:ascii="宋体" w:hAnsi="宋体" w:eastAsia="宋体" w:cs="宋体"/>
                <w:b/>
                <w:bCs/>
                <w:kern w:val="0"/>
                <w:sz w:val="24"/>
                <w:szCs w:val="24"/>
                <w:lang w:eastAsia="zh-CN"/>
              </w:rPr>
              <w:t>立案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对符合立案条件的案件及时立案。</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审理案件调查报告,对案件违法事实、证据、调查取证程序、法律适用、处罚种类和幅度、当事人陈述和申辩理由等方面进行审查,提出处理意见(主要证据不足时,以适当的方式补充调查)。</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构成犯罪的,移送司法机关依法追究刑事责任。</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在作出行政处罚前,应告知当事人作出行政处罚决定的事实、理由及依据,并告知当事人依法享有的权利。</w:t>
            </w:r>
          </w:p>
        </w:tc>
      </w:tr>
      <w:tr>
        <w:tblPrEx>
          <w:tblLayout w:type="fixed"/>
          <w:tblCellMar>
            <w:top w:w="0" w:type="dxa"/>
            <w:left w:w="0" w:type="dxa"/>
            <w:bottom w:w="0" w:type="dxa"/>
            <w:right w:w="0" w:type="dxa"/>
          </w:tblCellMar>
        </w:tblPrEx>
        <w:trPr>
          <w:trHeight w:val="6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依法告知当事人有举行听证的权利,当事人要求听证的,应当依法组织听证。</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对情节复杂或者重大违法行为给予较重的行政处罚,应当集体讨论决定。</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依法决定给予行政处罚,制作行政处罚决定书,并在处罚决定书中告知对处罚决定不服的可以依法申请行政复议或者提起行政诉讼。</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(六)送达</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ascii="宋体" w:hAnsi="宋体" w:eastAsia="宋体" w:cs="宋体"/>
                <w:kern w:val="0"/>
                <w:sz w:val="24"/>
                <w:szCs w:val="24"/>
              </w:rPr>
            </w:pPr>
            <w:r>
              <w:rPr>
                <w:rFonts w:hint="eastAsia" w:ascii="宋体" w:hAnsi="宋体" w:eastAsia="宋体" w:cs="宋体"/>
                <w:kern w:val="0"/>
                <w:sz w:val="24"/>
                <w:szCs w:val="24"/>
              </w:rPr>
              <w:t>对当事人的同一个违法行为,不得给予两次以上罚款的行政处罚。</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实施行政处罚时,应当责令当事人改正或者限期改正违法行为。</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行政处罚决定书应当在宣告后当场交付当事人;当事人不在场的,行政机关应当在7日内依照民事诉讼法的有关规定,将行政处罚决定书送达当事人。</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使用法定部门制发的罚款、没收财物单据进行罚款、没收财物等处罚。</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对当事人的同一个违法行为,不得给予两次以上罚款的行政处罚。</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实施行政处罚时,应当责令当事人改正或者限期改正违法行为。</w:t>
            </w:r>
          </w:p>
        </w:tc>
      </w:tr>
      <w:tr>
        <w:tblPrEx>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实施检查前应当依法制定含有正当理由、事项和内容的检查</w:t>
            </w:r>
            <w:r>
              <w:rPr>
                <w:rFonts w:hint="eastAsia" w:ascii="宋体" w:hAnsi="宋体" w:eastAsia="宋体" w:cs="宋体"/>
                <w:kern w:val="0"/>
                <w:sz w:val="24"/>
                <w:szCs w:val="24"/>
                <w:lang w:eastAsia="zh-CN"/>
              </w:rPr>
              <w:t>计划</w:t>
            </w:r>
            <w:r>
              <w:rPr>
                <w:rFonts w:hint="eastAsia" w:ascii="宋体" w:hAnsi="宋体" w:eastAsia="宋体" w:cs="宋体"/>
                <w:kern w:val="0"/>
                <w:sz w:val="24"/>
                <w:szCs w:val="24"/>
              </w:rPr>
              <w:t>。</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同一行政机关的多个内设机构和下属机构对同一当事人不同事项的行政检查,能够合并检查的应当合并检查。</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上下级行政机关应当按照级别管辖和地域管辖相结合的原则合理划分检查范围,避免重复检查。</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依照检查</w:t>
            </w:r>
            <w:r>
              <w:rPr>
                <w:rFonts w:hint="eastAsia" w:ascii="宋体" w:hAnsi="宋体" w:eastAsia="宋体" w:cs="宋体"/>
                <w:kern w:val="0"/>
                <w:sz w:val="24"/>
                <w:szCs w:val="24"/>
                <w:lang w:eastAsia="zh-CN"/>
              </w:rPr>
              <w:t>计划</w:t>
            </w:r>
            <w:r>
              <w:rPr>
                <w:rFonts w:hint="eastAsia" w:ascii="宋体" w:hAnsi="宋体" w:eastAsia="宋体" w:cs="宋体"/>
                <w:kern w:val="0"/>
                <w:sz w:val="24"/>
                <w:szCs w:val="24"/>
              </w:rPr>
              <w:t>规定的时限、范围开展检查。</w:t>
            </w:r>
          </w:p>
        </w:tc>
      </w:tr>
      <w:tr>
        <w:tblPrEx>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实施检查时应当出示执法身份证件、检查</w:t>
            </w:r>
            <w:r>
              <w:rPr>
                <w:rFonts w:hint="eastAsia" w:ascii="宋体" w:hAnsi="宋体" w:eastAsia="宋体" w:cs="宋体"/>
                <w:kern w:val="0"/>
                <w:sz w:val="24"/>
                <w:szCs w:val="24"/>
                <w:lang w:eastAsia="zh-CN"/>
              </w:rPr>
              <w:t>通知书</w:t>
            </w:r>
            <w:r>
              <w:rPr>
                <w:rFonts w:hint="eastAsia" w:ascii="宋体" w:hAnsi="宋体" w:eastAsia="宋体" w:cs="宋体"/>
                <w:kern w:val="0"/>
                <w:sz w:val="24"/>
                <w:szCs w:val="24"/>
              </w:rPr>
              <w:t>。</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依法查阅资料、查看现场、听取当事人陈述申辩并取证。</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实施检查应当不影响当事人的正常生产经营活动与生活。</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依法告知当事人检查中发现的违法行为</w:t>
            </w:r>
            <w:r>
              <w:rPr>
                <w:rFonts w:hint="eastAsia" w:ascii="宋体" w:hAnsi="宋体" w:eastAsia="宋体" w:cs="宋体"/>
                <w:kern w:val="0"/>
                <w:sz w:val="24"/>
                <w:szCs w:val="24"/>
                <w:lang w:eastAsia="zh-CN"/>
              </w:rPr>
              <w:t>，对违法行为轻微，未造成严重后果的</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当场责令改正；对于情节严重，达到一般程序处罚的，进入一般程序流程。</w:t>
            </w:r>
            <w:r>
              <w:rPr>
                <w:rFonts w:hint="eastAsia" w:ascii="宋体" w:hAnsi="宋体" w:eastAsia="宋体" w:cs="宋体"/>
                <w:kern w:val="0"/>
                <w:sz w:val="24"/>
                <w:szCs w:val="24"/>
              </w:rPr>
              <w:t>对不服处理意见的,可以依法申请行政复议或提起行政诉讼。</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color w:val="000000"/>
                <w:kern w:val="0"/>
                <w:sz w:val="24"/>
                <w:szCs w:val="24"/>
              </w:rPr>
              <w:t>对检查中发现的违法行为应当予以制止和纠正。</w:t>
            </w:r>
          </w:p>
        </w:tc>
      </w:tr>
      <w:tr>
        <w:tblPrEx>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实施行政检查中不得乱收费、乱罚款、乱摊派,严禁吃、拿、卡、要。</w:t>
            </w:r>
          </w:p>
        </w:tc>
      </w:tr>
      <w:tr>
        <w:tblPrEx>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不得放弃、推诿、拖延、拒绝履行检查职责。</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对检查情况进行汇总、分类、归档备查,并跟踪监测。</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03E76063"/>
    <w:rsid w:val="2C864DBB"/>
    <w:rsid w:val="2DC8742E"/>
    <w:rsid w:val="2FBE4591"/>
    <w:rsid w:val="3E0571A9"/>
    <w:rsid w:val="3E2633EA"/>
    <w:rsid w:val="48320254"/>
    <w:rsid w:val="7CD4043C"/>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1</TotalTime>
  <ScaleCrop>false</ScaleCrop>
  <LinksUpToDate>false</LinksUpToDate>
  <CharactersWithSpaces>5593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cydck</cp:lastModifiedBy>
  <dcterms:modified xsi:type="dcterms:W3CDTF">2023-10-30T07:17:56Z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7543CA6C976A476B972E6E3580E6CC2F</vt:lpwstr>
  </property>
</Properties>
</file>