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b w:val="0"/>
          <w:color w:val="333333"/>
          <w:sz w:val="39"/>
          <w:szCs w:val="39"/>
        </w:rPr>
      </w:pPr>
      <w:r>
        <w:rPr>
          <w:b w:val="0"/>
          <w:i w:val="0"/>
          <w:caps w:val="0"/>
          <w:color w:val="333333"/>
          <w:spacing w:val="0"/>
          <w:sz w:val="39"/>
          <w:szCs w:val="39"/>
          <w:shd w:val="clear" w:color="auto" w:fill="FFFFFF"/>
        </w:rPr>
        <w:t>北京市</w:t>
      </w:r>
      <w:r>
        <w:rPr>
          <w:rFonts w:hint="eastAsia" w:eastAsia="宋体"/>
          <w:b w:val="0"/>
          <w:i w:val="0"/>
          <w:caps w:val="0"/>
          <w:color w:val="333333"/>
          <w:spacing w:val="0"/>
          <w:sz w:val="39"/>
          <w:szCs w:val="39"/>
          <w:shd w:val="clear" w:color="auto" w:fill="FFFFFF"/>
          <w:lang w:eastAsia="zh-CN"/>
        </w:rPr>
        <w:t>密云区</w:t>
      </w:r>
      <w:r>
        <w:rPr>
          <w:b w:val="0"/>
          <w:i w:val="0"/>
          <w:caps w:val="0"/>
          <w:color w:val="333333"/>
          <w:spacing w:val="0"/>
          <w:sz w:val="39"/>
          <w:szCs w:val="39"/>
          <w:shd w:val="clear" w:color="auto" w:fill="FFFFFF"/>
        </w:rPr>
        <w:t>审计局行政职权运行责任清单</w:t>
      </w:r>
    </w:p>
    <w:tbl>
      <w:tblPr>
        <w:tblStyle w:val="4"/>
        <w:tblW w:w="13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0"/>
        <w:gridCol w:w="1372"/>
        <w:gridCol w:w="1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3555" w:type="dxa"/>
            <w:gridSpan w:val="3"/>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2209" w:rightChars="1052"/>
              <w:jc w:val="center"/>
            </w:pPr>
            <w:r>
              <w:rPr>
                <w:rFonts w:ascii="黑体" w:hAnsi="宋体" w:eastAsia="黑体" w:cs="黑体"/>
                <w:sz w:val="31"/>
                <w:szCs w:val="31"/>
              </w:rPr>
              <w:t>一、行政处罚类行政职权运行责任清单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黑体" w:hAnsi="宋体" w:eastAsia="黑体" w:cs="黑体"/>
                <w:sz w:val="24"/>
                <w:szCs w:val="24"/>
              </w:rPr>
              <w:t>序号</w:t>
            </w:r>
          </w:p>
        </w:tc>
        <w:tc>
          <w:tcPr>
            <w:tcW w:w="1372"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黑体" w:hAnsi="宋体" w:eastAsia="黑体" w:cs="黑体"/>
                <w:sz w:val="24"/>
                <w:szCs w:val="24"/>
              </w:rPr>
              <w:t>运行环节</w:t>
            </w: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黑体" w:hAnsi="宋体" w:eastAsia="黑体" w:cs="黑体"/>
                <w:sz w:val="24"/>
                <w:szCs w:val="24"/>
              </w:rPr>
              <w:t>责任事项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eastAsia="仿宋_GB2312" w:cs="仿宋_GB2312"/>
                <w:sz w:val="24"/>
                <w:szCs w:val="24"/>
              </w:rPr>
              <w:t>1</w:t>
            </w:r>
          </w:p>
        </w:tc>
        <w:tc>
          <w:tcPr>
            <w:tcW w:w="1372"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default" w:ascii="仿宋_GB2312" w:eastAsia="仿宋_GB2312" w:cs="仿宋_GB2312"/>
                <w:sz w:val="24"/>
                <w:szCs w:val="24"/>
              </w:rPr>
              <w:t>（一）立案</w:t>
            </w: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对符合立案条件的案件及时立案。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2</w:t>
            </w:r>
          </w:p>
        </w:tc>
        <w:tc>
          <w:tcPr>
            <w:tcW w:w="1372" w:type="dxa"/>
            <w:vMerge w:val="restart"/>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default" w:ascii="仿宋_GB2312" w:eastAsia="仿宋_GB2312" w:cs="仿宋_GB2312"/>
                <w:sz w:val="24"/>
                <w:szCs w:val="24"/>
              </w:rPr>
              <w:t>（二）调查</w:t>
            </w: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出示执法身份证件，表明执法身份。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3</w:t>
            </w:r>
          </w:p>
        </w:tc>
        <w:tc>
          <w:tcPr>
            <w:tcW w:w="1372"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应当有2名以上（含2名）行政执法人员共同参加调查取证。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4</w:t>
            </w:r>
          </w:p>
        </w:tc>
        <w:tc>
          <w:tcPr>
            <w:tcW w:w="1372"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依法调查和保存证据。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5</w:t>
            </w:r>
          </w:p>
        </w:tc>
        <w:tc>
          <w:tcPr>
            <w:tcW w:w="1372"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适用简易程序的，当场制作行政处罚决定书并当场交付，在事后难以执行及特殊情况下应当当场收缴罚款。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6</w:t>
            </w:r>
          </w:p>
        </w:tc>
        <w:tc>
          <w:tcPr>
            <w:tcW w:w="1372"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适用简易程序的，执法人员当场作出的行政处罚决定应当报所属行政机关备案。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7</w:t>
            </w:r>
          </w:p>
        </w:tc>
        <w:tc>
          <w:tcPr>
            <w:tcW w:w="1372" w:type="dxa"/>
            <w:vMerge w:val="restart"/>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default" w:ascii="仿宋_GB2312" w:eastAsia="仿宋_GB2312" w:cs="仿宋_GB2312"/>
                <w:sz w:val="24"/>
                <w:szCs w:val="24"/>
              </w:rPr>
              <w:t>（三）审查</w:t>
            </w: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8</w:t>
            </w:r>
          </w:p>
        </w:tc>
        <w:tc>
          <w:tcPr>
            <w:tcW w:w="1372"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构成犯罪的，移送司法机关依法追究刑事责任。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9</w:t>
            </w:r>
          </w:p>
        </w:tc>
        <w:tc>
          <w:tcPr>
            <w:tcW w:w="1372" w:type="dxa"/>
            <w:vMerge w:val="restart"/>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default" w:ascii="仿宋_GB2312" w:eastAsia="仿宋_GB2312" w:cs="仿宋_GB2312"/>
                <w:sz w:val="24"/>
                <w:szCs w:val="24"/>
              </w:rPr>
              <w:t>（四）告知</w:t>
            </w: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在作出行政处罚前，应告知当事人作出行政处罚决定的事实、理由及依据，并告知当事人依法享有的权利。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10</w:t>
            </w:r>
          </w:p>
        </w:tc>
        <w:tc>
          <w:tcPr>
            <w:tcW w:w="1372"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依法告知当事人有举行听证的权利，当事人要求听证的，应当依法组织听证。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11</w:t>
            </w:r>
          </w:p>
        </w:tc>
        <w:tc>
          <w:tcPr>
            <w:tcW w:w="1372" w:type="dxa"/>
            <w:vMerge w:val="restart"/>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default" w:ascii="仿宋_GB2312" w:eastAsia="仿宋_GB2312" w:cs="仿宋_GB2312"/>
                <w:sz w:val="24"/>
                <w:szCs w:val="24"/>
              </w:rPr>
              <w:t>（五）决定</w:t>
            </w: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充分听取当事人的意见，对当事人提出的事实、理由和证据，应当进行复核；当事人提出的事实、理由或者证据成立的，应当采纳，不得因当事人申辩而加重处罚。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12</w:t>
            </w:r>
          </w:p>
        </w:tc>
        <w:tc>
          <w:tcPr>
            <w:tcW w:w="1372"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对情节复杂或者重大违法行为给予较重的行政处罚，应当集体讨论决定。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13</w:t>
            </w:r>
          </w:p>
        </w:tc>
        <w:tc>
          <w:tcPr>
            <w:tcW w:w="1372"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依法决定给予行政处罚，制作行政处罚决定书，并在处罚决定书中告知对处罚决定不服的可以依法申请行政复议或者提起行政诉讼。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14</w:t>
            </w:r>
          </w:p>
        </w:tc>
        <w:tc>
          <w:tcPr>
            <w:tcW w:w="1372"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对当事人的同一个违法行为，不得给予两次以上罚款的行政处罚。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15</w:t>
            </w:r>
          </w:p>
        </w:tc>
        <w:tc>
          <w:tcPr>
            <w:tcW w:w="1372"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实施行政处罚时，应当责令当事人改正或者限期改正违法行为。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16</w:t>
            </w:r>
          </w:p>
        </w:tc>
        <w:tc>
          <w:tcPr>
            <w:tcW w:w="1372"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default" w:ascii="仿宋_GB2312" w:eastAsia="仿宋_GB2312" w:cs="仿宋_GB2312"/>
                <w:sz w:val="24"/>
                <w:szCs w:val="24"/>
              </w:rPr>
              <w:t>（六）送达</w:t>
            </w: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行政处罚决定书应当在宣告后当场交付当事人；当事人不在场的，行政机关应当在7日内依照民事诉讼法的有关规定，将行政处罚决定书送达当事人。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17</w:t>
            </w:r>
          </w:p>
        </w:tc>
        <w:tc>
          <w:tcPr>
            <w:tcW w:w="1372" w:type="dxa"/>
            <w:vMerge w:val="restart"/>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default" w:ascii="仿宋_GB2312" w:eastAsia="仿宋_GB2312" w:cs="仿宋_GB2312"/>
                <w:sz w:val="24"/>
                <w:szCs w:val="24"/>
              </w:rPr>
              <w:t>（七）执行</w:t>
            </w: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使用法定部门制发的罚款、没收财物单据进行罚款、没收财物等处罚。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18</w:t>
            </w:r>
          </w:p>
        </w:tc>
        <w:tc>
          <w:tcPr>
            <w:tcW w:w="1372"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仿宋_GB2312" w:eastAsia="仿宋_GB2312" w:cs="仿宋_GB2312"/>
                <w:sz w:val="24"/>
                <w:szCs w:val="24"/>
              </w:rPr>
              <w:t>对当事人的同一个违法行为，不得给予两次以上罚款的行政处罚。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950"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19</w:t>
            </w:r>
          </w:p>
        </w:tc>
        <w:tc>
          <w:tcPr>
            <w:tcW w:w="1372"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11233"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仿宋_GB2312" w:eastAsia="仿宋_GB2312" w:cs="仿宋_GB2312"/>
                <w:sz w:val="24"/>
                <w:szCs w:val="24"/>
              </w:rPr>
              <w:t>实施行政处罚时，应当责令当事人改正或者限期改正违法行为。</w:t>
            </w:r>
          </w:p>
        </w:tc>
      </w:tr>
    </w:tbl>
    <w:p>
      <w:pPr>
        <w:rPr>
          <w:vanish/>
          <w:sz w:val="24"/>
          <w:szCs w:val="24"/>
        </w:rPr>
      </w:pPr>
    </w:p>
    <w:tbl>
      <w:tblPr>
        <w:tblStyle w:val="4"/>
        <w:tblW w:w="13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7"/>
        <w:gridCol w:w="2689"/>
        <w:gridCol w:w="9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3555" w:type="dxa"/>
            <w:gridSpan w:val="3"/>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黑体" w:hAnsi="宋体" w:eastAsia="黑体" w:cs="黑体"/>
                <w:sz w:val="31"/>
                <w:szCs w:val="31"/>
              </w:rPr>
              <w:t>二、行政强制类（行政强制措施）行政职权运行责任清单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黑体" w:hAnsi="宋体" w:eastAsia="黑体" w:cs="黑体"/>
                <w:sz w:val="24"/>
                <w:szCs w:val="24"/>
              </w:rPr>
              <w:t>序号</w:t>
            </w:r>
          </w:p>
        </w:tc>
        <w:tc>
          <w:tcPr>
            <w:tcW w:w="268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黑体" w:hAnsi="宋体" w:eastAsia="黑体" w:cs="黑体"/>
                <w:sz w:val="24"/>
                <w:szCs w:val="24"/>
              </w:rPr>
              <w:t>运行环节</w:t>
            </w: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黑体" w:hAnsi="宋体" w:eastAsia="黑体" w:cs="黑体"/>
                <w:sz w:val="24"/>
                <w:szCs w:val="24"/>
              </w:rPr>
              <w:t>责任事项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w:t>
            </w:r>
          </w:p>
        </w:tc>
        <w:tc>
          <w:tcPr>
            <w:tcW w:w="2689" w:type="dxa"/>
            <w:vMerge w:val="restart"/>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default" w:ascii="仿宋_GB2312" w:eastAsia="仿宋_GB2312" w:cs="仿宋_GB2312"/>
                <w:sz w:val="24"/>
                <w:szCs w:val="24"/>
              </w:rPr>
              <w:t>（一）决定</w:t>
            </w: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实施前应当先报告，经批准后作出实施行政强制措施的决定。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2</w:t>
            </w:r>
          </w:p>
        </w:tc>
        <w:tc>
          <w:tcPr>
            <w:tcW w:w="2689"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批准实施行政强制措施应当符合法定条件。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3</w:t>
            </w:r>
          </w:p>
        </w:tc>
        <w:tc>
          <w:tcPr>
            <w:tcW w:w="2689" w:type="dxa"/>
            <w:vMerge w:val="restart"/>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default" w:ascii="仿宋_GB2312" w:eastAsia="仿宋_GB2312" w:cs="仿宋_GB2312"/>
                <w:sz w:val="24"/>
                <w:szCs w:val="24"/>
              </w:rPr>
              <w:t>（二）执行</w:t>
            </w: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由2名以上具备资格的行政执法人员实施，其他人员不得实施。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4</w:t>
            </w:r>
          </w:p>
        </w:tc>
        <w:tc>
          <w:tcPr>
            <w:tcW w:w="2689"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行政执法人员应当现场出示执法身份证件。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5</w:t>
            </w:r>
          </w:p>
        </w:tc>
        <w:tc>
          <w:tcPr>
            <w:tcW w:w="2689"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实施行政强制措施时应当通知当事人到场，并告知当事人采取行政强制措施的理由、依据以及当事人依法享有的权利、救济途径。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6</w:t>
            </w:r>
          </w:p>
        </w:tc>
        <w:tc>
          <w:tcPr>
            <w:tcW w:w="2689"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充分听取当事人的意见，对当事人提出的事实、理由和证据，应当进行复核，当事人提出的事实、理由或者证据成立的，应当采纳。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7</w:t>
            </w:r>
          </w:p>
        </w:tc>
        <w:tc>
          <w:tcPr>
            <w:tcW w:w="2689"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5"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8</w:t>
            </w:r>
          </w:p>
        </w:tc>
        <w:tc>
          <w:tcPr>
            <w:tcW w:w="2689"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仿宋_GB2312" w:eastAsia="仿宋_GB2312" w:cs="仿宋_GB2312"/>
                <w:sz w:val="24"/>
                <w:szCs w:val="24"/>
              </w:rPr>
              <w:t>经县级以上人民政府审计机关负责人批准，可以封存有关资料和违反国家规定取得的资产。封存的期限为7日以内；有特殊情况需要延长的，经县级以上人民政府审计机关负责人批准，可以适当延长，但延长的期限不得超过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9</w:t>
            </w:r>
          </w:p>
        </w:tc>
        <w:tc>
          <w:tcPr>
            <w:tcW w:w="2689" w:type="dxa"/>
            <w:vMerge w:val="restart"/>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default" w:ascii="仿宋_GB2312" w:eastAsia="仿宋_GB2312" w:cs="仿宋_GB2312"/>
                <w:sz w:val="24"/>
                <w:szCs w:val="24"/>
              </w:rPr>
              <w:t>（三）解除</w:t>
            </w: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对符合解除行政强制措施条件的，应当依法解除行政强制措施。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10</w:t>
            </w:r>
          </w:p>
        </w:tc>
        <w:tc>
          <w:tcPr>
            <w:tcW w:w="2689"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w:t>
            </w:r>
            <w:r>
              <w:rPr>
                <w:rFonts w:hint="default" w:ascii="仿宋_GB2312" w:eastAsia="仿宋_GB2312" w:cs="仿宋_GB2312"/>
                <w:sz w:val="24"/>
                <w:szCs w:val="24"/>
                <w:highlight w:val="yellow"/>
              </w:rPr>
              <w:t>对构成犯罪的，依法、及时移送司法机关。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11</w:t>
            </w:r>
          </w:p>
        </w:tc>
        <w:tc>
          <w:tcPr>
            <w:tcW w:w="268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default" w:ascii="仿宋_GB2312" w:eastAsia="仿宋_GB2312" w:cs="仿宋_GB2312"/>
                <w:sz w:val="24"/>
                <w:szCs w:val="24"/>
              </w:rPr>
              <w:t>（四）事后监管</w:t>
            </w: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建立健全事后监管制度，依法履行监督责任。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555" w:type="dxa"/>
            <w:gridSpan w:val="3"/>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黑体" w:hAnsi="宋体" w:eastAsia="黑体" w:cs="黑体"/>
                <w:sz w:val="31"/>
                <w:szCs w:val="31"/>
              </w:rPr>
              <w:t>三、其他类行政职权运行责任清单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黑体" w:hAnsi="宋体" w:eastAsia="黑体" w:cs="黑体"/>
                <w:sz w:val="24"/>
                <w:szCs w:val="24"/>
              </w:rPr>
              <w:t>序号</w:t>
            </w:r>
          </w:p>
        </w:tc>
        <w:tc>
          <w:tcPr>
            <w:tcW w:w="268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黑体" w:hAnsi="宋体" w:eastAsia="黑体" w:cs="黑体"/>
                <w:sz w:val="24"/>
                <w:szCs w:val="24"/>
              </w:rPr>
              <w:t>运行环节</w:t>
            </w: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黑体" w:hAnsi="宋体" w:eastAsia="黑体" w:cs="黑体"/>
                <w:sz w:val="24"/>
                <w:szCs w:val="24"/>
              </w:rPr>
              <w:t>责任事项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1</w:t>
            </w:r>
          </w:p>
        </w:tc>
        <w:tc>
          <w:tcPr>
            <w:tcW w:w="268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b/>
                <w:sz w:val="24"/>
                <w:szCs w:val="24"/>
              </w:rPr>
              <w:t>（一）</w:t>
            </w:r>
            <w:r>
              <w:rPr>
                <w:rStyle w:val="6"/>
                <w:rFonts w:hint="default" w:ascii="仿宋_GB2312" w:eastAsia="仿宋_GB2312" w:cs="仿宋_GB2312"/>
                <w:sz w:val="24"/>
                <w:szCs w:val="24"/>
              </w:rPr>
              <w:t> 送达审计通知书</w:t>
            </w: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 </w:t>
            </w:r>
            <w:r>
              <w:rPr>
                <w:rStyle w:val="6"/>
                <w:rFonts w:hint="default" w:ascii="仿宋_GB2312" w:eastAsia="仿宋_GB2312" w:cs="仿宋_GB2312"/>
                <w:color w:val="333333"/>
                <w:spacing w:val="0"/>
                <w:sz w:val="24"/>
                <w:szCs w:val="24"/>
                <w:shd w:val="clear" w:color="auto" w:fill="FFFFFF"/>
              </w:rPr>
              <w:t>实施审计3日前向被审计单位送达审计通知书.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2</w:t>
            </w:r>
          </w:p>
        </w:tc>
        <w:tc>
          <w:tcPr>
            <w:tcW w:w="2689" w:type="dxa"/>
            <w:vMerge w:val="restart"/>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default" w:ascii="仿宋_GB2312" w:eastAsia="仿宋_GB2312" w:cs="仿宋_GB2312"/>
                <w:b/>
                <w:sz w:val="24"/>
                <w:szCs w:val="24"/>
              </w:rPr>
              <w:t>（二）</w:t>
            </w:r>
            <w:r>
              <w:rPr>
                <w:rStyle w:val="6"/>
                <w:rFonts w:hint="default" w:ascii="仿宋_GB2312" w:eastAsia="仿宋_GB2312" w:cs="仿宋_GB2312"/>
                <w:sz w:val="24"/>
                <w:szCs w:val="24"/>
              </w:rPr>
              <w:t>实施审计</w:t>
            </w: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default" w:ascii="仿宋_GB2312" w:eastAsia="仿宋_GB2312" w:cs="仿宋_GB2312"/>
                <w:color w:val="333333"/>
                <w:spacing w:val="0"/>
                <w:sz w:val="24"/>
                <w:szCs w:val="24"/>
                <w:shd w:val="clear" w:color="auto" w:fill="FFFFFF"/>
              </w:rPr>
              <w:t>获取资料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3</w:t>
            </w:r>
          </w:p>
        </w:tc>
        <w:tc>
          <w:tcPr>
            <w:tcW w:w="2689"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开展调查与分析，审核查验相关的证据、资料、审计报告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4</w:t>
            </w:r>
          </w:p>
        </w:tc>
        <w:tc>
          <w:tcPr>
            <w:tcW w:w="2689"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default" w:ascii="仿宋_GB2312" w:eastAsia="仿宋_GB2312" w:cs="仿宋_GB2312"/>
                <w:sz w:val="24"/>
                <w:szCs w:val="24"/>
              </w:rPr>
              <w:t>提请有关部门协助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5</w:t>
            </w:r>
          </w:p>
        </w:tc>
        <w:tc>
          <w:tcPr>
            <w:tcW w:w="2689"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对审计监督中发现的违法行为做出相应的处理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6</w:t>
            </w:r>
          </w:p>
        </w:tc>
        <w:tc>
          <w:tcPr>
            <w:tcW w:w="268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仿宋_GB2312" w:eastAsia="仿宋_GB2312" w:cs="仿宋_GB2312"/>
                <w:b/>
                <w:sz w:val="24"/>
                <w:szCs w:val="24"/>
              </w:rPr>
              <w:t>（三）</w:t>
            </w:r>
            <w:r>
              <w:rPr>
                <w:rStyle w:val="6"/>
                <w:rFonts w:hint="default" w:ascii="仿宋_GB2312" w:eastAsia="仿宋_GB2312" w:cs="仿宋_GB2312"/>
                <w:sz w:val="24"/>
                <w:szCs w:val="24"/>
              </w:rPr>
              <w:t>出具报告</w:t>
            </w: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审计组形成审计报告，征求被审计单位意见，经过复核审理、集体决议后，形成审计机关的审计报告。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7</w:t>
            </w:r>
          </w:p>
        </w:tc>
        <w:tc>
          <w:tcPr>
            <w:tcW w:w="2689" w:type="dxa"/>
            <w:vMerge w:val="restart"/>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仿宋_GB2312" w:eastAsia="仿宋_GB2312" w:cs="仿宋_GB2312"/>
                <w:b/>
                <w:sz w:val="24"/>
                <w:szCs w:val="24"/>
              </w:rPr>
              <w:t>（四）</w:t>
            </w:r>
            <w:r>
              <w:rPr>
                <w:rStyle w:val="6"/>
                <w:rFonts w:hint="default" w:ascii="仿宋_GB2312" w:eastAsia="仿宋_GB2312" w:cs="仿宋_GB2312"/>
                <w:sz w:val="24"/>
                <w:szCs w:val="24"/>
              </w:rPr>
              <w:t>决定</w:t>
            </w: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对审计发现的应当给与处理的违法行为，报审计机关负责人批准，依法</w:t>
            </w:r>
            <w:r>
              <w:rPr>
                <w:rFonts w:hint="eastAsia" w:ascii="仿宋_GB2312" w:eastAsia="仿宋_GB2312" w:cs="仿宋_GB2312"/>
                <w:sz w:val="24"/>
                <w:szCs w:val="24"/>
                <w:lang w:eastAsia="zh-CN"/>
              </w:rPr>
              <w:t>作</w:t>
            </w:r>
            <w:bookmarkStart w:id="0" w:name="_GoBack"/>
            <w:bookmarkEnd w:id="0"/>
            <w:r>
              <w:rPr>
                <w:rFonts w:hint="default" w:ascii="仿宋_GB2312" w:eastAsia="仿宋_GB2312" w:cs="仿宋_GB2312"/>
                <w:sz w:val="24"/>
                <w:szCs w:val="24"/>
              </w:rPr>
              <w:t>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8</w:t>
            </w:r>
          </w:p>
        </w:tc>
        <w:tc>
          <w:tcPr>
            <w:tcW w:w="2689" w:type="dxa"/>
            <w:vMerge w:val="continue"/>
            <w:tcBorders>
              <w:tl2br w:val="nil"/>
              <w:tr2bl w:val="nil"/>
            </w:tcBorders>
            <w:noWrap w:val="0"/>
            <w:tcMar>
              <w:left w:w="105" w:type="dxa"/>
              <w:right w:w="105" w:type="dxa"/>
            </w:tcMar>
            <w:vAlign w:val="center"/>
          </w:tcPr>
          <w:p>
            <w:pPr>
              <w:rPr>
                <w:rFonts w:hint="eastAsia" w:ascii="宋体"/>
                <w:sz w:val="24"/>
                <w:szCs w:val="24"/>
              </w:rPr>
            </w:pP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告知当事人应当执行决定，以及对决定不服，提出复议诉讼的途径。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1037"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4"/>
                <w:szCs w:val="24"/>
              </w:rPr>
              <w:t>9</w:t>
            </w:r>
          </w:p>
        </w:tc>
        <w:tc>
          <w:tcPr>
            <w:tcW w:w="268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仿宋_GB2312" w:eastAsia="仿宋_GB2312" w:cs="仿宋_GB2312"/>
                <w:b/>
                <w:sz w:val="24"/>
                <w:szCs w:val="24"/>
              </w:rPr>
              <w:t>（五）</w:t>
            </w:r>
            <w:r>
              <w:rPr>
                <w:rStyle w:val="6"/>
                <w:rFonts w:hint="default" w:ascii="仿宋_GB2312" w:eastAsia="仿宋_GB2312" w:cs="仿宋_GB2312"/>
                <w:sz w:val="24"/>
                <w:szCs w:val="24"/>
              </w:rPr>
              <w:t>事后监管</w:t>
            </w:r>
          </w:p>
        </w:tc>
        <w:tc>
          <w:tcPr>
            <w:tcW w:w="9829" w:type="dxa"/>
            <w:tcBorders>
              <w:tl2br w:val="nil"/>
              <w:tr2bl w:val="nil"/>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4"/>
                <w:szCs w:val="24"/>
              </w:rPr>
              <w:t>监督被审计单位整改情况，建立健全事后监管制度，及时了解主管机关的处理情况，依法履行监督责任。</w:t>
            </w:r>
          </w:p>
        </w:tc>
      </w:tr>
    </w:tbl>
    <w:p/>
    <w:sectPr>
      <w:pgSz w:w="16838" w:h="11906" w:orient="landscape"/>
      <w:pgMar w:top="1803" w:right="1440" w:bottom="1803" w:left="1440" w:header="851" w:footer="992" w:gutter="0"/>
      <w:pgBorders w:offsetFrom="page">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2703B"/>
    <w:rsid w:val="0977ADC5"/>
    <w:rsid w:val="77F245E1"/>
    <w:rsid w:val="7F62703B"/>
    <w:rsid w:val="88FE5F80"/>
    <w:rsid w:val="EFEE31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2025-08-05T17:04:00Z</dcterms:created>
  <dc:creator>user</dc:creator>
  <cp:lastModifiedBy>user</cp:lastModifiedBy>
  <cp:lastPrinted>2025-08-05T09:29:00Z</cp:lastPrinted>
  <dcterms:modified xsi:type="dcterms:W3CDTF">2025-08-07T10:40:58Z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