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北京市密云区审计局行政强制和其他行政权力清单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（2025年8月）</w:t>
      </w:r>
    </w:p>
    <w:tbl>
      <w:tblPr>
        <w:tblStyle w:val="5"/>
        <w:tblW w:w="57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087"/>
        <w:gridCol w:w="1240"/>
        <w:gridCol w:w="1751"/>
        <w:gridCol w:w="739"/>
        <w:gridCol w:w="1036"/>
        <w:gridCol w:w="6160"/>
        <w:gridCol w:w="1250"/>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26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64"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业务指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导部门</w:t>
            </w:r>
          </w:p>
        </w:tc>
        <w:tc>
          <w:tcPr>
            <w:tcW w:w="415"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职权编码</w:t>
            </w:r>
          </w:p>
        </w:tc>
        <w:tc>
          <w:tcPr>
            <w:tcW w:w="586"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职权名称</w:t>
            </w:r>
          </w:p>
        </w:tc>
        <w:tc>
          <w:tcPr>
            <w:tcW w:w="24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职权类型</w:t>
            </w:r>
          </w:p>
        </w:tc>
        <w:tc>
          <w:tcPr>
            <w:tcW w:w="347"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设定依据名称</w:t>
            </w:r>
          </w:p>
        </w:tc>
        <w:tc>
          <w:tcPr>
            <w:tcW w:w="206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设定依据具体内容</w:t>
            </w:r>
          </w:p>
        </w:tc>
        <w:tc>
          <w:tcPr>
            <w:tcW w:w="418"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设定依据</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发布号令</w:t>
            </w:r>
          </w:p>
        </w:tc>
        <w:tc>
          <w:tcPr>
            <w:tcW w:w="293" w:type="pct"/>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kern w:val="0"/>
                <w:sz w:val="24"/>
                <w:szCs w:val="24"/>
                <w:u w:val="none"/>
                <w:lang w:val="en-US" w:eastAsia="zh-CN" w:bidi="ar"/>
              </w:rPr>
            </w:pPr>
            <w:r>
              <w:rPr>
                <w:rFonts w:hint="eastAsia" w:ascii="黑体" w:hAnsi="宋体" w:eastAsia="黑体" w:cs="黑体"/>
                <w:b/>
                <w:i w:val="0"/>
                <w:color w:val="000000"/>
                <w:kern w:val="0"/>
                <w:sz w:val="24"/>
                <w:szCs w:val="24"/>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8" w:hRule="atLeast"/>
          <w:jc w:val="center"/>
        </w:trPr>
        <w:tc>
          <w:tcPr>
            <w:tcW w:w="26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6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北京市密云区审计局</w:t>
            </w:r>
          </w:p>
        </w:tc>
        <w:tc>
          <w:tcPr>
            <w:tcW w:w="415" w:type="pct"/>
            <w:vMerge w:val="restar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D</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00100</w:t>
            </w:r>
          </w:p>
        </w:tc>
        <w:tc>
          <w:tcPr>
            <w:tcW w:w="586" w:type="pct"/>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对被审计单位有关资料和违反国家规定取得的资产进行查封</w:t>
            </w:r>
          </w:p>
        </w:tc>
        <w:tc>
          <w:tcPr>
            <w:tcW w:w="247" w:type="pct"/>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rPr>
              <w:t>行政强制</w:t>
            </w:r>
          </w:p>
        </w:tc>
        <w:tc>
          <w:tcPr>
            <w:tcW w:w="3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20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第三十八条 审计机关进行审计时，被审计单位不得转移、隐匿、篡改、毁弃财务、会计资料以及与财政收支、财务收支有关的业务、管理等资料，不得转移、隐匿、故意毁损所持有的违反国家规定取得的资产。</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审计机关采取前两款规定的措施不得影响被审计单位合法的业务活动和生产经营活动。</w:t>
            </w:r>
          </w:p>
        </w:tc>
        <w:tc>
          <w:tcPr>
            <w:tcW w:w="418"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293" w:type="pct"/>
            <w:vMerge w:val="restar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jc w:val="center"/>
        </w:trPr>
        <w:tc>
          <w:tcPr>
            <w:tcW w:w="263" w:type="pct"/>
            <w:vMerge w:val="continue"/>
            <w:tcBorders>
              <w:tl2br w:val="nil"/>
              <w:tr2bl w:val="nil"/>
            </w:tcBorders>
            <w:noWrap w:val="0"/>
            <w:vAlign w:val="center"/>
          </w:tcPr>
          <w:p>
            <w:pPr>
              <w:keepNext w:val="0"/>
              <w:keepLines w:val="0"/>
              <w:widowControl/>
              <w:suppressLineNumbers w:val="0"/>
              <w:jc w:val="left"/>
              <w:textAlignment w:val="center"/>
            </w:pPr>
          </w:p>
        </w:tc>
        <w:tc>
          <w:tcPr>
            <w:tcW w:w="364" w:type="pct"/>
            <w:vMerge w:val="continue"/>
            <w:tcBorders>
              <w:tl2br w:val="nil"/>
              <w:tr2bl w:val="nil"/>
            </w:tcBorders>
            <w:noWrap w:val="0"/>
            <w:vAlign w:val="center"/>
          </w:tcPr>
          <w:p>
            <w:pPr>
              <w:keepNext w:val="0"/>
              <w:keepLines w:val="0"/>
              <w:widowControl/>
              <w:suppressLineNumbers w:val="0"/>
              <w:jc w:val="left"/>
              <w:textAlignment w:val="center"/>
            </w:pPr>
          </w:p>
        </w:tc>
        <w:tc>
          <w:tcPr>
            <w:tcW w:w="415" w:type="pct"/>
            <w:vMerge w:val="continue"/>
            <w:tcBorders>
              <w:tl2br w:val="nil"/>
              <w:tr2bl w:val="nil"/>
            </w:tcBorders>
            <w:noWrap w:val="0"/>
            <w:vAlign w:val="center"/>
          </w:tcPr>
          <w:p>
            <w:pPr>
              <w:keepNext w:val="0"/>
              <w:keepLines w:val="0"/>
              <w:widowControl/>
              <w:suppressLineNumbers w:val="0"/>
              <w:jc w:val="left"/>
              <w:textAlignment w:val="center"/>
            </w:pPr>
          </w:p>
        </w:tc>
        <w:tc>
          <w:tcPr>
            <w:tcW w:w="586" w:type="pct"/>
            <w:vMerge w:val="continue"/>
            <w:tcBorders>
              <w:tl2br w:val="nil"/>
              <w:tr2bl w:val="nil"/>
            </w:tcBorders>
            <w:noWrap w:val="0"/>
            <w:vAlign w:val="center"/>
          </w:tcPr>
          <w:p>
            <w:pPr>
              <w:keepNext w:val="0"/>
              <w:keepLines w:val="0"/>
              <w:widowControl/>
              <w:suppressLineNumbers w:val="0"/>
              <w:jc w:val="left"/>
              <w:textAlignment w:val="center"/>
            </w:pPr>
          </w:p>
        </w:tc>
        <w:tc>
          <w:tcPr>
            <w:tcW w:w="247" w:type="pct"/>
            <w:vMerge w:val="continue"/>
            <w:tcBorders>
              <w:tl2br w:val="nil"/>
              <w:tr2bl w:val="nil"/>
            </w:tcBorders>
            <w:noWrap w:val="0"/>
            <w:vAlign w:val="center"/>
          </w:tcPr>
          <w:p>
            <w:pPr>
              <w:keepNext w:val="0"/>
              <w:keepLines w:val="0"/>
              <w:widowControl/>
              <w:suppressLineNumbers w:val="0"/>
              <w:jc w:val="left"/>
              <w:textAlignment w:val="center"/>
            </w:pPr>
          </w:p>
        </w:tc>
        <w:tc>
          <w:tcPr>
            <w:tcW w:w="3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中华人民共和国行政处罚法</w:t>
            </w:r>
          </w:p>
        </w:tc>
        <w:tc>
          <w:tcPr>
            <w:tcW w:w="2063"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tc>
        <w:tc>
          <w:tcPr>
            <w:tcW w:w="418"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中华人民共和国主席令第七〇号</w:t>
            </w:r>
          </w:p>
        </w:tc>
        <w:tc>
          <w:tcPr>
            <w:tcW w:w="293" w:type="pct"/>
            <w:vMerge w:val="continue"/>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atLeast"/>
          <w:jc w:val="center"/>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3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北京市密云区审计局</w:t>
            </w:r>
          </w:p>
        </w:tc>
        <w:tc>
          <w:tcPr>
            <w:tcW w:w="415"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500</w:t>
            </w:r>
          </w:p>
        </w:tc>
        <w:tc>
          <w:tcPr>
            <w:tcW w:w="586" w:type="pc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核查社会审计机构出具的审计报告</w:t>
            </w:r>
          </w:p>
        </w:tc>
        <w:tc>
          <w:tcPr>
            <w:tcW w:w="2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3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2063" w:type="pc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第三十三条 社会审计机构审计的单位依法属于被审计单位的，审计机关按照国务院的规定，有权对该社会审计机构出具的相关审计报告进行核查。</w:t>
            </w:r>
          </w:p>
        </w:tc>
        <w:tc>
          <w:tcPr>
            <w:tcW w:w="418"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293"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市级、区级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26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3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北京市密云区审计局</w:t>
            </w:r>
          </w:p>
        </w:tc>
        <w:tc>
          <w:tcPr>
            <w:tcW w:w="415"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L</w:t>
            </w:r>
            <w:r>
              <w:rPr>
                <w:rFonts w:hint="eastAsia" w:ascii="仿宋_GB2312" w:hAnsi="仿宋_GB2312" w:eastAsia="仿宋_GB2312" w:cs="仿宋_GB2312"/>
                <w:i w:val="0"/>
                <w:color w:val="000000"/>
                <w:sz w:val="24"/>
                <w:szCs w:val="24"/>
                <w:u w:val="none"/>
                <w:lang w:val="en-US" w:eastAsia="zh-CN"/>
              </w:rPr>
              <w:t>25</w:t>
            </w:r>
            <w:r>
              <w:rPr>
                <w:rFonts w:hint="eastAsia" w:ascii="仿宋_GB2312" w:hAnsi="仿宋_GB2312" w:eastAsia="仿宋_GB2312" w:cs="仿宋_GB2312"/>
                <w:i w:val="0"/>
                <w:color w:val="000000"/>
                <w:sz w:val="24"/>
                <w:szCs w:val="24"/>
                <w:u w:val="none"/>
              </w:rPr>
              <w:t>00</w:t>
            </w:r>
            <w:r>
              <w:rPr>
                <w:rFonts w:hint="eastAsia" w:ascii="仿宋_GB2312" w:hAnsi="仿宋_GB2312" w:eastAsia="仿宋_GB2312" w:cs="仿宋_GB2312"/>
                <w:i w:val="0"/>
                <w:color w:val="000000"/>
                <w:sz w:val="24"/>
                <w:szCs w:val="24"/>
                <w:u w:val="none"/>
                <w:lang w:val="en-US" w:eastAsia="zh-CN"/>
              </w:rPr>
              <w:t>600</w:t>
            </w:r>
          </w:p>
        </w:tc>
        <w:tc>
          <w:tcPr>
            <w:tcW w:w="586" w:type="pc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对管理使用公共资金、国有资产、国有资源的地方、部门和单位的审计监督</w:t>
            </w:r>
          </w:p>
        </w:tc>
        <w:tc>
          <w:tcPr>
            <w:tcW w:w="2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kern w:val="0"/>
                <w:sz w:val="24"/>
                <w:szCs w:val="24"/>
                <w:u w:val="none"/>
                <w:lang w:val="en-US" w:eastAsia="zh-CN" w:bidi="ar"/>
              </w:rPr>
              <w:t>其他行政权力</w:t>
            </w:r>
          </w:p>
        </w:tc>
        <w:tc>
          <w:tcPr>
            <w:tcW w:w="347"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中华人民共和国审计法</w:t>
            </w:r>
          </w:p>
        </w:tc>
        <w:tc>
          <w:tcPr>
            <w:tcW w:w="2063" w:type="pct"/>
            <w:tcBorders>
              <w:tl2br w:val="nil"/>
              <w:tr2bl w:val="nil"/>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第二十四条　审计机关对国有资源、国有资产，进行审计监督。</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审计机关对政府部门管理的和其他单位受政府委托管理的社会保险基金、全国社会保障基金、社会捐赠资金以及其他公共资金的财务收支，进行审计监督。</w:t>
            </w:r>
          </w:p>
        </w:tc>
        <w:tc>
          <w:tcPr>
            <w:tcW w:w="418"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中华人民共和国主席令第一〇〇号</w:t>
            </w:r>
          </w:p>
        </w:tc>
        <w:tc>
          <w:tcPr>
            <w:tcW w:w="293" w:type="pct"/>
            <w:tcBorders>
              <w:tl2br w:val="nil"/>
              <w:tr2bl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市级、区级</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sz w:val="10"/>
          <w:szCs w:val="10"/>
          <w:lang w:val="en-US" w:eastAsia="zh-CN"/>
        </w:rPr>
      </w:pPr>
    </w:p>
    <w:sectPr>
      <w:pgSz w:w="16838" w:h="11906" w:orient="landscape"/>
      <w:pgMar w:top="1587" w:right="2098" w:bottom="1474" w:left="1984" w:header="851" w:footer="992"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248C"/>
    <w:rsid w:val="07FD3FCF"/>
    <w:rsid w:val="15AFB493"/>
    <w:rsid w:val="1B8DB31D"/>
    <w:rsid w:val="1B8F122B"/>
    <w:rsid w:val="1BFFBF58"/>
    <w:rsid w:val="1EF3BCD7"/>
    <w:rsid w:val="1FBA95F5"/>
    <w:rsid w:val="2CEF4D52"/>
    <w:rsid w:val="2DE6ADC7"/>
    <w:rsid w:val="2E2E5ED6"/>
    <w:rsid w:val="2F9E228D"/>
    <w:rsid w:val="2FBCDF45"/>
    <w:rsid w:val="337D0350"/>
    <w:rsid w:val="34EF404C"/>
    <w:rsid w:val="359EEEB9"/>
    <w:rsid w:val="35FCCD89"/>
    <w:rsid w:val="371E66B5"/>
    <w:rsid w:val="37FEA7A2"/>
    <w:rsid w:val="39BB2B67"/>
    <w:rsid w:val="3B6F8334"/>
    <w:rsid w:val="3BBF2211"/>
    <w:rsid w:val="3C5DCFED"/>
    <w:rsid w:val="3CFBDCE2"/>
    <w:rsid w:val="3DBBE431"/>
    <w:rsid w:val="3DBF89E1"/>
    <w:rsid w:val="3DD15954"/>
    <w:rsid w:val="3DF76F50"/>
    <w:rsid w:val="3DFF9EB3"/>
    <w:rsid w:val="3E4FCA20"/>
    <w:rsid w:val="3EE6EDA9"/>
    <w:rsid w:val="3F7FD593"/>
    <w:rsid w:val="4DFF35F6"/>
    <w:rsid w:val="4FCD8422"/>
    <w:rsid w:val="4FE46AE7"/>
    <w:rsid w:val="4FFD4687"/>
    <w:rsid w:val="55EFBFD4"/>
    <w:rsid w:val="57EF67E0"/>
    <w:rsid w:val="5A6B0AE3"/>
    <w:rsid w:val="5B371E2C"/>
    <w:rsid w:val="5B5EBF40"/>
    <w:rsid w:val="5DE4E686"/>
    <w:rsid w:val="5DF26D14"/>
    <w:rsid w:val="5EB64B43"/>
    <w:rsid w:val="5FDF16BC"/>
    <w:rsid w:val="5FFED018"/>
    <w:rsid w:val="64FB794F"/>
    <w:rsid w:val="66B7E757"/>
    <w:rsid w:val="66EFF11D"/>
    <w:rsid w:val="67FE3683"/>
    <w:rsid w:val="67FF5361"/>
    <w:rsid w:val="686F5FFC"/>
    <w:rsid w:val="695F4EB4"/>
    <w:rsid w:val="69DF7656"/>
    <w:rsid w:val="6AFBE02C"/>
    <w:rsid w:val="6B7F428D"/>
    <w:rsid w:val="6B7F8A97"/>
    <w:rsid w:val="6BFF4255"/>
    <w:rsid w:val="6DAE11F4"/>
    <w:rsid w:val="6E7FB1AA"/>
    <w:rsid w:val="6EAC9787"/>
    <w:rsid w:val="6EE00203"/>
    <w:rsid w:val="6F363554"/>
    <w:rsid w:val="6F7D394F"/>
    <w:rsid w:val="6F971674"/>
    <w:rsid w:val="6F9EDA92"/>
    <w:rsid w:val="6FF6B0F2"/>
    <w:rsid w:val="6FFD77A0"/>
    <w:rsid w:val="709D10E3"/>
    <w:rsid w:val="714AB099"/>
    <w:rsid w:val="71BB27B1"/>
    <w:rsid w:val="73EDB3C1"/>
    <w:rsid w:val="768F3155"/>
    <w:rsid w:val="76FE62FC"/>
    <w:rsid w:val="773DB605"/>
    <w:rsid w:val="77F7C774"/>
    <w:rsid w:val="77FF6DA5"/>
    <w:rsid w:val="77FFE064"/>
    <w:rsid w:val="782F337E"/>
    <w:rsid w:val="785FD729"/>
    <w:rsid w:val="793909FA"/>
    <w:rsid w:val="793F94A7"/>
    <w:rsid w:val="79BF6E0B"/>
    <w:rsid w:val="79D7B2CF"/>
    <w:rsid w:val="7AE3D4CC"/>
    <w:rsid w:val="7AFFFFD6"/>
    <w:rsid w:val="7BEF1096"/>
    <w:rsid w:val="7BF75EF8"/>
    <w:rsid w:val="7BF76F4E"/>
    <w:rsid w:val="7BFE4031"/>
    <w:rsid w:val="7BFE96F2"/>
    <w:rsid w:val="7CBDA897"/>
    <w:rsid w:val="7CF77937"/>
    <w:rsid w:val="7D635EB7"/>
    <w:rsid w:val="7DF7676A"/>
    <w:rsid w:val="7DFC02C2"/>
    <w:rsid w:val="7DFFF706"/>
    <w:rsid w:val="7E97113B"/>
    <w:rsid w:val="7EBB5F56"/>
    <w:rsid w:val="7EF88342"/>
    <w:rsid w:val="7F77ABAF"/>
    <w:rsid w:val="7F7EF59A"/>
    <w:rsid w:val="7FDF283A"/>
    <w:rsid w:val="7FDF58F0"/>
    <w:rsid w:val="7FE227B2"/>
    <w:rsid w:val="7FF72A84"/>
    <w:rsid w:val="7FF72B44"/>
    <w:rsid w:val="7FFB0DA6"/>
    <w:rsid w:val="7FFD066C"/>
    <w:rsid w:val="7FFFD932"/>
    <w:rsid w:val="8237FA32"/>
    <w:rsid w:val="83FFFAF1"/>
    <w:rsid w:val="97F731AA"/>
    <w:rsid w:val="9ABF9D8C"/>
    <w:rsid w:val="9CFFA004"/>
    <w:rsid w:val="9FBE9712"/>
    <w:rsid w:val="A7FF1F92"/>
    <w:rsid w:val="A9FEA493"/>
    <w:rsid w:val="AF5FF592"/>
    <w:rsid w:val="AF6558A4"/>
    <w:rsid w:val="AFA103CA"/>
    <w:rsid w:val="AFBCF222"/>
    <w:rsid w:val="AFFA6901"/>
    <w:rsid w:val="B6D37903"/>
    <w:rsid w:val="B8BFC2C2"/>
    <w:rsid w:val="BBAF158E"/>
    <w:rsid w:val="BBCFE8FA"/>
    <w:rsid w:val="BC7FD5E0"/>
    <w:rsid w:val="BCB81344"/>
    <w:rsid w:val="BD377371"/>
    <w:rsid w:val="BDFE9090"/>
    <w:rsid w:val="BE97318E"/>
    <w:rsid w:val="BF5DD065"/>
    <w:rsid w:val="BFFB752F"/>
    <w:rsid w:val="CAE754CC"/>
    <w:rsid w:val="CCBD3884"/>
    <w:rsid w:val="CDCFA0B1"/>
    <w:rsid w:val="CEFF31DD"/>
    <w:rsid w:val="CF9D7615"/>
    <w:rsid w:val="D6EFCBCC"/>
    <w:rsid w:val="D7DBD756"/>
    <w:rsid w:val="D97E7334"/>
    <w:rsid w:val="DAFF499E"/>
    <w:rsid w:val="DB0F8DDA"/>
    <w:rsid w:val="DBFF3EC5"/>
    <w:rsid w:val="DC8D27DF"/>
    <w:rsid w:val="DDEF7786"/>
    <w:rsid w:val="DEF7FA53"/>
    <w:rsid w:val="DEFF98BF"/>
    <w:rsid w:val="DFCBCE92"/>
    <w:rsid w:val="E35E7FB0"/>
    <w:rsid w:val="E66BAF5D"/>
    <w:rsid w:val="E6BFA064"/>
    <w:rsid w:val="E7FFE013"/>
    <w:rsid w:val="E8E9BCF8"/>
    <w:rsid w:val="EAFB6F5B"/>
    <w:rsid w:val="EBEFE953"/>
    <w:rsid w:val="ECBF329B"/>
    <w:rsid w:val="EDFBB18B"/>
    <w:rsid w:val="EF7AB9B8"/>
    <w:rsid w:val="EFA253A2"/>
    <w:rsid w:val="EFBFF96A"/>
    <w:rsid w:val="F0F318B3"/>
    <w:rsid w:val="F16F1FB8"/>
    <w:rsid w:val="F2BCFF05"/>
    <w:rsid w:val="F2FF7195"/>
    <w:rsid w:val="F3FDFF07"/>
    <w:rsid w:val="F5BBAFBD"/>
    <w:rsid w:val="F6FFD9C6"/>
    <w:rsid w:val="F7990577"/>
    <w:rsid w:val="F7CF14B7"/>
    <w:rsid w:val="F7D1AE22"/>
    <w:rsid w:val="F93F8130"/>
    <w:rsid w:val="F9CFD415"/>
    <w:rsid w:val="F9F5465C"/>
    <w:rsid w:val="FAEDC364"/>
    <w:rsid w:val="FAFBD783"/>
    <w:rsid w:val="FB1F2D0E"/>
    <w:rsid w:val="FB6FFC29"/>
    <w:rsid w:val="FBF10B67"/>
    <w:rsid w:val="FBF75A60"/>
    <w:rsid w:val="FBFF478C"/>
    <w:rsid w:val="FC7B5D81"/>
    <w:rsid w:val="FCED76DF"/>
    <w:rsid w:val="FCF62743"/>
    <w:rsid w:val="FCF7643F"/>
    <w:rsid w:val="FD9EF1AD"/>
    <w:rsid w:val="FDB79ED3"/>
    <w:rsid w:val="FDBDB299"/>
    <w:rsid w:val="FDDEBA3D"/>
    <w:rsid w:val="FDEDDEA6"/>
    <w:rsid w:val="FDEE3ECA"/>
    <w:rsid w:val="FDFFA18B"/>
    <w:rsid w:val="FEDE01B4"/>
    <w:rsid w:val="FEDF1C4F"/>
    <w:rsid w:val="FEF2E299"/>
    <w:rsid w:val="FEFA1B1D"/>
    <w:rsid w:val="FEFB9BCA"/>
    <w:rsid w:val="FEFE0F58"/>
    <w:rsid w:val="FEFFDF16"/>
    <w:rsid w:val="FF733B7C"/>
    <w:rsid w:val="FF7B9DAE"/>
    <w:rsid w:val="FF7F92EE"/>
    <w:rsid w:val="FF99A5B7"/>
    <w:rsid w:val="FF9BD543"/>
    <w:rsid w:val="FF9F81B7"/>
    <w:rsid w:val="FFAE59D4"/>
    <w:rsid w:val="FFBF248C"/>
    <w:rsid w:val="FFD6C297"/>
    <w:rsid w:val="FFDBD945"/>
    <w:rsid w:val="FFEE820B"/>
    <w:rsid w:val="FFEF20E7"/>
    <w:rsid w:val="FFF18C81"/>
    <w:rsid w:val="FFFD3CA1"/>
    <w:rsid w:val="FFFFF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next w:val="1"/>
    <w:qFormat/>
    <w:uiPriority w:val="0"/>
    <w:pPr>
      <w:snapToGrid w:val="0"/>
      <w:jc w:val="left"/>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26.6666666666667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2022-05-12T22:43:00Z</dcterms:created>
  <dc:creator>duanjz</dc:creator>
  <cp:lastModifiedBy>user</cp:lastModifiedBy>
  <cp:lastPrinted>2025-05-24T09:04:45Z</cp:lastPrinted>
  <dcterms:modified xsi:type="dcterms:W3CDTF">2025-08-04T17:35:21Z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3BF3EDC73A6756808FA50D68AD6F3E30</vt:lpwstr>
  </property>
</Properties>
</file>