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行政职权运行通用责任清单</w:t>
      </w:r>
    </w:p>
    <w:p>
      <w:pPr>
        <w:rPr>
          <w:rFonts w:hint="eastAsia"/>
        </w:rPr>
      </w:pPr>
    </w:p>
    <w:tbl>
      <w:tblPr>
        <w:tblStyle w:val="2"/>
        <w:tblW w:w="854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818"/>
        <w:gridCol w:w="5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85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一、行政许可类行政职权运行通用责任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7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运行环节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责任事项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7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(一)受理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     接收申请人提交的材料。若申请人提交的申请材料不齐全、不符合法定形式,应当一次性告知申请人必须补正的全部内容。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8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     受理或者不予受理行政许可申请,应当出具加盖行政机关专用印章和注明日期的书面凭证。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8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     依法说明不受理行政许可申请或者不予行政许可的理由。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7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(二)审查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     申请人提交的申请材料齐全、符合法定形式,能够当场作出决定的,当场作出书面的行政许可决定。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7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8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     根据法定条件和程序,需要对申请材料的实质内容进行核实的,行政机关应当指派2名以上工作人员进行核查。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7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8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     需依法举行听证的应当依法举行听证。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7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(三)决定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    对符合法定条件的申请人应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当在法定职权范围和期限内尽快作出准予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行政许可的决定。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7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8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     依法根据招标、拍卖结果或者考试成绩择优作出准予行政许可的决定。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7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8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     依法作出不予行政许可的书面决定的,应当说明理由,并告知申请人享有依法申请行政复议或者提起行政诉讼的权利。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7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8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     按法定项目和标准予以收费。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18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     作出的准予行政许可决定,应当予以公开,公众有权查阅。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(四)送达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     送达行政执法文书应当有送达回证,受送达人在送达回证上的签收日期为送达日期。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7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18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     送达程序参照民事诉讼法有关规定执行。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7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(五)事后监管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     建立健全监督制度,通过核查反映被许可人从事行政许可事项活动情况的有关材料,履行监督责任。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8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     建立随机抽查制度,对被许可人生产经营的产品依法进行抽样检查、检验、检测,对其生产经营场所依法进行实地检查。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     根据法律、行政法规的规定,对直接关系公共安全、人身健康、生命财产安全的重要设备、设施进行定期检验。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7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8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     实施监督检查时,应当将监督检查的情况和处理结果予以记录,由监督检查人员签字后归档。公众有权查阅监督检查记录。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7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18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     实施监督检查,不得妨碍被许可人正常的生产经营活动,不得索取或收受被许可人的财物,不得谋取其他利益。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A1"/>
    <w:rsid w:val="001361A1"/>
    <w:rsid w:val="006566C4"/>
    <w:rsid w:val="006D7686"/>
    <w:rsid w:val="2F3352DB"/>
    <w:rsid w:val="2FBE4591"/>
    <w:rsid w:val="68B968CB"/>
    <w:rsid w:val="7FCE7A50"/>
    <w:rsid w:val="7FFD1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4539</Words>
  <Characters>4568</Characters>
  <Lines>43</Lines>
  <Paragraphs>12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2017-09-01T17:16:00Z</dcterms:created>
  <dc:creator>wangpeng</dc:creator>
  <cp:lastModifiedBy>user</cp:lastModifiedBy>
  <dcterms:modified xsi:type="dcterms:W3CDTF">2023-10-20T14:07:41Z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7543CA6C976A476B972E6E3580E6CC2F</vt:lpwstr>
  </property>
</Properties>
</file>