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t>优抚对象医疗保障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法定办结时限：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20个工作日</w:t>
      </w:r>
    </w:p>
    <w:p>
      <w:pPr>
        <w:rPr>
          <w:rFonts w:hint="eastAsia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承诺办结时限：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20个工作日</w:t>
      </w: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lang w:val="en-US" w:eastAsia="zh-CN"/>
        </w:rPr>
        <w:drawing>
          <wp:inline distT="0" distB="0" distL="114300" distR="114300">
            <wp:extent cx="5273040" cy="6299835"/>
            <wp:effectExtent l="0" t="0" r="3810" b="5715"/>
            <wp:docPr id="9" name="图片 9" descr="16632174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6321745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7C44"/>
    <w:rsid w:val="174D28D1"/>
    <w:rsid w:val="2DC10A30"/>
    <w:rsid w:val="314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2022-09-15T04:17:00Z</dcterms:created>
  <dc:creator>DELL</dc:creator>
  <cp:lastModifiedBy>Administrator</cp:lastModifiedBy>
  <dcterms:modified xsi:type="dcterms:W3CDTF">2022-09-16T07:07:27Z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