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3</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行政职权运行通用责任清单</w:t>
      </w:r>
    </w:p>
    <w:p>
      <w:pPr>
        <w:rPr>
          <w:rFonts w:hint="eastAsia"/>
        </w:rPr>
      </w:pPr>
    </w:p>
    <w:tbl>
      <w:tblPr>
        <w:tblStyle w:val="4"/>
        <w:tblW w:w="8546" w:type="dxa"/>
        <w:tblCellSpacing w:w="0" w:type="dxa"/>
        <w:tblInd w:w="0" w:type="dxa"/>
        <w:tblLayout w:type="fixed"/>
        <w:tblCellMar>
          <w:top w:w="0" w:type="dxa"/>
          <w:left w:w="0" w:type="dxa"/>
          <w:bottom w:w="0" w:type="dxa"/>
          <w:right w:w="0" w:type="dxa"/>
        </w:tblCellMar>
      </w:tblPr>
      <w:tblGrid>
        <w:gridCol w:w="758"/>
        <w:gridCol w:w="1818"/>
        <w:gridCol w:w="5970"/>
      </w:tblGrid>
      <w:tr>
        <w:tblPrEx>
          <w:tblLayout w:type="fixed"/>
          <w:tblCellMar>
            <w:top w:w="0" w:type="dxa"/>
            <w:left w:w="0" w:type="dxa"/>
            <w:bottom w:w="0" w:type="dxa"/>
            <w:right w:w="0" w:type="dxa"/>
          </w:tblCellMar>
        </w:tblPrEx>
        <w:trPr>
          <w:trHeight w:val="750" w:hRule="atLeast"/>
          <w:tblCellSpacing w:w="0" w:type="dxa"/>
        </w:trPr>
        <w:tc>
          <w:tcPr>
            <w:tcW w:w="8546" w:type="dxa"/>
            <w:gridSpan w:val="3"/>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bCs/>
                <w:color w:val="auto"/>
                <w:kern w:val="0"/>
                <w:sz w:val="24"/>
                <w:szCs w:val="24"/>
              </w:rPr>
              <w:t>一、行政许可类行政职</w:t>
            </w:r>
            <w:r>
              <w:rPr>
                <w:rFonts w:hint="eastAsia" w:ascii="宋体" w:hAnsi="宋体" w:eastAsia="宋体" w:cs="宋体"/>
                <w:b/>
                <w:bCs/>
                <w:kern w:val="0"/>
                <w:sz w:val="24"/>
                <w:szCs w:val="24"/>
              </w:rPr>
              <w:t>权运行通用责任</w:t>
            </w:r>
            <w:r>
              <w:rPr>
                <w:rFonts w:hint="eastAsia" w:ascii="宋体" w:hAnsi="宋体" w:eastAsia="宋体" w:cs="宋体"/>
                <w:kern w:val="0"/>
                <w:sz w:val="24"/>
                <w:szCs w:val="24"/>
              </w:rPr>
              <w:t xml:space="preserve"> </w:t>
            </w:r>
          </w:p>
        </w:tc>
      </w:tr>
      <w:tr>
        <w:tblPrEx>
          <w:tblLayout w:type="fixed"/>
          <w:tblCellMar>
            <w:top w:w="0" w:type="dxa"/>
            <w:left w:w="0" w:type="dxa"/>
            <w:bottom w:w="0" w:type="dxa"/>
            <w:right w:w="0" w:type="dxa"/>
          </w:tblCellMar>
        </w:tblPrEx>
        <w:trPr>
          <w:trHeight w:val="75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Layout w:type="fixed"/>
          <w:tblCellMar>
            <w:top w:w="0" w:type="dxa"/>
            <w:left w:w="0" w:type="dxa"/>
            <w:bottom w:w="0" w:type="dxa"/>
            <w:right w:w="0" w:type="dxa"/>
          </w:tblCellMar>
        </w:tblPrEx>
        <w:trPr>
          <w:trHeight w:val="75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(一)受理</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接收申请人提交的材料。若申请人提交的申请材料不齐全、不符合法定形式,应当一次性告知申请人必须补正的全部内容。 </w:t>
            </w:r>
          </w:p>
        </w:tc>
      </w:tr>
      <w:tr>
        <w:tblPrEx>
          <w:tblLayout w:type="fixed"/>
          <w:tblCellMar>
            <w:top w:w="0" w:type="dxa"/>
            <w:left w:w="0" w:type="dxa"/>
            <w:bottom w:w="0" w:type="dxa"/>
            <w:right w:w="0" w:type="dxa"/>
          </w:tblCellMar>
        </w:tblPrEx>
        <w:trPr>
          <w:trHeight w:val="57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受理或者不予受理行政许可申请,应当出具加盖行政机关专用印章和注明日期的书面凭证。 </w:t>
            </w:r>
          </w:p>
        </w:tc>
      </w:tr>
      <w:tr>
        <w:tblPrEx>
          <w:tblLayout w:type="fixed"/>
          <w:tblCellMar>
            <w:top w:w="0" w:type="dxa"/>
            <w:left w:w="0" w:type="dxa"/>
            <w:bottom w:w="0" w:type="dxa"/>
            <w:right w:w="0" w:type="dxa"/>
          </w:tblCellMar>
        </w:tblPrEx>
        <w:trPr>
          <w:trHeight w:val="48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依法说明不受理行政许可申请或者不予行政许可的理由。 </w:t>
            </w:r>
          </w:p>
        </w:tc>
      </w:tr>
      <w:tr>
        <w:tblPrEx>
          <w:tblLayout w:type="fixed"/>
          <w:tblCellMar>
            <w:top w:w="0" w:type="dxa"/>
            <w:left w:w="0" w:type="dxa"/>
            <w:bottom w:w="0" w:type="dxa"/>
            <w:right w:w="0" w:type="dxa"/>
          </w:tblCellMar>
        </w:tblPrEx>
        <w:trPr>
          <w:trHeight w:val="73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(二)审查</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申请人提交的申请材料齐全、符合法定形式,能够当场作出决定的,当场作出书面的行政许可决定。   </w:t>
            </w:r>
          </w:p>
        </w:tc>
      </w:tr>
      <w:tr>
        <w:tblPrEx>
          <w:tblLayout w:type="fixed"/>
          <w:tblCellMar>
            <w:top w:w="0" w:type="dxa"/>
            <w:left w:w="0" w:type="dxa"/>
            <w:bottom w:w="0" w:type="dxa"/>
            <w:right w:w="0" w:type="dxa"/>
          </w:tblCellMar>
        </w:tblPrEx>
        <w:trPr>
          <w:trHeight w:val="76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根据法定条件和程序,需要对申请材料的实质内容进行核实的,行政机关应当指派2名以上工作人员进行核查。 </w:t>
            </w:r>
          </w:p>
        </w:tc>
      </w:tr>
      <w:tr>
        <w:tblPrEx>
          <w:tblLayout w:type="fixed"/>
          <w:tblCellMar>
            <w:top w:w="0" w:type="dxa"/>
            <w:left w:w="0" w:type="dxa"/>
            <w:bottom w:w="0" w:type="dxa"/>
            <w:right w:w="0" w:type="dxa"/>
          </w:tblCellMar>
        </w:tblPrEx>
        <w:trPr>
          <w:trHeight w:val="51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需依法举行听证的应当依法举行听证。 </w:t>
            </w:r>
          </w:p>
        </w:tc>
      </w:tr>
      <w:tr>
        <w:tblPrEx>
          <w:tblLayout w:type="fixed"/>
          <w:tblCellMar>
            <w:top w:w="0" w:type="dxa"/>
            <w:left w:w="0" w:type="dxa"/>
            <w:bottom w:w="0" w:type="dxa"/>
            <w:right w:w="0" w:type="dxa"/>
          </w:tblCellMar>
        </w:tblPrEx>
        <w:trPr>
          <w:trHeight w:val="69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(三)决定</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对符合法定条件的申请人应</w:t>
            </w:r>
            <w:r>
              <w:rPr>
                <w:rFonts w:hint="eastAsia" w:ascii="宋体" w:hAnsi="宋体" w:eastAsia="宋体" w:cs="宋体"/>
                <w:color w:val="000000"/>
                <w:kern w:val="0"/>
                <w:sz w:val="24"/>
                <w:szCs w:val="24"/>
              </w:rPr>
              <w:t>当在法定职权范围和期限内尽快作出准予</w:t>
            </w:r>
            <w:r>
              <w:rPr>
                <w:rFonts w:hint="eastAsia" w:ascii="宋体" w:hAnsi="宋体" w:eastAsia="宋体" w:cs="宋体"/>
                <w:kern w:val="0"/>
                <w:sz w:val="24"/>
                <w:szCs w:val="24"/>
              </w:rPr>
              <w:t xml:space="preserve">行政许可的决定。 </w:t>
            </w:r>
          </w:p>
        </w:tc>
      </w:tr>
      <w:tr>
        <w:tblPrEx>
          <w:tblLayout w:type="fixed"/>
          <w:tblCellMar>
            <w:top w:w="0" w:type="dxa"/>
            <w:left w:w="0" w:type="dxa"/>
            <w:bottom w:w="0" w:type="dxa"/>
            <w:right w:w="0" w:type="dxa"/>
          </w:tblCellMar>
        </w:tblPrEx>
        <w:trPr>
          <w:trHeight w:val="75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依法根据招标、拍卖结果或者考试成绩择优作出准予行政许可的决定。 </w:t>
            </w:r>
          </w:p>
        </w:tc>
      </w:tr>
      <w:tr>
        <w:tblPrEx>
          <w:tblLayout w:type="fixed"/>
          <w:tblCellMar>
            <w:top w:w="0" w:type="dxa"/>
            <w:left w:w="0" w:type="dxa"/>
            <w:bottom w:w="0" w:type="dxa"/>
            <w:right w:w="0" w:type="dxa"/>
          </w:tblCellMar>
        </w:tblPrEx>
        <w:trPr>
          <w:trHeight w:val="81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依法作出不予行政许可的书面决定的,应当说明理由,并告知申请人享有依法申请行政复议或者提起行政诉讼的权利。   </w:t>
            </w:r>
          </w:p>
        </w:tc>
      </w:tr>
      <w:tr>
        <w:tblPrEx>
          <w:tblLayout w:type="fixed"/>
          <w:tblCellMar>
            <w:top w:w="0" w:type="dxa"/>
            <w:left w:w="0" w:type="dxa"/>
            <w:bottom w:w="0" w:type="dxa"/>
            <w:right w:w="0" w:type="dxa"/>
          </w:tblCellMar>
        </w:tblPrEx>
        <w:trPr>
          <w:trHeight w:val="46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10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按法定项目和标准予以收费。 </w:t>
            </w:r>
          </w:p>
        </w:tc>
      </w:tr>
      <w:tr>
        <w:tblPrEx>
          <w:tblLayout w:type="fixed"/>
          <w:tblCellMar>
            <w:top w:w="0" w:type="dxa"/>
            <w:left w:w="0" w:type="dxa"/>
            <w:bottom w:w="0" w:type="dxa"/>
            <w:right w:w="0" w:type="dxa"/>
          </w:tblCellMar>
        </w:tblPrEx>
        <w:trPr>
          <w:trHeight w:val="37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11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作出的准予行政许可决定,应当予以公开,公众有权查阅。   </w:t>
            </w:r>
          </w:p>
        </w:tc>
      </w:tr>
      <w:tr>
        <w:tblPrEx>
          <w:tblLayout w:type="fixed"/>
          <w:tblCellMar>
            <w:top w:w="0" w:type="dxa"/>
            <w:left w:w="0" w:type="dxa"/>
            <w:bottom w:w="0" w:type="dxa"/>
            <w:right w:w="0" w:type="dxa"/>
          </w:tblCellMar>
        </w:tblPrEx>
        <w:trPr>
          <w:trHeight w:val="57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12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(四)送达</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送达行政执法文书应当有送达回证,受送达人在送达回证上的签收日期为送达日期。 </w:t>
            </w:r>
          </w:p>
        </w:tc>
      </w:tr>
      <w:tr>
        <w:tblPrEx>
          <w:tblLayout w:type="fixed"/>
          <w:tblCellMar>
            <w:top w:w="0" w:type="dxa"/>
            <w:left w:w="0" w:type="dxa"/>
            <w:bottom w:w="0" w:type="dxa"/>
            <w:right w:w="0" w:type="dxa"/>
          </w:tblCellMar>
        </w:tblPrEx>
        <w:trPr>
          <w:trHeight w:val="43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13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送达程序参照民事诉讼法有关规定执行。 </w:t>
            </w:r>
          </w:p>
        </w:tc>
      </w:tr>
      <w:tr>
        <w:tblPrEx>
          <w:tblLayout w:type="fixed"/>
          <w:tblCellMar>
            <w:top w:w="0" w:type="dxa"/>
            <w:left w:w="0" w:type="dxa"/>
            <w:bottom w:w="0" w:type="dxa"/>
            <w:right w:w="0" w:type="dxa"/>
          </w:tblCellMar>
        </w:tblPrEx>
        <w:trPr>
          <w:trHeight w:val="55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14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(五)事后监管</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建立健全监督制度,通过核查反映被许可人从事行政许可事项活动情况的有关材料,履行监督责任。 </w:t>
            </w:r>
          </w:p>
        </w:tc>
      </w:tr>
      <w:tr>
        <w:tblPrEx>
          <w:tblLayout w:type="fixed"/>
          <w:tblCellMar>
            <w:top w:w="0" w:type="dxa"/>
            <w:left w:w="0" w:type="dxa"/>
            <w:bottom w:w="0" w:type="dxa"/>
            <w:right w:w="0" w:type="dxa"/>
          </w:tblCellMar>
        </w:tblPrEx>
        <w:trPr>
          <w:trHeight w:val="57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15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建立随机抽查制度,对被许可人生产经营的产品依法进行抽样检查、检验、检测,对其生产经营场所依法进行实地检查。 </w:t>
            </w:r>
          </w:p>
        </w:tc>
      </w:tr>
      <w:tr>
        <w:tblPrEx>
          <w:tblLayout w:type="fixed"/>
          <w:tblCellMar>
            <w:top w:w="0" w:type="dxa"/>
            <w:left w:w="0" w:type="dxa"/>
            <w:bottom w:w="0" w:type="dxa"/>
            <w:right w:w="0" w:type="dxa"/>
          </w:tblCellMar>
        </w:tblPrEx>
        <w:trPr>
          <w:trHeight w:val="57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16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 xml:space="preserve">      根据法律、行政法规的规定,对直接关系公共安全、人身健康、生命财产安全的重要设备、设施进行定期检验。 </w:t>
            </w:r>
          </w:p>
        </w:tc>
      </w:tr>
      <w:tr>
        <w:tblPrEx>
          <w:tblLayout w:type="fixed"/>
          <w:tblCellMar>
            <w:top w:w="0" w:type="dxa"/>
            <w:left w:w="0" w:type="dxa"/>
            <w:bottom w:w="0" w:type="dxa"/>
            <w:right w:w="0" w:type="dxa"/>
          </w:tblCellMar>
        </w:tblPrEx>
        <w:trPr>
          <w:trHeight w:val="75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17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实施监督检查时,应当将监督检查的情况和处理结果予以记录,由监督检查人员签字后归档。公众有权查阅监督检查记录。 </w:t>
            </w:r>
          </w:p>
        </w:tc>
      </w:tr>
      <w:tr>
        <w:tblPrEx>
          <w:tblLayout w:type="fixed"/>
          <w:tblCellMar>
            <w:top w:w="0" w:type="dxa"/>
            <w:left w:w="0" w:type="dxa"/>
            <w:bottom w:w="0" w:type="dxa"/>
            <w:right w:w="0" w:type="dxa"/>
          </w:tblCellMar>
        </w:tblPrEx>
        <w:trPr>
          <w:trHeight w:val="58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18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实施监督检查,不得妨碍被许可人正常的生产经营活动,不得索取或收受被许可人的财物,不得谋取其他利益。 </w:t>
            </w:r>
          </w:p>
        </w:tc>
      </w:tr>
      <w:tr>
        <w:tblPrEx>
          <w:tblLayout w:type="fixed"/>
          <w:tblCellMar>
            <w:top w:w="0" w:type="dxa"/>
            <w:left w:w="0" w:type="dxa"/>
            <w:bottom w:w="0" w:type="dxa"/>
            <w:right w:w="0" w:type="dxa"/>
          </w:tblCellMar>
        </w:tblPrEx>
        <w:trPr>
          <w:trHeight w:val="735" w:hRule="atLeast"/>
          <w:tblCellSpacing w:w="0" w:type="dxa"/>
        </w:trPr>
        <w:tc>
          <w:tcPr>
            <w:tcW w:w="854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color w:val="auto"/>
                <w:kern w:val="0"/>
                <w:sz w:val="24"/>
                <w:szCs w:val="24"/>
              </w:rPr>
              <w:t>二、行政处罚</w:t>
            </w:r>
            <w:r>
              <w:rPr>
                <w:rFonts w:hint="eastAsia" w:ascii="宋体" w:hAnsi="宋体" w:eastAsia="宋体" w:cs="宋体"/>
                <w:b/>
                <w:bCs/>
                <w:kern w:val="0"/>
                <w:sz w:val="24"/>
                <w:szCs w:val="24"/>
              </w:rPr>
              <w:t>类行政职权运行通用责任清单</w:t>
            </w:r>
            <w:r>
              <w:rPr>
                <w:rFonts w:hint="eastAsia" w:ascii="宋体" w:hAnsi="宋体" w:eastAsia="宋体" w:cs="宋体"/>
                <w:kern w:val="0"/>
                <w:sz w:val="24"/>
                <w:szCs w:val="24"/>
              </w:rPr>
              <w:t xml:space="preserve"> </w:t>
            </w:r>
          </w:p>
        </w:tc>
      </w:tr>
      <w:tr>
        <w:tblPrEx>
          <w:tblLayout w:type="fixed"/>
          <w:tblCellMar>
            <w:top w:w="0" w:type="dxa"/>
            <w:left w:w="0" w:type="dxa"/>
            <w:bottom w:w="0" w:type="dxa"/>
            <w:right w:w="0" w:type="dxa"/>
          </w:tblCellMar>
        </w:tblPrEx>
        <w:trPr>
          <w:trHeight w:val="76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Layout w:type="fixed"/>
          <w:tblCellMar>
            <w:top w:w="0" w:type="dxa"/>
            <w:left w:w="0" w:type="dxa"/>
            <w:bottom w:w="0" w:type="dxa"/>
            <w:right w:w="0" w:type="dxa"/>
          </w:tblCellMar>
        </w:tblPrEx>
        <w:trPr>
          <w:trHeight w:val="43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(一)立案</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对符合立案条件的案件及时立案。 </w:t>
            </w:r>
          </w:p>
        </w:tc>
      </w:tr>
      <w:tr>
        <w:tblPrEx>
          <w:tblLayout w:type="fixed"/>
          <w:tblCellMar>
            <w:top w:w="0" w:type="dxa"/>
            <w:left w:w="0" w:type="dxa"/>
            <w:bottom w:w="0" w:type="dxa"/>
            <w:right w:w="0" w:type="dxa"/>
          </w:tblCellMar>
        </w:tblPrEx>
        <w:trPr>
          <w:trHeight w:val="45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(二)调查</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出示执法身份证件,表明执法身份。 </w:t>
            </w:r>
          </w:p>
        </w:tc>
      </w:tr>
      <w:tr>
        <w:tblPrEx>
          <w:tblLayout w:type="fixed"/>
          <w:tblCellMar>
            <w:top w:w="0" w:type="dxa"/>
            <w:left w:w="0" w:type="dxa"/>
            <w:bottom w:w="0" w:type="dxa"/>
            <w:right w:w="0" w:type="dxa"/>
          </w:tblCellMar>
        </w:tblPrEx>
        <w:trPr>
          <w:trHeight w:val="55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应当有2名以上(含2名)行政执法人员共同参加调查取证。 </w:t>
            </w:r>
          </w:p>
        </w:tc>
      </w:tr>
      <w:tr>
        <w:tblPrEx>
          <w:tblLayout w:type="fixed"/>
          <w:tblCellMar>
            <w:top w:w="0" w:type="dxa"/>
            <w:left w:w="0" w:type="dxa"/>
            <w:bottom w:w="0" w:type="dxa"/>
            <w:right w:w="0" w:type="dxa"/>
          </w:tblCellMar>
        </w:tblPrEx>
        <w:trPr>
          <w:trHeight w:val="52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依法调查和保存证据。 </w:t>
            </w:r>
          </w:p>
        </w:tc>
      </w:tr>
      <w:tr>
        <w:tblPrEx>
          <w:tblLayout w:type="fixed"/>
          <w:tblCellMar>
            <w:top w:w="0" w:type="dxa"/>
            <w:left w:w="0" w:type="dxa"/>
            <w:bottom w:w="0" w:type="dxa"/>
            <w:right w:w="0" w:type="dxa"/>
          </w:tblCellMar>
        </w:tblPrEx>
        <w:trPr>
          <w:trHeight w:val="69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适用简易程序的,当场制作行政处罚决定书并当场交付,在事后难以执行及特殊情况下应当当场收缴罚款。 </w:t>
            </w:r>
          </w:p>
        </w:tc>
      </w:tr>
      <w:tr>
        <w:tblPrEx>
          <w:tblLayout w:type="fixed"/>
          <w:tblCellMar>
            <w:top w:w="0" w:type="dxa"/>
            <w:left w:w="0" w:type="dxa"/>
            <w:bottom w:w="0" w:type="dxa"/>
            <w:right w:w="0" w:type="dxa"/>
          </w:tblCellMar>
        </w:tblPrEx>
        <w:trPr>
          <w:trHeight w:val="52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适用简易程序的,执法人员当场作出的行政处罚决定应当报所属行政机关备案。 </w:t>
            </w:r>
          </w:p>
        </w:tc>
      </w:tr>
      <w:tr>
        <w:tblPrEx>
          <w:tblLayout w:type="fixed"/>
          <w:tblCellMar>
            <w:top w:w="0" w:type="dxa"/>
            <w:left w:w="0" w:type="dxa"/>
            <w:bottom w:w="0" w:type="dxa"/>
            <w:right w:w="0" w:type="dxa"/>
          </w:tblCellMar>
        </w:tblPrEx>
        <w:trPr>
          <w:trHeight w:val="106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(三)审查</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审理案件调查报告,对案件违法事实、证据、调查取证程序、法律适用、处罚种类和幅度、当事人陈述和申辩理由等方面进行审查,提出处理意见(主要证据不足时,以适当的方式补充调查)。 </w:t>
            </w:r>
          </w:p>
        </w:tc>
      </w:tr>
      <w:tr>
        <w:tblPrEx>
          <w:tblLayout w:type="fixed"/>
          <w:tblCellMar>
            <w:top w:w="0" w:type="dxa"/>
            <w:left w:w="0" w:type="dxa"/>
            <w:bottom w:w="0" w:type="dxa"/>
            <w:right w:w="0" w:type="dxa"/>
          </w:tblCellMar>
        </w:tblPrEx>
        <w:trPr>
          <w:trHeight w:val="43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构成犯罪的,移送司法机关依法追究刑事责任。 </w:t>
            </w:r>
          </w:p>
        </w:tc>
      </w:tr>
      <w:tr>
        <w:tblPrEx>
          <w:tblLayout w:type="fixed"/>
          <w:tblCellMar>
            <w:top w:w="0" w:type="dxa"/>
            <w:left w:w="0" w:type="dxa"/>
            <w:bottom w:w="0" w:type="dxa"/>
            <w:right w:w="0" w:type="dxa"/>
          </w:tblCellMar>
        </w:tblPrEx>
        <w:trPr>
          <w:trHeight w:val="79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(四)告知</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在作出行政处罚前,应告知当事人作出行政处罚决定的事实、理由及依据,并告知当事人依法享有的权利。 </w:t>
            </w:r>
          </w:p>
        </w:tc>
      </w:tr>
      <w:tr>
        <w:tblPrEx>
          <w:tblLayout w:type="fixed"/>
          <w:tblCellMar>
            <w:top w:w="0" w:type="dxa"/>
            <w:left w:w="0" w:type="dxa"/>
            <w:bottom w:w="0" w:type="dxa"/>
            <w:right w:w="0" w:type="dxa"/>
          </w:tblCellMar>
        </w:tblPrEx>
        <w:trPr>
          <w:trHeight w:val="67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10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依法告知当事人有举行听证的权利,当事人要求听证的,应当依法组织听证。 </w:t>
            </w:r>
          </w:p>
        </w:tc>
      </w:tr>
      <w:tr>
        <w:tblPrEx>
          <w:tblLayout w:type="fixed"/>
          <w:tblCellMar>
            <w:top w:w="0" w:type="dxa"/>
            <w:left w:w="0" w:type="dxa"/>
            <w:bottom w:w="0" w:type="dxa"/>
            <w:right w:w="0" w:type="dxa"/>
          </w:tblCellMar>
        </w:tblPrEx>
        <w:trPr>
          <w:trHeight w:val="102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11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(五)决定</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充分听取当事人的意见,对当事人提出的事实、理由和证据,应当进行复核;当事人提出的事实、理由或者证据成立的,应当</w:t>
            </w:r>
            <w:r>
              <w:rPr>
                <w:rFonts w:hint="eastAsia" w:ascii="宋体" w:hAnsi="宋体" w:eastAsia="宋体" w:cs="宋体"/>
                <w:color w:val="000000"/>
                <w:kern w:val="0"/>
                <w:sz w:val="24"/>
                <w:szCs w:val="24"/>
              </w:rPr>
              <w:t>采纳,不得因当事人申辩而加重处罚。</w:t>
            </w:r>
            <w:r>
              <w:rPr>
                <w:rFonts w:hint="eastAsia" w:ascii="宋体" w:hAnsi="宋体" w:eastAsia="宋体" w:cs="宋体"/>
                <w:kern w:val="0"/>
                <w:sz w:val="24"/>
                <w:szCs w:val="24"/>
              </w:rPr>
              <w:t xml:space="preserve"> </w:t>
            </w:r>
          </w:p>
        </w:tc>
      </w:tr>
      <w:tr>
        <w:tblPrEx>
          <w:tblLayout w:type="fixed"/>
          <w:tblCellMar>
            <w:top w:w="0" w:type="dxa"/>
            <w:left w:w="0" w:type="dxa"/>
            <w:bottom w:w="0" w:type="dxa"/>
            <w:right w:w="0" w:type="dxa"/>
          </w:tblCellMar>
        </w:tblPrEx>
        <w:trPr>
          <w:trHeight w:val="76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12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对情节复杂或者重大违法行为给予较重的行政处罚,应当集体讨论决定。 </w:t>
            </w:r>
          </w:p>
        </w:tc>
      </w:tr>
      <w:tr>
        <w:tblPrEx>
          <w:tblLayout w:type="fixed"/>
          <w:tblCellMar>
            <w:top w:w="0" w:type="dxa"/>
            <w:left w:w="0" w:type="dxa"/>
            <w:bottom w:w="0" w:type="dxa"/>
            <w:right w:w="0" w:type="dxa"/>
          </w:tblCellMar>
        </w:tblPrEx>
        <w:trPr>
          <w:trHeight w:val="55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13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依法决定给予行政处罚,制作行政处罚决定书,并在处罚决定书中告知对处罚决定不服的可以依法申请行政复议或者提起行政诉讼。 </w:t>
            </w:r>
          </w:p>
        </w:tc>
      </w:tr>
      <w:tr>
        <w:tblPrEx>
          <w:tblLayout w:type="fixed"/>
          <w:tblCellMar>
            <w:top w:w="0" w:type="dxa"/>
            <w:left w:w="0" w:type="dxa"/>
            <w:bottom w:w="0" w:type="dxa"/>
            <w:right w:w="0" w:type="dxa"/>
          </w:tblCellMar>
        </w:tblPrEx>
        <w:trPr>
          <w:trHeight w:val="75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14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 xml:space="preserve">      对当事人的同一个违法行为,不得给予两次以上罚款的行政处罚。 </w:t>
            </w:r>
          </w:p>
        </w:tc>
      </w:tr>
      <w:tr>
        <w:tblPrEx>
          <w:tblLayout w:type="fixed"/>
          <w:tblCellMar>
            <w:top w:w="0" w:type="dxa"/>
            <w:left w:w="0" w:type="dxa"/>
            <w:bottom w:w="0" w:type="dxa"/>
            <w:right w:w="0" w:type="dxa"/>
          </w:tblCellMar>
        </w:tblPrEx>
        <w:trPr>
          <w:trHeight w:val="73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15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实施行政处罚时,应当责令当事人改正或者限期改正违法行为。 </w:t>
            </w:r>
          </w:p>
        </w:tc>
      </w:tr>
      <w:tr>
        <w:tblPrEx>
          <w:tblLayout w:type="fixed"/>
          <w:tblCellMar>
            <w:top w:w="0" w:type="dxa"/>
            <w:left w:w="0" w:type="dxa"/>
            <w:bottom w:w="0" w:type="dxa"/>
            <w:right w:w="0" w:type="dxa"/>
          </w:tblCellMar>
        </w:tblPrEx>
        <w:trPr>
          <w:trHeight w:val="106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16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(六)送达</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行政处罚决定书应当在宣告后当场交付当事人;当事人不在场的,行政机关应当在7日内依照民事诉讼法的有关规定,将行政处罚决定书送达当事人。 </w:t>
            </w:r>
          </w:p>
        </w:tc>
      </w:tr>
      <w:tr>
        <w:tblPrEx>
          <w:tblLayout w:type="fixed"/>
          <w:tblCellMar>
            <w:top w:w="0" w:type="dxa"/>
            <w:left w:w="0" w:type="dxa"/>
            <w:bottom w:w="0" w:type="dxa"/>
            <w:right w:w="0" w:type="dxa"/>
          </w:tblCellMar>
        </w:tblPrEx>
        <w:trPr>
          <w:trHeight w:val="55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17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(七)执行</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使用法定部门制发的罚款、没收财物单据进行罚款、没收财物等处罚。 </w:t>
            </w:r>
          </w:p>
        </w:tc>
      </w:tr>
      <w:tr>
        <w:tblPrEx>
          <w:tblLayout w:type="fixed"/>
          <w:tblCellMar>
            <w:top w:w="0" w:type="dxa"/>
            <w:left w:w="0" w:type="dxa"/>
            <w:bottom w:w="0" w:type="dxa"/>
            <w:right w:w="0" w:type="dxa"/>
          </w:tblCellMar>
        </w:tblPrEx>
        <w:trPr>
          <w:trHeight w:val="54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18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对当事人的同一个违法行为,不得给予两次以上罚款的行政处罚。 </w:t>
            </w:r>
          </w:p>
        </w:tc>
      </w:tr>
      <w:tr>
        <w:tblPrEx>
          <w:tblLayout w:type="fixed"/>
          <w:tblCellMar>
            <w:top w:w="0" w:type="dxa"/>
            <w:left w:w="0" w:type="dxa"/>
            <w:bottom w:w="0" w:type="dxa"/>
            <w:right w:w="0" w:type="dxa"/>
          </w:tblCellMar>
        </w:tblPrEx>
        <w:trPr>
          <w:trHeight w:val="51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19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实施行政处罚时,应当责令当事人改正或者限期改正违法行为。 </w:t>
            </w:r>
          </w:p>
        </w:tc>
      </w:tr>
      <w:tr>
        <w:tblPrEx>
          <w:tblLayout w:type="fixed"/>
          <w:tblCellMar>
            <w:top w:w="0" w:type="dxa"/>
            <w:left w:w="0" w:type="dxa"/>
            <w:bottom w:w="0" w:type="dxa"/>
            <w:right w:w="0" w:type="dxa"/>
          </w:tblCellMar>
        </w:tblPrEx>
        <w:trPr>
          <w:trHeight w:val="750" w:hRule="atLeast"/>
          <w:tblCellSpacing w:w="0" w:type="dxa"/>
        </w:trPr>
        <w:tc>
          <w:tcPr>
            <w:tcW w:w="854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color w:val="auto"/>
                <w:kern w:val="0"/>
                <w:sz w:val="24"/>
                <w:szCs w:val="24"/>
              </w:rPr>
              <w:t>三、行政确认类行政职权运行通用责任清单</w:t>
            </w:r>
            <w:r>
              <w:rPr>
                <w:rFonts w:hint="eastAsia" w:ascii="宋体" w:hAnsi="宋体" w:eastAsia="宋体" w:cs="宋体"/>
                <w:color w:val="auto"/>
                <w:kern w:val="0"/>
                <w:sz w:val="24"/>
                <w:szCs w:val="24"/>
              </w:rPr>
              <w:t xml:space="preserve"> </w:t>
            </w:r>
          </w:p>
        </w:tc>
      </w:tr>
      <w:tr>
        <w:tblPrEx>
          <w:tblLayout w:type="fixed"/>
          <w:tblCellMar>
            <w:top w:w="0" w:type="dxa"/>
            <w:left w:w="0" w:type="dxa"/>
            <w:bottom w:w="0" w:type="dxa"/>
            <w:right w:w="0" w:type="dxa"/>
          </w:tblCellMar>
        </w:tblPrEx>
        <w:trPr>
          <w:trHeight w:val="75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Layout w:type="fixed"/>
          <w:tblCellMar>
            <w:top w:w="0" w:type="dxa"/>
            <w:left w:w="0" w:type="dxa"/>
            <w:bottom w:w="0" w:type="dxa"/>
            <w:right w:w="0" w:type="dxa"/>
          </w:tblCellMar>
        </w:tblPrEx>
        <w:trPr>
          <w:trHeight w:val="54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(一)受理</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对符合确认条件的,当场受理。 </w:t>
            </w:r>
          </w:p>
        </w:tc>
      </w:tr>
      <w:tr>
        <w:tblPrEx>
          <w:tblLayout w:type="fixed"/>
          <w:tblCellMar>
            <w:top w:w="0" w:type="dxa"/>
            <w:left w:w="0" w:type="dxa"/>
            <w:bottom w:w="0" w:type="dxa"/>
            <w:right w:w="0" w:type="dxa"/>
          </w:tblCellMar>
        </w:tblPrEx>
        <w:trPr>
          <w:trHeight w:val="79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18" w:type="dxa"/>
            <w:vMerge w:val="continue"/>
            <w:tcBorders>
              <w:top w:val="nil"/>
              <w:left w:val="nil"/>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申请材料不齐全或者不符合法定形式的,应当一次性告知申请人需要补正的全部内容和合理的补正期限。 </w:t>
            </w:r>
          </w:p>
        </w:tc>
      </w:tr>
      <w:tr>
        <w:tblPrEx>
          <w:tblLayout w:type="fixed"/>
          <w:tblCellMar>
            <w:top w:w="0" w:type="dxa"/>
            <w:left w:w="0" w:type="dxa"/>
            <w:bottom w:w="0" w:type="dxa"/>
            <w:right w:w="0" w:type="dxa"/>
          </w:tblCellMar>
        </w:tblPrEx>
        <w:trPr>
          <w:trHeight w:val="78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18" w:type="dxa"/>
            <w:vMerge w:val="continue"/>
            <w:tcBorders>
              <w:top w:val="nil"/>
              <w:left w:val="nil"/>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对不符合受理条件的,应当书面告知办理人不予办理行政确认的理由和依据。 </w:t>
            </w:r>
          </w:p>
        </w:tc>
      </w:tr>
      <w:tr>
        <w:tblPrEx>
          <w:tblLayout w:type="fixed"/>
          <w:tblCellMar>
            <w:top w:w="0" w:type="dxa"/>
            <w:left w:w="0" w:type="dxa"/>
            <w:bottom w:w="0" w:type="dxa"/>
            <w:right w:w="0" w:type="dxa"/>
          </w:tblCellMar>
        </w:tblPrEx>
        <w:trPr>
          <w:trHeight w:val="43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(二)确认</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在法定期限(承诺期限)内完成确认。 </w:t>
            </w:r>
          </w:p>
        </w:tc>
      </w:tr>
      <w:tr>
        <w:tblPrEx>
          <w:tblLayout w:type="fixed"/>
          <w:tblCellMar>
            <w:top w:w="0" w:type="dxa"/>
            <w:left w:w="0" w:type="dxa"/>
            <w:bottom w:w="0" w:type="dxa"/>
            <w:right w:w="0" w:type="dxa"/>
          </w:tblCellMar>
        </w:tblPrEx>
        <w:trPr>
          <w:trHeight w:val="81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18" w:type="dxa"/>
            <w:vMerge w:val="continue"/>
            <w:tcBorders>
              <w:top w:val="nil"/>
              <w:left w:val="nil"/>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严格按照流程图规定进行研究确认,不得提高确认标准、扩大确认范围等。 </w:t>
            </w:r>
          </w:p>
        </w:tc>
      </w:tr>
      <w:tr>
        <w:tblPrEx>
          <w:tblLayout w:type="fixed"/>
          <w:tblCellMar>
            <w:top w:w="0" w:type="dxa"/>
            <w:left w:w="0" w:type="dxa"/>
            <w:bottom w:w="0" w:type="dxa"/>
            <w:right w:w="0" w:type="dxa"/>
          </w:tblCellMar>
        </w:tblPrEx>
        <w:trPr>
          <w:trHeight w:val="76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18" w:type="dxa"/>
            <w:vMerge w:val="continue"/>
            <w:tcBorders>
              <w:top w:val="nil"/>
              <w:left w:val="nil"/>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按照一定的技术规范要求以书面形式作出决定,并发放确认文书。 </w:t>
            </w:r>
          </w:p>
        </w:tc>
      </w:tr>
      <w:tr>
        <w:tblPrEx>
          <w:tblLayout w:type="fixed"/>
          <w:tblCellMar>
            <w:top w:w="0" w:type="dxa"/>
            <w:left w:w="0" w:type="dxa"/>
            <w:bottom w:w="0" w:type="dxa"/>
            <w:right w:w="0" w:type="dxa"/>
          </w:tblCellMar>
        </w:tblPrEx>
        <w:trPr>
          <w:trHeight w:val="54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18" w:type="dxa"/>
            <w:vMerge w:val="continue"/>
            <w:tcBorders>
              <w:top w:val="nil"/>
              <w:left w:val="nil"/>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不符合确认要求的不予确认,并说明理由。 </w:t>
            </w:r>
          </w:p>
        </w:tc>
      </w:tr>
      <w:tr>
        <w:tblPrEx>
          <w:tblLayout w:type="fixed"/>
          <w:tblCellMar>
            <w:top w:w="0" w:type="dxa"/>
            <w:left w:w="0" w:type="dxa"/>
            <w:bottom w:w="0" w:type="dxa"/>
            <w:right w:w="0" w:type="dxa"/>
          </w:tblCellMar>
        </w:tblPrEx>
        <w:trPr>
          <w:trHeight w:val="57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(三)送达</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送达程序参照民事诉讼法有关规定执行。 </w:t>
            </w:r>
          </w:p>
        </w:tc>
      </w:tr>
      <w:tr>
        <w:tblPrEx>
          <w:tblLayout w:type="fixed"/>
          <w:tblCellMar>
            <w:top w:w="0" w:type="dxa"/>
            <w:left w:w="0" w:type="dxa"/>
            <w:bottom w:w="0" w:type="dxa"/>
            <w:right w:w="0" w:type="dxa"/>
          </w:tblCellMar>
        </w:tblPrEx>
        <w:trPr>
          <w:trHeight w:val="78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(四)事后监管</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建立健全事后监管制度,依法履行监督责任。 </w:t>
            </w:r>
          </w:p>
        </w:tc>
      </w:tr>
      <w:tr>
        <w:tblPrEx>
          <w:tblLayout w:type="fixed"/>
          <w:tblCellMar>
            <w:top w:w="0" w:type="dxa"/>
            <w:left w:w="0" w:type="dxa"/>
            <w:bottom w:w="0" w:type="dxa"/>
            <w:right w:w="0" w:type="dxa"/>
          </w:tblCellMar>
        </w:tblPrEx>
        <w:trPr>
          <w:trHeight w:val="990" w:hRule="atLeast"/>
          <w:tblCellSpacing w:w="0" w:type="dxa"/>
        </w:trPr>
        <w:tc>
          <w:tcPr>
            <w:tcW w:w="854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四、行政强制类(行政强制措施)行政职权运行通用责任清单</w:t>
            </w:r>
            <w:r>
              <w:rPr>
                <w:rFonts w:hint="eastAsia" w:ascii="宋体" w:hAnsi="宋体" w:eastAsia="宋体" w:cs="宋体"/>
                <w:color w:val="auto"/>
                <w:kern w:val="0"/>
                <w:sz w:val="24"/>
                <w:szCs w:val="24"/>
              </w:rPr>
              <w:t xml:space="preserve"> </w:t>
            </w:r>
          </w:p>
        </w:tc>
      </w:tr>
      <w:tr>
        <w:tblPrEx>
          <w:tblLayout w:type="fixed"/>
          <w:tblCellMar>
            <w:top w:w="0" w:type="dxa"/>
            <w:left w:w="0" w:type="dxa"/>
            <w:bottom w:w="0" w:type="dxa"/>
            <w:right w:w="0" w:type="dxa"/>
          </w:tblCellMar>
        </w:tblPrEx>
        <w:trPr>
          <w:trHeight w:val="75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Layout w:type="fixed"/>
          <w:tblCellMar>
            <w:top w:w="0" w:type="dxa"/>
            <w:left w:w="0" w:type="dxa"/>
            <w:bottom w:w="0" w:type="dxa"/>
            <w:right w:w="0" w:type="dxa"/>
          </w:tblCellMar>
        </w:tblPrEx>
        <w:trPr>
          <w:trHeight w:val="37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(一)决定</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实施前应当先报告,经批准后作出实施行政强制措施的决定。 </w:t>
            </w:r>
          </w:p>
        </w:tc>
      </w:tr>
      <w:tr>
        <w:tblPrEx>
          <w:tblLayout w:type="fixed"/>
          <w:tblCellMar>
            <w:top w:w="0" w:type="dxa"/>
            <w:left w:w="0" w:type="dxa"/>
            <w:bottom w:w="0" w:type="dxa"/>
            <w:right w:w="0" w:type="dxa"/>
          </w:tblCellMar>
        </w:tblPrEx>
        <w:trPr>
          <w:trHeight w:val="37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批准实施行政强制措施应当符合法定条件。 </w:t>
            </w:r>
          </w:p>
        </w:tc>
      </w:tr>
      <w:tr>
        <w:tblPrEx>
          <w:tblLayout w:type="fixed"/>
          <w:tblCellMar>
            <w:top w:w="0" w:type="dxa"/>
            <w:left w:w="0" w:type="dxa"/>
            <w:bottom w:w="0" w:type="dxa"/>
            <w:right w:w="0" w:type="dxa"/>
          </w:tblCellMar>
        </w:tblPrEx>
        <w:trPr>
          <w:trHeight w:val="37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(二)执行</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由2名以上具备资格的行政执法人员实施,其他人员不得实施。</w:t>
            </w:r>
            <w:r>
              <w:rPr>
                <w:rFonts w:hint="eastAsia" w:ascii="宋体" w:hAnsi="宋体" w:eastAsia="宋体" w:cs="宋体"/>
                <w:kern w:val="0"/>
                <w:sz w:val="24"/>
                <w:szCs w:val="24"/>
              </w:rPr>
              <w:t xml:space="preserve"> </w:t>
            </w:r>
          </w:p>
        </w:tc>
      </w:tr>
      <w:tr>
        <w:tblPrEx>
          <w:tblLayout w:type="fixed"/>
          <w:tblCellMar>
            <w:top w:w="0" w:type="dxa"/>
            <w:left w:w="0" w:type="dxa"/>
            <w:bottom w:w="0" w:type="dxa"/>
            <w:right w:w="0" w:type="dxa"/>
          </w:tblCellMar>
        </w:tblPrEx>
        <w:trPr>
          <w:trHeight w:val="37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行政执法人员应当现场出示执法身份证件。 </w:t>
            </w:r>
          </w:p>
        </w:tc>
      </w:tr>
      <w:tr>
        <w:tblPrEx>
          <w:tblLayout w:type="fixed"/>
          <w:tblCellMar>
            <w:top w:w="0" w:type="dxa"/>
            <w:left w:w="0" w:type="dxa"/>
            <w:bottom w:w="0" w:type="dxa"/>
            <w:right w:w="0" w:type="dxa"/>
          </w:tblCellMar>
        </w:tblPrEx>
        <w:trPr>
          <w:trHeight w:val="100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实施行政强制措施时应当通知当事人到场,并告知当事人采取行政强制措施的理由、依据以及当事人依法享有的权利、救济途径。 </w:t>
            </w:r>
          </w:p>
        </w:tc>
      </w:tr>
      <w:tr>
        <w:tblPrEx>
          <w:tblLayout w:type="fixed"/>
          <w:tblCellMar>
            <w:top w:w="0" w:type="dxa"/>
            <w:left w:w="0" w:type="dxa"/>
            <w:bottom w:w="0" w:type="dxa"/>
            <w:right w:w="0" w:type="dxa"/>
          </w:tblCellMar>
        </w:tblPrEx>
        <w:trPr>
          <w:trHeight w:val="108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充分听取当事人的意见,对当事人提出的事实、理由和证据,应当进行复核,当事人提出的事实、理由或者证据成立的,应当采纳。 </w:t>
            </w:r>
          </w:p>
        </w:tc>
      </w:tr>
      <w:tr>
        <w:tblPrEx>
          <w:tblLayout w:type="fixed"/>
          <w:tblCellMar>
            <w:top w:w="0" w:type="dxa"/>
            <w:left w:w="0" w:type="dxa"/>
            <w:bottom w:w="0" w:type="dxa"/>
            <w:right w:w="0" w:type="dxa"/>
          </w:tblCellMar>
        </w:tblPrEx>
        <w:trPr>
          <w:trHeight w:val="141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制作现场笔录,现场笔录由当事人和行政执法人员签名或者盖章,当事人拒绝的,在笔录中予以注明。当事人不到场的,邀请见证人到场,由见证人和行政执法人员在现场笔录上签名或者盖章。 </w:t>
            </w:r>
          </w:p>
        </w:tc>
      </w:tr>
      <w:tr>
        <w:tblPrEx>
          <w:tblLayout w:type="fixed"/>
          <w:tblCellMar>
            <w:top w:w="0" w:type="dxa"/>
            <w:left w:w="0" w:type="dxa"/>
            <w:bottom w:w="0" w:type="dxa"/>
            <w:right w:w="0" w:type="dxa"/>
          </w:tblCellMar>
        </w:tblPrEx>
        <w:trPr>
          <w:trHeight w:val="106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实施限制公民人身自由的行政强制措施,应当场告知或者实施行政强制措施后立即通知当事人家属实施行政强制措施的行政机关、地点和期限。 </w:t>
            </w:r>
          </w:p>
        </w:tc>
      </w:tr>
      <w:tr>
        <w:tblPrEx>
          <w:tblLayout w:type="fixed"/>
          <w:tblCellMar>
            <w:top w:w="0" w:type="dxa"/>
            <w:left w:w="0" w:type="dxa"/>
            <w:bottom w:w="0" w:type="dxa"/>
            <w:right w:w="0" w:type="dxa"/>
          </w:tblCellMar>
        </w:tblPrEx>
        <w:trPr>
          <w:trHeight w:val="76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对依法应当没收或法律、行政法规规定应当销毁的,应当依法予以没收或销毁。 </w:t>
            </w:r>
          </w:p>
        </w:tc>
      </w:tr>
      <w:tr>
        <w:tblPrEx>
          <w:tblLayout w:type="fixed"/>
          <w:tblCellMar>
            <w:top w:w="0" w:type="dxa"/>
            <w:left w:w="0" w:type="dxa"/>
            <w:bottom w:w="0" w:type="dxa"/>
            <w:right w:w="0" w:type="dxa"/>
          </w:tblCellMar>
        </w:tblPrEx>
        <w:trPr>
          <w:trHeight w:val="72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10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情况紧急,需要当场实施行政强制措施的,行政执法人员应当在24小时内向行政机关负责人报告,并补办批准手续。 </w:t>
            </w:r>
          </w:p>
        </w:tc>
      </w:tr>
      <w:tr>
        <w:tblPrEx>
          <w:tblLayout w:type="fixed"/>
          <w:tblCellMar>
            <w:top w:w="0" w:type="dxa"/>
            <w:left w:w="0" w:type="dxa"/>
            <w:bottom w:w="0" w:type="dxa"/>
            <w:right w:w="0" w:type="dxa"/>
          </w:tblCellMar>
        </w:tblPrEx>
        <w:trPr>
          <w:trHeight w:val="76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11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(三)解除</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对符合解除行政强制措施条件的,应当依法解除行政强制措施。 </w:t>
            </w:r>
          </w:p>
        </w:tc>
      </w:tr>
      <w:tr>
        <w:tblPrEx>
          <w:tblLayout w:type="fixed"/>
          <w:tblCellMar>
            <w:top w:w="0" w:type="dxa"/>
            <w:left w:w="0" w:type="dxa"/>
            <w:bottom w:w="0" w:type="dxa"/>
            <w:right w:w="0" w:type="dxa"/>
          </w:tblCellMar>
        </w:tblPrEx>
        <w:trPr>
          <w:trHeight w:val="37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12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对构成犯罪的,依法、及时移送司法机关。 </w:t>
            </w:r>
          </w:p>
        </w:tc>
      </w:tr>
      <w:tr>
        <w:tblPrEx>
          <w:tblLayout w:type="fixed"/>
          <w:tblCellMar>
            <w:top w:w="0" w:type="dxa"/>
            <w:left w:w="0" w:type="dxa"/>
            <w:bottom w:w="0" w:type="dxa"/>
            <w:right w:w="0" w:type="dxa"/>
          </w:tblCellMar>
        </w:tblPrEx>
        <w:trPr>
          <w:trHeight w:val="79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13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(四)事后监管</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建立健全事后监管制度,依法履行监督责任。 </w:t>
            </w:r>
          </w:p>
        </w:tc>
      </w:tr>
      <w:tr>
        <w:tblPrEx>
          <w:tblLayout w:type="fixed"/>
          <w:tblCellMar>
            <w:top w:w="0" w:type="dxa"/>
            <w:left w:w="0" w:type="dxa"/>
            <w:bottom w:w="0" w:type="dxa"/>
            <w:right w:w="0" w:type="dxa"/>
          </w:tblCellMar>
        </w:tblPrEx>
        <w:trPr>
          <w:trHeight w:val="960" w:hRule="atLeast"/>
          <w:tblCellSpacing w:w="0" w:type="dxa"/>
        </w:trPr>
        <w:tc>
          <w:tcPr>
            <w:tcW w:w="854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color w:val="auto"/>
                <w:kern w:val="0"/>
                <w:sz w:val="24"/>
                <w:szCs w:val="24"/>
              </w:rPr>
              <w:t>五、行政强制类(行</w:t>
            </w:r>
            <w:r>
              <w:rPr>
                <w:rFonts w:hint="eastAsia" w:ascii="宋体" w:hAnsi="宋体" w:eastAsia="宋体" w:cs="宋体"/>
                <w:b/>
                <w:bCs/>
                <w:kern w:val="0"/>
                <w:sz w:val="24"/>
                <w:szCs w:val="24"/>
              </w:rPr>
              <w:t>政强制执行)行政职权运行通用责任清单</w:t>
            </w:r>
            <w:r>
              <w:rPr>
                <w:rFonts w:hint="eastAsia" w:ascii="宋体" w:hAnsi="宋体" w:eastAsia="宋体" w:cs="宋体"/>
                <w:kern w:val="0"/>
                <w:sz w:val="24"/>
                <w:szCs w:val="24"/>
              </w:rPr>
              <w:t xml:space="preserve"> </w:t>
            </w:r>
          </w:p>
        </w:tc>
      </w:tr>
      <w:tr>
        <w:tblPrEx>
          <w:tblLayout w:type="fixed"/>
          <w:tblCellMar>
            <w:top w:w="0" w:type="dxa"/>
            <w:left w:w="0" w:type="dxa"/>
            <w:bottom w:w="0" w:type="dxa"/>
            <w:right w:w="0" w:type="dxa"/>
          </w:tblCellMar>
        </w:tblPrEx>
        <w:trPr>
          <w:trHeight w:val="76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Layout w:type="fixed"/>
          <w:tblCellMar>
            <w:top w:w="0" w:type="dxa"/>
            <w:left w:w="0" w:type="dxa"/>
            <w:bottom w:w="0" w:type="dxa"/>
            <w:right w:w="0" w:type="dxa"/>
          </w:tblCellMar>
        </w:tblPrEx>
        <w:trPr>
          <w:trHeight w:val="70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(一)催告</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行政机关作出强制执行决定前,应当事先书面催告当事人履行义务。 </w:t>
            </w:r>
          </w:p>
        </w:tc>
      </w:tr>
      <w:tr>
        <w:tblPrEx>
          <w:tblLayout w:type="fixed"/>
          <w:tblCellMar>
            <w:top w:w="0" w:type="dxa"/>
            <w:left w:w="0" w:type="dxa"/>
            <w:bottom w:w="0" w:type="dxa"/>
            <w:right w:w="0" w:type="dxa"/>
          </w:tblCellMar>
        </w:tblPrEx>
        <w:trPr>
          <w:trHeight w:val="81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催告书应当直接送达当事人。当事人拒绝接收或者无法直接送达当事人的,依照民事诉讼法的有关规定送达。 </w:t>
            </w:r>
          </w:p>
        </w:tc>
      </w:tr>
      <w:tr>
        <w:tblPrEx>
          <w:tblLayout w:type="fixed"/>
          <w:tblCellMar>
            <w:top w:w="0" w:type="dxa"/>
            <w:left w:w="0" w:type="dxa"/>
            <w:bottom w:w="0" w:type="dxa"/>
            <w:right w:w="0" w:type="dxa"/>
          </w:tblCellMar>
        </w:tblPrEx>
        <w:trPr>
          <w:trHeight w:val="73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催告期间,对有证据证明有转移或者隐匿财物迹象的,可以作出立即强制执行决定。 </w:t>
            </w:r>
          </w:p>
        </w:tc>
      </w:tr>
      <w:tr>
        <w:tblPrEx>
          <w:tblLayout w:type="fixed"/>
          <w:tblCellMar>
            <w:top w:w="0" w:type="dxa"/>
            <w:left w:w="0" w:type="dxa"/>
            <w:bottom w:w="0" w:type="dxa"/>
            <w:right w:w="0" w:type="dxa"/>
          </w:tblCellMar>
        </w:tblPrEx>
        <w:trPr>
          <w:trHeight w:val="102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(二)决定</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充分听取当事人的意见,对当事人提出的事实、理由和证据,应当进行记录、复核。当事人提出的事实、理由或者证据成立的,应当采纳。 </w:t>
            </w:r>
          </w:p>
        </w:tc>
      </w:tr>
      <w:tr>
        <w:tblPrEx>
          <w:tblLayout w:type="fixed"/>
          <w:tblCellMar>
            <w:top w:w="0" w:type="dxa"/>
            <w:left w:w="0" w:type="dxa"/>
            <w:bottom w:w="0" w:type="dxa"/>
            <w:right w:w="0" w:type="dxa"/>
          </w:tblCellMar>
        </w:tblPrEx>
        <w:trPr>
          <w:trHeight w:val="76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经催告,当事人逾期仍不履行行政决定,且无正当理由的,应当作出书面强制执行决定。 </w:t>
            </w:r>
          </w:p>
        </w:tc>
      </w:tr>
      <w:tr>
        <w:tblPrEx>
          <w:tblLayout w:type="fixed"/>
          <w:tblCellMar>
            <w:top w:w="0" w:type="dxa"/>
            <w:left w:w="0" w:type="dxa"/>
            <w:bottom w:w="0" w:type="dxa"/>
            <w:right w:w="0" w:type="dxa"/>
          </w:tblCellMar>
        </w:tblPrEx>
        <w:trPr>
          <w:trHeight w:val="106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行政强制执行决定书催告书应当直接送达当事人。当事人拒绝接收或者无法直接送达当事人的,依照民事诉讼法的有关规定送达。 </w:t>
            </w:r>
          </w:p>
        </w:tc>
      </w:tr>
      <w:tr>
        <w:tblPrEx>
          <w:tblLayout w:type="fixed"/>
          <w:tblCellMar>
            <w:top w:w="0" w:type="dxa"/>
            <w:left w:w="0" w:type="dxa"/>
            <w:bottom w:w="0" w:type="dxa"/>
            <w:right w:w="0" w:type="dxa"/>
          </w:tblCellMar>
        </w:tblPrEx>
        <w:trPr>
          <w:trHeight w:val="58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(三)执行</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依法实施行政强制执行。 </w:t>
            </w:r>
          </w:p>
        </w:tc>
      </w:tr>
      <w:tr>
        <w:tblPrEx>
          <w:tblLayout w:type="fixed"/>
          <w:tblCellMar>
            <w:top w:w="0" w:type="dxa"/>
            <w:left w:w="0" w:type="dxa"/>
            <w:bottom w:w="0" w:type="dxa"/>
            <w:right w:w="0" w:type="dxa"/>
          </w:tblCellMar>
        </w:tblPrEx>
        <w:trPr>
          <w:trHeight w:val="111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不得在夜间或者法定节假日实施行政强制执行,情况紧急的除外;不得对居民生活采取停止供水、供电、供热、供燃气等方式迫使当事人履行相关行政决定。 </w:t>
            </w:r>
          </w:p>
        </w:tc>
      </w:tr>
      <w:tr>
        <w:tblPrEx>
          <w:tblLayout w:type="fixed"/>
          <w:tblCellMar>
            <w:top w:w="0" w:type="dxa"/>
            <w:left w:w="0" w:type="dxa"/>
            <w:bottom w:w="0" w:type="dxa"/>
            <w:right w:w="0" w:type="dxa"/>
          </w:tblCellMar>
        </w:tblPrEx>
        <w:trPr>
          <w:trHeight w:val="99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对违法的建筑物、构筑物、设施等需要强制拆除的,应当予以公告,限期当事人自行拆除。当事人在法定期限内不申请行政复议或者提起行政诉讼,又不拆除的,可依法强制拆除。 </w:t>
            </w:r>
          </w:p>
        </w:tc>
      </w:tr>
      <w:tr>
        <w:tblPrEx>
          <w:tblLayout w:type="fixed"/>
          <w:tblCellMar>
            <w:top w:w="0" w:type="dxa"/>
            <w:left w:w="0" w:type="dxa"/>
            <w:bottom w:w="0" w:type="dxa"/>
            <w:right w:w="0" w:type="dxa"/>
          </w:tblCellMar>
        </w:tblPrEx>
        <w:trPr>
          <w:trHeight w:val="108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10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划拨的存款、汇款以及拍卖和依法处理所得的款项应当上缴国库或者划入财政专户,不得以任何形式截留、私分或者变相私分。 </w:t>
            </w:r>
          </w:p>
        </w:tc>
      </w:tr>
      <w:tr>
        <w:tblPrEx>
          <w:tblLayout w:type="fixed"/>
          <w:tblCellMar>
            <w:top w:w="0" w:type="dxa"/>
            <w:left w:w="0" w:type="dxa"/>
            <w:bottom w:w="0" w:type="dxa"/>
            <w:right w:w="0" w:type="dxa"/>
          </w:tblCellMar>
        </w:tblPrEx>
        <w:trPr>
          <w:trHeight w:val="79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11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(四)事后监管</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建立健全事后监管制度,依法履行监督责任。 </w:t>
            </w:r>
          </w:p>
        </w:tc>
      </w:tr>
      <w:tr>
        <w:tblPrEx>
          <w:tblLayout w:type="fixed"/>
          <w:tblCellMar>
            <w:top w:w="0" w:type="dxa"/>
            <w:left w:w="0" w:type="dxa"/>
            <w:bottom w:w="0" w:type="dxa"/>
            <w:right w:w="0" w:type="dxa"/>
          </w:tblCellMar>
        </w:tblPrEx>
        <w:trPr>
          <w:trHeight w:val="735" w:hRule="atLeast"/>
          <w:tblCellSpacing w:w="0" w:type="dxa"/>
        </w:trPr>
        <w:tc>
          <w:tcPr>
            <w:tcW w:w="854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六、行政征收类(税费类)行政职权运行通用责任清单</w:t>
            </w:r>
            <w:r>
              <w:rPr>
                <w:rFonts w:hint="eastAsia" w:ascii="宋体" w:hAnsi="宋体" w:eastAsia="宋体" w:cs="宋体"/>
                <w:kern w:val="0"/>
                <w:sz w:val="24"/>
                <w:szCs w:val="24"/>
              </w:rPr>
              <w:t xml:space="preserve"> </w:t>
            </w:r>
          </w:p>
        </w:tc>
      </w:tr>
      <w:tr>
        <w:tblPrEx>
          <w:tblLayout w:type="fixed"/>
          <w:tblCellMar>
            <w:top w:w="0" w:type="dxa"/>
            <w:left w:w="0" w:type="dxa"/>
            <w:bottom w:w="0" w:type="dxa"/>
            <w:right w:w="0" w:type="dxa"/>
          </w:tblCellMar>
        </w:tblPrEx>
        <w:trPr>
          <w:trHeight w:val="73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Layout w:type="fixed"/>
          <w:tblCellMar>
            <w:top w:w="0" w:type="dxa"/>
            <w:left w:w="0" w:type="dxa"/>
            <w:bottom w:w="0" w:type="dxa"/>
            <w:right w:w="0" w:type="dxa"/>
          </w:tblCellMar>
        </w:tblPrEx>
        <w:trPr>
          <w:trHeight w:val="37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(一)受理</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一次性告知申报人需提交的申报材料及办理流程。 </w:t>
            </w:r>
          </w:p>
        </w:tc>
      </w:tr>
      <w:tr>
        <w:tblPrEx>
          <w:tblLayout w:type="fixed"/>
          <w:tblCellMar>
            <w:top w:w="0" w:type="dxa"/>
            <w:left w:w="0" w:type="dxa"/>
            <w:bottom w:w="0" w:type="dxa"/>
            <w:right w:w="0" w:type="dxa"/>
          </w:tblCellMar>
        </w:tblPrEx>
        <w:trPr>
          <w:trHeight w:val="37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(二)</w:t>
            </w:r>
            <w:r>
              <w:rPr>
                <w:rFonts w:hint="eastAsia" w:ascii="宋体" w:hAnsi="宋体" w:eastAsia="宋体" w:cs="宋体"/>
                <w:b/>
                <w:bCs/>
                <w:kern w:val="0"/>
                <w:sz w:val="24"/>
                <w:szCs w:val="24"/>
              </w:rPr>
              <w:t>审核</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对申报材料依法及时进行审核。 </w:t>
            </w:r>
          </w:p>
        </w:tc>
      </w:tr>
      <w:tr>
        <w:tblPrEx>
          <w:tblLayout w:type="fixed"/>
          <w:tblCellMar>
            <w:top w:w="0" w:type="dxa"/>
            <w:left w:w="0" w:type="dxa"/>
            <w:bottom w:w="0" w:type="dxa"/>
            <w:right w:w="0" w:type="dxa"/>
          </w:tblCellMar>
        </w:tblPrEx>
        <w:trPr>
          <w:trHeight w:val="37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(三)决定</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依法出具纳税或缴费凭证。 </w:t>
            </w:r>
          </w:p>
        </w:tc>
      </w:tr>
      <w:tr>
        <w:tblPrEx>
          <w:tblLayout w:type="fixed"/>
          <w:tblCellMar>
            <w:top w:w="0" w:type="dxa"/>
            <w:left w:w="0" w:type="dxa"/>
            <w:bottom w:w="0" w:type="dxa"/>
            <w:right w:w="0" w:type="dxa"/>
          </w:tblCellMar>
        </w:tblPrEx>
        <w:trPr>
          <w:trHeight w:val="37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当事人缴纳超过应缴纳的税费,应当退还。 </w:t>
            </w:r>
          </w:p>
        </w:tc>
      </w:tr>
      <w:tr>
        <w:tblPrEx>
          <w:tblLayout w:type="fixed"/>
          <w:tblCellMar>
            <w:top w:w="0" w:type="dxa"/>
            <w:left w:w="0" w:type="dxa"/>
            <w:bottom w:w="0" w:type="dxa"/>
            <w:right w:w="0" w:type="dxa"/>
          </w:tblCellMar>
        </w:tblPrEx>
        <w:trPr>
          <w:trHeight w:val="37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不得截留、私分或擅自开支征收款。 </w:t>
            </w:r>
          </w:p>
        </w:tc>
      </w:tr>
      <w:tr>
        <w:tblPrEx>
          <w:tblLayout w:type="fixed"/>
          <w:tblCellMar>
            <w:top w:w="0" w:type="dxa"/>
            <w:left w:w="0" w:type="dxa"/>
            <w:bottom w:w="0" w:type="dxa"/>
            <w:right w:w="0" w:type="dxa"/>
          </w:tblCellMar>
        </w:tblPrEx>
        <w:trPr>
          <w:trHeight w:val="84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(四)事后监管</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开展检查,及时稽查,加强日常监管。 </w:t>
            </w:r>
          </w:p>
        </w:tc>
      </w:tr>
      <w:tr>
        <w:tblPrEx>
          <w:tblLayout w:type="fixed"/>
          <w:tblCellMar>
            <w:top w:w="0" w:type="dxa"/>
            <w:left w:w="0" w:type="dxa"/>
            <w:bottom w:w="0" w:type="dxa"/>
            <w:right w:w="0" w:type="dxa"/>
          </w:tblCellMar>
        </w:tblPrEx>
        <w:trPr>
          <w:trHeight w:val="675" w:hRule="atLeast"/>
          <w:tblCellSpacing w:w="0" w:type="dxa"/>
        </w:trPr>
        <w:tc>
          <w:tcPr>
            <w:tcW w:w="854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七、行政征收类(实物类)行政职权运行通用责任清单</w:t>
            </w:r>
            <w:r>
              <w:rPr>
                <w:rFonts w:hint="eastAsia" w:ascii="宋体" w:hAnsi="宋体" w:eastAsia="宋体" w:cs="宋体"/>
                <w:kern w:val="0"/>
                <w:sz w:val="24"/>
                <w:szCs w:val="24"/>
              </w:rPr>
              <w:t xml:space="preserve"> </w:t>
            </w:r>
          </w:p>
        </w:tc>
      </w:tr>
      <w:tr>
        <w:tblPrEx>
          <w:tblLayout w:type="fixed"/>
          <w:tblCellMar>
            <w:top w:w="0" w:type="dxa"/>
            <w:left w:w="0" w:type="dxa"/>
            <w:bottom w:w="0" w:type="dxa"/>
            <w:right w:w="0" w:type="dxa"/>
          </w:tblCellMar>
        </w:tblPrEx>
        <w:trPr>
          <w:trHeight w:val="67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Layout w:type="fixed"/>
          <w:tblCellMar>
            <w:top w:w="0" w:type="dxa"/>
            <w:left w:w="0" w:type="dxa"/>
            <w:bottom w:w="0" w:type="dxa"/>
            <w:right w:w="0" w:type="dxa"/>
          </w:tblCellMar>
        </w:tblPrEx>
        <w:trPr>
          <w:trHeight w:val="52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(一)制定方案</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拟定征收补偿方案。 </w:t>
            </w:r>
          </w:p>
        </w:tc>
      </w:tr>
      <w:tr>
        <w:tblPrEx>
          <w:tblLayout w:type="fixed"/>
          <w:tblCellMar>
            <w:top w:w="0" w:type="dxa"/>
            <w:left w:w="0" w:type="dxa"/>
            <w:bottom w:w="0" w:type="dxa"/>
            <w:right w:w="0" w:type="dxa"/>
          </w:tblCellMar>
        </w:tblPrEx>
        <w:trPr>
          <w:trHeight w:val="54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(二)决定</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应当在社会稳定风险评估基础上作出征收决定。 </w:t>
            </w:r>
          </w:p>
        </w:tc>
      </w:tr>
      <w:tr>
        <w:tblPrEx>
          <w:tblLayout w:type="fixed"/>
          <w:tblCellMar>
            <w:top w:w="0" w:type="dxa"/>
            <w:left w:w="0" w:type="dxa"/>
            <w:bottom w:w="0" w:type="dxa"/>
            <w:right w:w="0" w:type="dxa"/>
          </w:tblCellMar>
        </w:tblPrEx>
        <w:trPr>
          <w:trHeight w:val="54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应当及时公告征收决定。 </w:t>
            </w:r>
          </w:p>
        </w:tc>
      </w:tr>
      <w:tr>
        <w:tblPrEx>
          <w:tblLayout w:type="fixed"/>
          <w:tblCellMar>
            <w:top w:w="0" w:type="dxa"/>
            <w:left w:w="0" w:type="dxa"/>
            <w:bottom w:w="0" w:type="dxa"/>
            <w:right w:w="0" w:type="dxa"/>
          </w:tblCellMar>
        </w:tblPrEx>
        <w:trPr>
          <w:trHeight w:val="54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(三)实施</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依据征收决定进行征收。 </w:t>
            </w:r>
          </w:p>
        </w:tc>
      </w:tr>
      <w:tr>
        <w:tblPrEx>
          <w:tblLayout w:type="fixed"/>
          <w:tblCellMar>
            <w:top w:w="0" w:type="dxa"/>
            <w:left w:w="0" w:type="dxa"/>
            <w:bottom w:w="0" w:type="dxa"/>
            <w:right w:w="0" w:type="dxa"/>
          </w:tblCellMar>
        </w:tblPrEx>
        <w:trPr>
          <w:trHeight w:val="57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nil"/>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根据补偿安置方案进行补偿、安置。 </w:t>
            </w:r>
          </w:p>
        </w:tc>
      </w:tr>
      <w:tr>
        <w:tblPrEx>
          <w:tblLayout w:type="fixed"/>
          <w:tblCellMar>
            <w:top w:w="0" w:type="dxa"/>
            <w:left w:w="0" w:type="dxa"/>
            <w:bottom w:w="0" w:type="dxa"/>
            <w:right w:w="0" w:type="dxa"/>
          </w:tblCellMar>
        </w:tblPrEx>
        <w:trPr>
          <w:trHeight w:val="52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(四)事后监管</w:t>
            </w:r>
            <w:r>
              <w:rPr>
                <w:rFonts w:hint="eastAsia" w:ascii="宋体" w:hAnsi="宋体" w:eastAsia="宋体" w:cs="宋体"/>
                <w:kern w:val="0"/>
                <w:sz w:val="24"/>
                <w:szCs w:val="24"/>
              </w:rPr>
              <w:t xml:space="preserve"> </w:t>
            </w:r>
          </w:p>
        </w:tc>
        <w:tc>
          <w:tcPr>
            <w:tcW w:w="5970"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应当依法建立征收补偿档案。 </w:t>
            </w:r>
          </w:p>
        </w:tc>
      </w:tr>
      <w:tr>
        <w:tblPrEx>
          <w:tblLayout w:type="fixed"/>
          <w:tblCellMar>
            <w:top w:w="0" w:type="dxa"/>
            <w:left w:w="0" w:type="dxa"/>
            <w:bottom w:w="0" w:type="dxa"/>
            <w:right w:w="0" w:type="dxa"/>
          </w:tblCellMar>
        </w:tblPrEx>
        <w:trPr>
          <w:trHeight w:val="52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对征收补偿费用管理和使用情况进行监督。 </w:t>
            </w:r>
          </w:p>
        </w:tc>
      </w:tr>
      <w:tr>
        <w:tblPrEx>
          <w:tblLayout w:type="fixed"/>
          <w:tblCellMar>
            <w:top w:w="0" w:type="dxa"/>
            <w:left w:w="0" w:type="dxa"/>
            <w:bottom w:w="0" w:type="dxa"/>
            <w:right w:w="0" w:type="dxa"/>
          </w:tblCellMar>
        </w:tblPrEx>
        <w:trPr>
          <w:trHeight w:val="630" w:hRule="atLeast"/>
          <w:tblCellSpacing w:w="0" w:type="dxa"/>
        </w:trPr>
        <w:tc>
          <w:tcPr>
            <w:tcW w:w="854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八、行政裁决类行政职权运行通用责任清单</w:t>
            </w:r>
            <w:r>
              <w:rPr>
                <w:rFonts w:hint="eastAsia" w:ascii="宋体" w:hAnsi="宋体" w:eastAsia="宋体" w:cs="宋体"/>
                <w:kern w:val="0"/>
                <w:sz w:val="24"/>
                <w:szCs w:val="24"/>
              </w:rPr>
              <w:t xml:space="preserve"> </w:t>
            </w:r>
          </w:p>
        </w:tc>
      </w:tr>
      <w:tr>
        <w:tblPrEx>
          <w:tblLayout w:type="fixed"/>
          <w:tblCellMar>
            <w:top w:w="0" w:type="dxa"/>
            <w:left w:w="0" w:type="dxa"/>
            <w:bottom w:w="0" w:type="dxa"/>
            <w:right w:w="0" w:type="dxa"/>
          </w:tblCellMar>
        </w:tblPrEx>
        <w:trPr>
          <w:trHeight w:val="63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Layout w:type="fixed"/>
          <w:tblCellMar>
            <w:top w:w="0" w:type="dxa"/>
            <w:left w:w="0" w:type="dxa"/>
            <w:bottom w:w="0" w:type="dxa"/>
            <w:right w:w="0" w:type="dxa"/>
          </w:tblCellMar>
        </w:tblPrEx>
        <w:trPr>
          <w:trHeight w:val="55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(一)受理</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对符合受理条件的,应当制作受理通知书,并送达申请人。 </w:t>
            </w:r>
          </w:p>
        </w:tc>
      </w:tr>
      <w:tr>
        <w:tblPrEx>
          <w:tblLayout w:type="fixed"/>
          <w:tblCellMar>
            <w:top w:w="0" w:type="dxa"/>
            <w:left w:w="0" w:type="dxa"/>
            <w:bottom w:w="0" w:type="dxa"/>
            <w:right w:w="0" w:type="dxa"/>
          </w:tblCellMar>
        </w:tblPrEx>
        <w:trPr>
          <w:trHeight w:val="73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申请材料不齐全或者不符合法定形式的,应当一次性告知申请人需要补正的全部内容和合理的补正期限。 </w:t>
            </w:r>
          </w:p>
        </w:tc>
      </w:tr>
      <w:tr>
        <w:tblPrEx>
          <w:tblLayout w:type="fixed"/>
          <w:tblCellMar>
            <w:top w:w="0" w:type="dxa"/>
            <w:left w:w="0" w:type="dxa"/>
            <w:bottom w:w="0" w:type="dxa"/>
            <w:right w:w="0" w:type="dxa"/>
          </w:tblCellMar>
        </w:tblPrEx>
        <w:trPr>
          <w:trHeight w:val="78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 xml:space="preserve">      对不符合受理条件的,应当书面告知申请人不予受理的理由和依据。 </w:t>
            </w:r>
          </w:p>
        </w:tc>
      </w:tr>
      <w:tr>
        <w:tblPrEx>
          <w:tblLayout w:type="fixed"/>
          <w:tblCellMar>
            <w:top w:w="0" w:type="dxa"/>
            <w:left w:w="0" w:type="dxa"/>
            <w:bottom w:w="0" w:type="dxa"/>
            <w:right w:w="0" w:type="dxa"/>
          </w:tblCellMar>
        </w:tblPrEx>
        <w:trPr>
          <w:trHeight w:val="55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(二)审理</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在法定期限内进行审理。 </w:t>
            </w:r>
          </w:p>
        </w:tc>
      </w:tr>
      <w:tr>
        <w:tblPrEx>
          <w:tblLayout w:type="fixed"/>
          <w:tblCellMar>
            <w:top w:w="0" w:type="dxa"/>
            <w:left w:w="0" w:type="dxa"/>
            <w:bottom w:w="0" w:type="dxa"/>
            <w:right w:w="0" w:type="dxa"/>
          </w:tblCellMar>
        </w:tblPrEx>
        <w:trPr>
          <w:trHeight w:val="67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通知争议申请人及对方当事人,并要求对方当事人在规定的期限内提交相关材料。 </w:t>
            </w:r>
          </w:p>
        </w:tc>
      </w:tr>
      <w:tr>
        <w:tblPrEx>
          <w:tblLayout w:type="fixed"/>
          <w:tblCellMar>
            <w:top w:w="0" w:type="dxa"/>
            <w:left w:w="0" w:type="dxa"/>
            <w:bottom w:w="0" w:type="dxa"/>
            <w:right w:w="0" w:type="dxa"/>
          </w:tblCellMar>
        </w:tblPrEx>
        <w:trPr>
          <w:trHeight w:val="91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对争议的事实、证据材料进行审查,针对疑问情况或经当事人请求,举行公开听证,由当事人双方当面陈述案情,进行辩论、举证、质证,以查明案情。 </w:t>
            </w:r>
          </w:p>
        </w:tc>
      </w:tr>
      <w:tr>
        <w:tblPrEx>
          <w:tblLayout w:type="fixed"/>
          <w:tblCellMar>
            <w:top w:w="0" w:type="dxa"/>
            <w:left w:w="0" w:type="dxa"/>
            <w:bottom w:w="0" w:type="dxa"/>
            <w:right w:w="0" w:type="dxa"/>
          </w:tblCellMar>
        </w:tblPrEx>
        <w:trPr>
          <w:trHeight w:val="55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审理时对确有必要的应当进行实地调查。 </w:t>
            </w:r>
          </w:p>
        </w:tc>
      </w:tr>
      <w:tr>
        <w:tblPrEx>
          <w:tblLayout w:type="fixed"/>
          <w:tblCellMar>
            <w:top w:w="0" w:type="dxa"/>
            <w:left w:w="0" w:type="dxa"/>
            <w:bottom w:w="0" w:type="dxa"/>
            <w:right w:w="0" w:type="dxa"/>
          </w:tblCellMar>
        </w:tblPrEx>
        <w:trPr>
          <w:trHeight w:val="67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(三)裁决</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根据事实和法律、法规作出裁决,制作并向双方当事人送达裁决书。 </w:t>
            </w:r>
          </w:p>
        </w:tc>
      </w:tr>
      <w:tr>
        <w:tblPrEx>
          <w:tblLayout w:type="fixed"/>
          <w:tblCellMar>
            <w:top w:w="0" w:type="dxa"/>
            <w:left w:w="0" w:type="dxa"/>
            <w:bottom w:w="0" w:type="dxa"/>
            <w:right w:w="0" w:type="dxa"/>
          </w:tblCellMar>
        </w:tblPrEx>
        <w:trPr>
          <w:trHeight w:val="55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(四)执行</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裁决生效后,争议当事人应当自觉履行。 </w:t>
            </w:r>
          </w:p>
        </w:tc>
      </w:tr>
      <w:tr>
        <w:tblPrEx>
          <w:tblLayout w:type="fixed"/>
          <w:tblCellMar>
            <w:top w:w="0" w:type="dxa"/>
            <w:left w:w="0" w:type="dxa"/>
            <w:bottom w:w="0" w:type="dxa"/>
            <w:right w:w="0" w:type="dxa"/>
          </w:tblCellMar>
        </w:tblPrEx>
        <w:trPr>
          <w:trHeight w:val="660" w:hRule="atLeast"/>
          <w:tblCellSpacing w:w="0" w:type="dxa"/>
        </w:trPr>
        <w:tc>
          <w:tcPr>
            <w:tcW w:w="854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color w:val="auto"/>
                <w:kern w:val="0"/>
                <w:sz w:val="24"/>
                <w:szCs w:val="24"/>
              </w:rPr>
              <w:t>九、行政给付行政职</w:t>
            </w:r>
            <w:r>
              <w:rPr>
                <w:rFonts w:hint="eastAsia" w:ascii="宋体" w:hAnsi="宋体" w:eastAsia="宋体" w:cs="宋体"/>
                <w:b/>
                <w:bCs/>
                <w:kern w:val="0"/>
                <w:sz w:val="24"/>
                <w:szCs w:val="24"/>
              </w:rPr>
              <w:t>权运行通用责任清单</w:t>
            </w:r>
            <w:r>
              <w:rPr>
                <w:rFonts w:hint="eastAsia" w:ascii="宋体" w:hAnsi="宋体" w:eastAsia="宋体" w:cs="宋体"/>
                <w:kern w:val="0"/>
                <w:sz w:val="24"/>
                <w:szCs w:val="24"/>
              </w:rPr>
              <w:t xml:space="preserve"> </w:t>
            </w:r>
          </w:p>
        </w:tc>
      </w:tr>
      <w:tr>
        <w:tblPrEx>
          <w:tblLayout w:type="fixed"/>
          <w:tblCellMar>
            <w:top w:w="0" w:type="dxa"/>
            <w:left w:w="0" w:type="dxa"/>
            <w:bottom w:w="0" w:type="dxa"/>
            <w:right w:w="0" w:type="dxa"/>
          </w:tblCellMar>
        </w:tblPrEx>
        <w:trPr>
          <w:trHeight w:val="37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Layout w:type="fixed"/>
          <w:tblCellMar>
            <w:top w:w="0" w:type="dxa"/>
            <w:left w:w="0" w:type="dxa"/>
            <w:bottom w:w="0" w:type="dxa"/>
            <w:right w:w="0" w:type="dxa"/>
          </w:tblCellMar>
        </w:tblPrEx>
        <w:trPr>
          <w:trHeight w:val="106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(一)受理</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对符合受理条件的,应当受理,并制作受理通知书;对不符合受理条件的不予受理,并书面告知申请人不予受理的理由和依据。 </w:t>
            </w:r>
          </w:p>
        </w:tc>
      </w:tr>
      <w:tr>
        <w:tblPrEx>
          <w:tblLayout w:type="fixed"/>
          <w:tblCellMar>
            <w:top w:w="0" w:type="dxa"/>
            <w:left w:w="0" w:type="dxa"/>
            <w:bottom w:w="0" w:type="dxa"/>
            <w:right w:w="0" w:type="dxa"/>
          </w:tblCellMar>
        </w:tblPrEx>
        <w:trPr>
          <w:trHeight w:val="76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申请材料不齐全或者不符合法定形式的,应当一次性告知申请人需要补正的全部内容和合理的补正期限。 </w:t>
            </w:r>
          </w:p>
        </w:tc>
      </w:tr>
      <w:tr>
        <w:tblPrEx>
          <w:tblLayout w:type="fixed"/>
          <w:tblCellMar>
            <w:top w:w="0" w:type="dxa"/>
            <w:left w:w="0" w:type="dxa"/>
            <w:bottom w:w="0" w:type="dxa"/>
            <w:right w:w="0" w:type="dxa"/>
          </w:tblCellMar>
        </w:tblPrEx>
        <w:trPr>
          <w:trHeight w:val="37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(二)审查</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在法定期限(承诺期限)内完成审查。 </w:t>
            </w:r>
          </w:p>
        </w:tc>
      </w:tr>
      <w:tr>
        <w:tblPrEx>
          <w:tblLayout w:type="fixed"/>
          <w:tblCellMar>
            <w:top w:w="0" w:type="dxa"/>
            <w:left w:w="0" w:type="dxa"/>
            <w:bottom w:w="0" w:type="dxa"/>
            <w:right w:w="0" w:type="dxa"/>
          </w:tblCellMar>
        </w:tblPrEx>
        <w:trPr>
          <w:trHeight w:val="81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(三)决定</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对于符合条件的,作出给于给付的决定,明确给付标准以及后续办事事宜,并通知申请人前来领取。 </w:t>
            </w:r>
          </w:p>
        </w:tc>
      </w:tr>
      <w:tr>
        <w:tblPrEx>
          <w:tblLayout w:type="fixed"/>
          <w:tblCellMar>
            <w:top w:w="0" w:type="dxa"/>
            <w:left w:w="0" w:type="dxa"/>
            <w:bottom w:w="0" w:type="dxa"/>
            <w:right w:w="0" w:type="dxa"/>
          </w:tblCellMar>
        </w:tblPrEx>
        <w:trPr>
          <w:trHeight w:val="76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对不符合给付条件的,书面告知申请人不予给付的理由和依据。 </w:t>
            </w:r>
          </w:p>
        </w:tc>
      </w:tr>
      <w:tr>
        <w:tblPrEx>
          <w:tblLayout w:type="fixed"/>
          <w:tblCellMar>
            <w:top w:w="0" w:type="dxa"/>
            <w:left w:w="0" w:type="dxa"/>
            <w:bottom w:w="0" w:type="dxa"/>
            <w:right w:w="0" w:type="dxa"/>
          </w:tblCellMar>
        </w:tblPrEx>
        <w:trPr>
          <w:trHeight w:val="37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(四)给付</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按照</w:t>
            </w:r>
            <w:r>
              <w:rPr>
                <w:rFonts w:hint="eastAsia" w:ascii="宋体" w:hAnsi="宋体" w:eastAsia="宋体" w:cs="宋体"/>
                <w:color w:val="000000"/>
                <w:kern w:val="0"/>
                <w:sz w:val="24"/>
                <w:szCs w:val="24"/>
              </w:rPr>
              <w:t>规定标准</w:t>
            </w:r>
            <w:r>
              <w:rPr>
                <w:rFonts w:hint="eastAsia" w:ascii="宋体" w:hAnsi="宋体" w:eastAsia="宋体" w:cs="宋体"/>
                <w:kern w:val="0"/>
                <w:sz w:val="24"/>
                <w:szCs w:val="24"/>
              </w:rPr>
              <w:t xml:space="preserve">予以给付。 </w:t>
            </w:r>
          </w:p>
        </w:tc>
      </w:tr>
      <w:tr>
        <w:tblPrEx>
          <w:tblLayout w:type="fixed"/>
          <w:tblCellMar>
            <w:top w:w="0" w:type="dxa"/>
            <w:left w:w="0" w:type="dxa"/>
            <w:bottom w:w="0" w:type="dxa"/>
            <w:right w:w="0" w:type="dxa"/>
          </w:tblCellMar>
        </w:tblPrEx>
        <w:trPr>
          <w:trHeight w:val="64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(五)事后监管</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开展检查,加强日常监管。 </w:t>
            </w:r>
          </w:p>
        </w:tc>
      </w:tr>
      <w:tr>
        <w:tblPrEx>
          <w:tblLayout w:type="fixed"/>
          <w:tblCellMar>
            <w:top w:w="0" w:type="dxa"/>
            <w:left w:w="0" w:type="dxa"/>
            <w:bottom w:w="0" w:type="dxa"/>
            <w:right w:w="0" w:type="dxa"/>
          </w:tblCellMar>
        </w:tblPrEx>
        <w:trPr>
          <w:trHeight w:val="375" w:hRule="atLeast"/>
          <w:tblCellSpacing w:w="0" w:type="dxa"/>
        </w:trPr>
        <w:tc>
          <w:tcPr>
            <w:tcW w:w="8546" w:type="dxa"/>
            <w:gridSpan w:val="3"/>
            <w:tcBorders>
              <w:top w:val="nil"/>
              <w:left w:val="single" w:color="000000" w:sz="6" w:space="0"/>
              <w:bottom w:val="single" w:color="000000" w:sz="6" w:space="0"/>
              <w:right w:val="nil"/>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十、行政奖励类行政职权运行通用责任清单</w:t>
            </w:r>
            <w:r>
              <w:rPr>
                <w:rFonts w:hint="eastAsia" w:ascii="宋体" w:hAnsi="宋体" w:eastAsia="宋体" w:cs="宋体"/>
                <w:kern w:val="0"/>
                <w:sz w:val="24"/>
                <w:szCs w:val="24"/>
              </w:rPr>
              <w:t xml:space="preserve"> </w:t>
            </w:r>
          </w:p>
        </w:tc>
      </w:tr>
      <w:tr>
        <w:tblPrEx>
          <w:tblLayout w:type="fixed"/>
          <w:tblCellMar>
            <w:top w:w="0" w:type="dxa"/>
            <w:left w:w="0" w:type="dxa"/>
            <w:bottom w:w="0" w:type="dxa"/>
            <w:right w:w="0" w:type="dxa"/>
          </w:tblCellMar>
        </w:tblPrEx>
        <w:trPr>
          <w:trHeight w:val="37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Layout w:type="fixed"/>
          <w:tblCellMar>
            <w:top w:w="0" w:type="dxa"/>
            <w:left w:w="0" w:type="dxa"/>
            <w:bottom w:w="0" w:type="dxa"/>
            <w:right w:w="0" w:type="dxa"/>
          </w:tblCellMar>
        </w:tblPrEx>
        <w:trPr>
          <w:trHeight w:val="75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(一)制定方案</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依法科学制定奖励方案,明确奖励条件、程序等内容。 </w:t>
            </w:r>
          </w:p>
        </w:tc>
      </w:tr>
      <w:tr>
        <w:tblPrEx>
          <w:tblLayout w:type="fixed"/>
          <w:tblCellMar>
            <w:top w:w="0" w:type="dxa"/>
            <w:left w:w="0" w:type="dxa"/>
            <w:bottom w:w="0" w:type="dxa"/>
            <w:right w:w="0" w:type="dxa"/>
          </w:tblCellMar>
        </w:tblPrEx>
        <w:trPr>
          <w:trHeight w:val="76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(二)审核公示</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对符合条件的推荐对象进行审核审定,并进行公示。 </w:t>
            </w:r>
          </w:p>
        </w:tc>
      </w:tr>
      <w:tr>
        <w:tblPrEx>
          <w:tblLayout w:type="fixed"/>
          <w:tblCellMar>
            <w:top w:w="0" w:type="dxa"/>
            <w:left w:w="0" w:type="dxa"/>
            <w:bottom w:w="0" w:type="dxa"/>
            <w:right w:w="0" w:type="dxa"/>
          </w:tblCellMar>
        </w:tblPrEx>
        <w:trPr>
          <w:trHeight w:val="37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依法、及时调查核实举报投诉涉及问题。 </w:t>
            </w:r>
          </w:p>
        </w:tc>
      </w:tr>
      <w:tr>
        <w:tblPrEx>
          <w:tblLayout w:type="fixed"/>
          <w:tblCellMar>
            <w:top w:w="0" w:type="dxa"/>
            <w:left w:w="0" w:type="dxa"/>
            <w:bottom w:w="0" w:type="dxa"/>
            <w:right w:w="0" w:type="dxa"/>
          </w:tblCellMar>
        </w:tblPrEx>
        <w:trPr>
          <w:trHeight w:val="37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(三)实施奖励</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依法、及时按程序报批决定奖励的等级和金额。 </w:t>
            </w:r>
          </w:p>
        </w:tc>
      </w:tr>
      <w:tr>
        <w:tblPrEx>
          <w:tblLayout w:type="fixed"/>
          <w:tblCellMar>
            <w:top w:w="0" w:type="dxa"/>
            <w:left w:w="0" w:type="dxa"/>
            <w:bottom w:w="0" w:type="dxa"/>
            <w:right w:w="0" w:type="dxa"/>
          </w:tblCellMar>
        </w:tblPrEx>
        <w:trPr>
          <w:trHeight w:val="37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及时通知当事人领取奖励。 </w:t>
            </w:r>
          </w:p>
        </w:tc>
      </w:tr>
      <w:tr>
        <w:tblPrEx>
          <w:tblLayout w:type="fixed"/>
          <w:tblCellMar>
            <w:top w:w="0" w:type="dxa"/>
            <w:left w:w="0" w:type="dxa"/>
            <w:bottom w:w="0" w:type="dxa"/>
            <w:right w:w="0" w:type="dxa"/>
          </w:tblCellMar>
        </w:tblPrEx>
        <w:trPr>
          <w:trHeight w:val="720" w:hRule="atLeast"/>
          <w:tblCellSpacing w:w="0" w:type="dxa"/>
        </w:trPr>
        <w:tc>
          <w:tcPr>
            <w:tcW w:w="854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bookmarkStart w:id="0" w:name="_GoBack"/>
            <w:r>
              <w:rPr>
                <w:rFonts w:hint="eastAsia" w:ascii="宋体" w:hAnsi="宋体" w:eastAsia="宋体" w:cs="宋体"/>
                <w:b/>
                <w:bCs/>
                <w:color w:val="auto"/>
                <w:kern w:val="0"/>
                <w:sz w:val="24"/>
                <w:szCs w:val="24"/>
              </w:rPr>
              <w:t>十一、行政检查类行</w:t>
            </w:r>
            <w:bookmarkEnd w:id="0"/>
            <w:r>
              <w:rPr>
                <w:rFonts w:hint="eastAsia" w:ascii="宋体" w:hAnsi="宋体" w:eastAsia="宋体" w:cs="宋体"/>
                <w:b/>
                <w:bCs/>
                <w:kern w:val="0"/>
                <w:sz w:val="24"/>
                <w:szCs w:val="24"/>
              </w:rPr>
              <w:t>政职权运行通用责任清单</w:t>
            </w:r>
            <w:r>
              <w:rPr>
                <w:rFonts w:hint="eastAsia" w:ascii="宋体" w:hAnsi="宋体" w:eastAsia="宋体" w:cs="宋体"/>
                <w:kern w:val="0"/>
                <w:sz w:val="24"/>
                <w:szCs w:val="24"/>
              </w:rPr>
              <w:t xml:space="preserve"> </w:t>
            </w:r>
          </w:p>
        </w:tc>
      </w:tr>
      <w:tr>
        <w:tblPrEx>
          <w:tblLayout w:type="fixed"/>
          <w:tblCellMar>
            <w:top w:w="0" w:type="dxa"/>
            <w:left w:w="0" w:type="dxa"/>
            <w:bottom w:w="0" w:type="dxa"/>
            <w:right w:w="0" w:type="dxa"/>
          </w:tblCellMar>
        </w:tblPrEx>
        <w:trPr>
          <w:trHeight w:val="70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Layout w:type="fixed"/>
          <w:tblCellMar>
            <w:top w:w="0" w:type="dxa"/>
            <w:left w:w="0" w:type="dxa"/>
            <w:bottom w:w="0" w:type="dxa"/>
            <w:right w:w="0" w:type="dxa"/>
          </w:tblCellMar>
        </w:tblPrEx>
        <w:trPr>
          <w:trHeight w:val="75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(一)制定方案</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实施检查前应当依法制定含有正当理由、事项和内容的检查方案。 </w:t>
            </w:r>
          </w:p>
        </w:tc>
      </w:tr>
      <w:tr>
        <w:tblPrEx>
          <w:tblLayout w:type="fixed"/>
          <w:tblCellMar>
            <w:top w:w="0" w:type="dxa"/>
            <w:left w:w="0" w:type="dxa"/>
            <w:bottom w:w="0" w:type="dxa"/>
            <w:right w:w="0" w:type="dxa"/>
          </w:tblCellMar>
        </w:tblPrEx>
        <w:trPr>
          <w:trHeight w:val="75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同一行政机关的多个内设机构和下属机构对同一当事人不同事项的行政检查,能够合并检查的应当合并检查。 </w:t>
            </w:r>
          </w:p>
        </w:tc>
      </w:tr>
      <w:tr>
        <w:tblPrEx>
          <w:tblLayout w:type="fixed"/>
          <w:tblCellMar>
            <w:top w:w="0" w:type="dxa"/>
            <w:left w:w="0" w:type="dxa"/>
            <w:bottom w:w="0" w:type="dxa"/>
            <w:right w:w="0" w:type="dxa"/>
          </w:tblCellMar>
        </w:tblPrEx>
        <w:trPr>
          <w:trHeight w:val="76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上下级行政机关应当按照级别管辖和地域管辖相结合的原则合理划分检查范围,避免重复检查。 </w:t>
            </w:r>
          </w:p>
        </w:tc>
      </w:tr>
      <w:tr>
        <w:tblPrEx>
          <w:tblLayout w:type="fixed"/>
          <w:tblCellMar>
            <w:top w:w="0" w:type="dxa"/>
            <w:left w:w="0" w:type="dxa"/>
            <w:bottom w:w="0" w:type="dxa"/>
            <w:right w:w="0" w:type="dxa"/>
          </w:tblCellMar>
        </w:tblPrEx>
        <w:trPr>
          <w:trHeight w:val="43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(二)实施检查</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依照检查方案规定的时限、范围开展检查。 </w:t>
            </w:r>
          </w:p>
        </w:tc>
      </w:tr>
      <w:tr>
        <w:tblPrEx>
          <w:tblLayout w:type="fixed"/>
          <w:tblCellMar>
            <w:top w:w="0" w:type="dxa"/>
            <w:left w:w="0" w:type="dxa"/>
            <w:bottom w:w="0" w:type="dxa"/>
            <w:right w:w="0" w:type="dxa"/>
          </w:tblCellMar>
        </w:tblPrEx>
        <w:trPr>
          <w:trHeight w:val="49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实施检查时应当出示执法身份证件、检查方案。 </w:t>
            </w:r>
          </w:p>
        </w:tc>
      </w:tr>
      <w:tr>
        <w:tblPrEx>
          <w:tblLayout w:type="fixed"/>
          <w:tblCellMar>
            <w:top w:w="0" w:type="dxa"/>
            <w:left w:w="0" w:type="dxa"/>
            <w:bottom w:w="0" w:type="dxa"/>
            <w:right w:w="0" w:type="dxa"/>
          </w:tblCellMar>
        </w:tblPrEx>
        <w:trPr>
          <w:trHeight w:val="52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依法查阅资料、查看现场、听取当事人陈述申辩并取证。 </w:t>
            </w:r>
          </w:p>
        </w:tc>
      </w:tr>
      <w:tr>
        <w:tblPrEx>
          <w:tblLayout w:type="fixed"/>
          <w:tblCellMar>
            <w:top w:w="0" w:type="dxa"/>
            <w:left w:w="0" w:type="dxa"/>
            <w:bottom w:w="0" w:type="dxa"/>
            <w:right w:w="0" w:type="dxa"/>
          </w:tblCellMar>
        </w:tblPrEx>
        <w:trPr>
          <w:trHeight w:val="46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实施检查应当不影响当事人的正常生产经营活动与生活。 </w:t>
            </w:r>
          </w:p>
        </w:tc>
      </w:tr>
      <w:tr>
        <w:tblPrEx>
          <w:tblLayout w:type="fixed"/>
          <w:tblCellMar>
            <w:top w:w="0" w:type="dxa"/>
            <w:left w:w="0" w:type="dxa"/>
            <w:bottom w:w="0" w:type="dxa"/>
            <w:right w:w="0" w:type="dxa"/>
          </w:tblCellMar>
        </w:tblPrEx>
        <w:trPr>
          <w:trHeight w:val="75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依法告知当事人检查中发现的违法行为及处理意见,对不服处理意见的,可以依法申请行政复议或提起行政诉讼。 </w:t>
            </w:r>
          </w:p>
        </w:tc>
      </w:tr>
      <w:tr>
        <w:tblPrEx>
          <w:tblLayout w:type="fixed"/>
          <w:tblCellMar>
            <w:top w:w="0" w:type="dxa"/>
            <w:left w:w="0" w:type="dxa"/>
            <w:bottom w:w="0" w:type="dxa"/>
            <w:right w:w="0" w:type="dxa"/>
          </w:tblCellMar>
        </w:tblPrEx>
        <w:trPr>
          <w:trHeight w:val="37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对检查中发现的违法行为应当予以制止和纠正。</w:t>
            </w:r>
            <w:r>
              <w:rPr>
                <w:rFonts w:hint="eastAsia" w:ascii="宋体" w:hAnsi="宋体" w:eastAsia="宋体" w:cs="宋体"/>
                <w:kern w:val="0"/>
                <w:sz w:val="24"/>
                <w:szCs w:val="24"/>
              </w:rPr>
              <w:t xml:space="preserve"> </w:t>
            </w:r>
          </w:p>
        </w:tc>
      </w:tr>
      <w:tr>
        <w:tblPrEx>
          <w:tblLayout w:type="fixed"/>
          <w:tblCellMar>
            <w:top w:w="0" w:type="dxa"/>
            <w:left w:w="0" w:type="dxa"/>
            <w:bottom w:w="0" w:type="dxa"/>
            <w:right w:w="0" w:type="dxa"/>
          </w:tblCellMar>
        </w:tblPrEx>
        <w:trPr>
          <w:trHeight w:val="60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10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实施行政检查中不得乱收费、乱罚款、乱摊派,严禁吃、拿、卡、要。 </w:t>
            </w:r>
          </w:p>
        </w:tc>
      </w:tr>
      <w:tr>
        <w:tblPrEx>
          <w:tblLayout w:type="fixed"/>
          <w:tblCellMar>
            <w:top w:w="0" w:type="dxa"/>
            <w:left w:w="0" w:type="dxa"/>
            <w:bottom w:w="0" w:type="dxa"/>
            <w:right w:w="0" w:type="dxa"/>
          </w:tblCellMar>
        </w:tblPrEx>
        <w:trPr>
          <w:trHeight w:val="42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11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不得放弃、推诿、拖延、拒绝履行检查职责。 </w:t>
            </w:r>
          </w:p>
        </w:tc>
      </w:tr>
      <w:tr>
        <w:tblPrEx>
          <w:tblLayout w:type="fixed"/>
          <w:tblCellMar>
            <w:top w:w="0" w:type="dxa"/>
            <w:left w:w="0" w:type="dxa"/>
            <w:bottom w:w="0" w:type="dxa"/>
            <w:right w:w="0" w:type="dxa"/>
          </w:tblCellMar>
        </w:tblPrEx>
        <w:trPr>
          <w:trHeight w:val="79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12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(三)事后监管</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对检查情况进行汇总、分类、归档备查,并跟踪监测。 </w:t>
            </w:r>
          </w:p>
        </w:tc>
      </w:tr>
    </w:tbl>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1A1"/>
    <w:rsid w:val="001361A1"/>
    <w:rsid w:val="006566C4"/>
    <w:rsid w:val="006D7686"/>
    <w:rsid w:val="2FBE4591"/>
    <w:rsid w:val="46430BDA"/>
    <w:rsid w:val="4E49675F"/>
    <w:rsid w:val="4F7526F9"/>
    <w:rsid w:val="7FCE7A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character" w:styleId="3">
    <w:name w:val="Strong"/>
    <w:basedOn w:val="2"/>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4539</Words>
  <Characters>4568</Characters>
  <Lines>43</Lines>
  <Paragraphs>12</Paragraphs>
  <TotalTime>64</TotalTime>
  <ScaleCrop>false</ScaleCrop>
  <LinksUpToDate>false</LinksUpToDate>
  <CharactersWithSpaces>5593</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2017-09-01T09:16:00Z</dcterms:created>
  <dc:creator>wangpeng</dc:creator>
  <cp:lastModifiedBy>Administrator</cp:lastModifiedBy>
  <dcterms:modified xsi:type="dcterms:W3CDTF">2022-09-16T06:53:23Z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7543CA6C976A476B972E6E3580E6CC2F</vt:lpwstr>
  </property>
</Properties>
</file>