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一、项目编号：MYZC-2023-C0127</w:t>
      </w:r>
      <w:r>
        <w:rPr>
          <w:rFonts w:hint="eastAsia" w:ascii="Times New Roman" w:hAnsi="Times New Roman" w:eastAsia="宋体" w:cs="Times New Roman"/>
        </w:rPr>
        <w:t>（招标文件编号：MYZC-2023-C0127）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二、项目名称：密云区白河上游流域、白马关河流域、牤牛河流域及河道、7座中小型水库及小微水体（沟道、坑塘、马路边沟）河道环境巡检项目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三、中标（成交）信息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供应商名称：北京隆盛环境工程有限公司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供应商地址：北京市密云区西门外大街8号楼3号房二层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中标（成交）金额：72.7563580（万元）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四、主要标的信息</w:t>
      </w:r>
    </w:p>
    <w:tbl>
      <w:tblPr>
        <w:tblStyle w:val="4"/>
        <w:tblW w:w="8511" w:type="dxa"/>
        <w:tblInd w:w="-10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797"/>
        <w:gridCol w:w="2271"/>
        <w:gridCol w:w="2632"/>
        <w:gridCol w:w="765"/>
        <w:gridCol w:w="1052"/>
        <w:gridCol w:w="596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北京隆盛环境工程有限公司  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密云区白河上游流域、白马关河流域、牤牛河流域及河道、7座中小型水库及小微水体（沟道、坑塘、马路边沟）河道环境巡检项目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对密云区白河上游流域、白马关河流域、牤牛河流域及河道、7座中小型水库及小微水体（沟道、坑塘、马路边沟）河道环境巡检的全部服务内容。 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详见磋商文件  文件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2023年8月1日-2024年12月31日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详见磋商文件  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五、评审专家（单一来源采购人员）名单：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袁建旺、杜淑琴、王子建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六、代理服务收费标准及金额：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本项目代理费收费标准：/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本项目代理费总金额：1.0964150 万元（人民币）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七、公告期限</w:t>
      </w:r>
      <w:bookmarkStart w:id="0" w:name="_GoBack"/>
      <w:bookmarkEnd w:id="0"/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自本公告发布之日起1个工作日。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八、其它补充事宜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无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九、凡对本次公告内容提出询问，请按以下方式联系。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1.采购人信息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名 称：北京市密云区水务局　　　　　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地址：北京市密云区新北路18号　　　　　　　　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联系方式：吴征010-69066724　　　　　　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2.采购代理机构信息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名 称：北京天创恒佳工程咨询有限公司　　　　　　　　　　　　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地　址：北京市密云区檀城家园4号楼1至2层4-05（201）　　　　　　　　　　　　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联系方式：张帅18601345273　　　　　　　　　　　　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3.项目联系方式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项目联系人：张帅</w:t>
      </w:r>
    </w:p>
    <w:p>
      <w:p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电　话：　　18601345273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96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pStyle w:val="2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WQzY2M4NGMwMGU3YjFmZGMxMDQxZjAxZjY5NDQifQ=="/>
  </w:docVars>
  <w:rsids>
    <w:rsidRoot w:val="658C39ED"/>
    <w:rsid w:val="3CC221A6"/>
    <w:rsid w:val="658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684</Characters>
  <Lines>0</Lines>
  <Paragraphs>0</Paragraphs>
  <TotalTime>0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2023-07-21T00:00:00Z</dcterms:created>
  <dc:creator>喜欢你开心的笑</dc:creator>
  <cp:lastModifiedBy>喜欢你开心的笑</cp:lastModifiedBy>
  <dcterms:modified xsi:type="dcterms:W3CDTF">2023-07-21T01:43:33Z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FD2EF7F21F1B4538B08FFA423F3EC140_11</vt:lpwstr>
  </property>
</Properties>
</file>