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密云区一刻钟便民生活圈建设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三年行动方案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（2023年-2025年）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为落实商务部等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ascii="仿宋_GB2312" w:hAnsi="仿宋_GB2312" w:cs="仿宋_GB2312"/>
          <w:szCs w:val="32"/>
        </w:rPr>
        <w:t xml:space="preserve"> 部门关于</w:t>
      </w:r>
      <w:r>
        <w:rPr>
          <w:rFonts w:hint="eastAsia" w:ascii="仿宋_GB2312" w:hAnsi="仿宋_GB2312" w:cs="仿宋_GB2312"/>
          <w:szCs w:val="32"/>
          <w:lang w:eastAsia="zh-CN"/>
        </w:rPr>
        <w:t>《</w:t>
      </w:r>
      <w:r>
        <w:rPr>
          <w:rFonts w:hint="eastAsia" w:ascii="仿宋_GB2312" w:hAnsi="仿宋_GB2312" w:cs="仿宋_GB2312"/>
          <w:szCs w:val="32"/>
          <w:lang w:val="en-US" w:eastAsia="zh-CN"/>
        </w:rPr>
        <w:t>全面推进城市一刻钟便民生活圈建设三年行动计划（2023-2025）</w:t>
      </w:r>
      <w:r>
        <w:rPr>
          <w:rFonts w:hint="eastAsia" w:ascii="仿宋_GB2312" w:hAnsi="仿宋_GB2312" w:cs="仿宋_GB2312"/>
          <w:szCs w:val="32"/>
        </w:rPr>
        <w:t>》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商办流通函</w:t>
      </w:r>
      <w:r>
        <w:rPr>
          <w:rFonts w:hint="eastAsia" w:ascii="仿宋_GB2312" w:hAnsi="仿宋_GB2312" w:cs="仿宋_GB2312"/>
          <w:szCs w:val="32"/>
        </w:rPr>
        <w:t>〔</w:t>
      </w:r>
      <w:r>
        <w:rPr>
          <w:rFonts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ascii="仿宋_GB2312" w:hAnsi="仿宋_GB2312" w:cs="仿宋_GB231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401号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和北京市商务局等</w:t>
      </w:r>
      <w:r>
        <w:rPr>
          <w:rFonts w:ascii="仿宋_GB2312" w:hAnsi="仿宋_GB2312" w:cs="仿宋_GB2312"/>
          <w:szCs w:val="32"/>
        </w:rPr>
        <w:t>12部门</w:t>
      </w:r>
      <w:r>
        <w:rPr>
          <w:rFonts w:hint="eastAsia" w:ascii="仿宋_GB2312" w:hAnsi="仿宋_GB2312" w:cs="仿宋_GB2312"/>
          <w:szCs w:val="32"/>
        </w:rPr>
        <w:t>《加快建设一刻钟便民生活圈促进生活服务业转型升级的若干措施》（京商生活字〔</w:t>
      </w:r>
      <w:r>
        <w:rPr>
          <w:rFonts w:ascii="仿宋_GB2312" w:hAnsi="仿宋_GB2312" w:cs="仿宋_GB2312"/>
          <w:szCs w:val="32"/>
        </w:rPr>
        <w:t>2022〕37 号</w:t>
      </w:r>
      <w:r>
        <w:rPr>
          <w:rFonts w:hint="eastAsia"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等文件要求</w:t>
      </w:r>
      <w:r>
        <w:rPr>
          <w:rFonts w:hint="eastAsia" w:ascii="仿宋_GB2312" w:hAnsi="仿宋_GB2312" w:cs="仿宋_GB2312"/>
          <w:szCs w:val="32"/>
        </w:rPr>
        <w:t>，优化社区商业</w:t>
      </w:r>
      <w:r>
        <w:rPr>
          <w:rFonts w:hint="eastAsia" w:ascii="仿宋_GB2312" w:hAnsi="仿宋_GB2312" w:cs="仿宋_GB2312"/>
          <w:szCs w:val="32"/>
          <w:lang w:val="en-US" w:eastAsia="zh-CN"/>
        </w:rPr>
        <w:t>网点</w:t>
      </w:r>
      <w:r>
        <w:rPr>
          <w:rFonts w:hint="eastAsia" w:ascii="仿宋_GB2312" w:hAnsi="仿宋_GB2312" w:cs="仿宋_GB2312"/>
          <w:szCs w:val="32"/>
        </w:rPr>
        <w:t>布局和配置，</w:t>
      </w:r>
      <w:r>
        <w:rPr>
          <w:rFonts w:hint="eastAsia" w:ascii="仿宋_GB2312" w:hAnsi="仿宋_GB2312" w:cs="仿宋_GB2312"/>
          <w:szCs w:val="32"/>
          <w:lang w:val="en-US" w:eastAsia="zh-CN"/>
        </w:rPr>
        <w:t>改善社区消费条件，创新社区消费场景，提升居民生活品质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全面推进密云区城市一刻钟便民生活圈</w:t>
      </w:r>
      <w:r>
        <w:rPr>
          <w:rStyle w:val="10"/>
          <w:rFonts w:hint="eastAsia" w:ascii="仿宋_GB2312" w:hAnsi="仿宋_GB2312" w:cs="仿宋_GB2312"/>
          <w:szCs w:val="32"/>
          <w:lang w:val="en-US" w:eastAsia="zh-CN"/>
        </w:rPr>
        <w:footnoteReference w:id="0"/>
      </w:r>
      <w:r>
        <w:rPr>
          <w:rFonts w:hint="eastAsia" w:ascii="仿宋_GB2312" w:hAnsi="仿宋_GB2312" w:cs="仿宋_GB2312"/>
          <w:szCs w:val="32"/>
          <w:lang w:val="en-US" w:eastAsia="zh-CN"/>
        </w:rPr>
        <w:t>建设，</w:t>
      </w:r>
      <w:r>
        <w:rPr>
          <w:rFonts w:hint="eastAsia" w:ascii="仿宋_GB2312" w:hAnsi="仿宋_GB2312" w:cs="仿宋_GB2312"/>
          <w:szCs w:val="32"/>
        </w:rPr>
        <w:t>结合城市更新和“疏解整治促提升”专项行动</w:t>
      </w:r>
      <w:r>
        <w:rPr>
          <w:rFonts w:hint="eastAsia" w:ascii="仿宋_GB2312" w:hAnsi="仿宋_GB2312" w:cs="仿宋_GB231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特制定本</w:t>
      </w:r>
      <w:r>
        <w:rPr>
          <w:rFonts w:hint="eastAsia" w:ascii="仿宋_GB2312" w:hAnsi="仿宋_GB2312" w:cs="仿宋_GB2312"/>
          <w:szCs w:val="32"/>
          <w:lang w:val="en-US" w:eastAsia="zh-CN"/>
        </w:rPr>
        <w:t>行动</w:t>
      </w:r>
      <w:r>
        <w:rPr>
          <w:rFonts w:ascii="仿宋_GB2312" w:hAnsi="仿宋_GB2312" w:cs="仿宋_GB231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一、总体思路和行动目标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按照北京城市总体规划对密云区的新定位、新要求，坚持以人民为中心的发展思想，</w:t>
      </w:r>
      <w:r>
        <w:rPr>
          <w:rFonts w:hint="eastAsia" w:ascii="仿宋_GB2312" w:hAnsi="仿宋_GB2312" w:cs="仿宋_GB2312"/>
          <w:szCs w:val="32"/>
          <w:lang w:val="en-US" w:eastAsia="zh-CN"/>
        </w:rPr>
        <w:t>坚持“问需于民、问计于民” “缺什么、补什么” “因城施策、一圈一策”的原则，</w:t>
      </w:r>
      <w:r>
        <w:rPr>
          <w:rFonts w:hint="eastAsia" w:ascii="仿宋_GB2312" w:hAnsi="仿宋_GB2312" w:cs="仿宋_GB2312"/>
          <w:szCs w:val="32"/>
        </w:rPr>
        <w:t>按照以点带面、</w:t>
      </w:r>
      <w:r>
        <w:rPr>
          <w:rFonts w:hint="eastAsia" w:ascii="仿宋_GB2312" w:hAnsi="仿宋_GB2312" w:cs="仿宋_GB2312"/>
          <w:szCs w:val="32"/>
          <w:lang w:val="en-US" w:eastAsia="zh-CN"/>
        </w:rPr>
        <w:t>全面</w:t>
      </w:r>
      <w:r>
        <w:rPr>
          <w:rFonts w:hint="eastAsia" w:ascii="仿宋_GB2312" w:hAnsi="仿宋_GB2312" w:cs="仿宋_GB2312"/>
          <w:szCs w:val="32"/>
        </w:rPr>
        <w:t>推开的思路，</w:t>
      </w:r>
      <w:r>
        <w:rPr>
          <w:rFonts w:hint="eastAsia" w:ascii="仿宋_GB2312" w:hAnsi="仿宋_GB2312" w:cs="仿宋_GB2312"/>
          <w:szCs w:val="32"/>
          <w:lang w:val="en-US" w:eastAsia="zh-CN"/>
        </w:rPr>
        <w:t>聚焦补齐基本保障类业态、发展品质提升类业态，</w:t>
      </w:r>
      <w:r>
        <w:rPr>
          <w:rFonts w:hint="eastAsia" w:ascii="仿宋_GB2312" w:hAnsi="仿宋_GB2312" w:cs="仿宋_GB2312"/>
          <w:szCs w:val="32"/>
        </w:rPr>
        <w:t>推动合理划分圈层、分类建设布局、补齐设施短板、</w:t>
      </w:r>
      <w:r>
        <w:rPr>
          <w:rFonts w:hint="eastAsia" w:ascii="仿宋_GB2312" w:hAnsi="仿宋_GB2312" w:cs="仿宋_GB2312"/>
          <w:szCs w:val="32"/>
          <w:lang w:val="en-US" w:eastAsia="zh-CN"/>
        </w:rPr>
        <w:t>创新消费场景、</w:t>
      </w:r>
      <w:r>
        <w:rPr>
          <w:rFonts w:hint="eastAsia" w:ascii="仿宋_GB2312" w:hAnsi="仿宋_GB2312" w:cs="仿宋_GB2312"/>
          <w:szCs w:val="32"/>
        </w:rPr>
        <w:t>丰富商业业态、提高门店效能、提升服务品质、引导规范经营，将城区</w:t>
      </w:r>
      <w:r>
        <w:rPr>
          <w:rFonts w:hint="eastAsia" w:ascii="仿宋_GB2312" w:hAnsi="仿宋_GB2312" w:cs="仿宋_GB2312"/>
          <w:szCs w:val="32"/>
          <w:lang w:val="en-US" w:eastAsia="zh-CN"/>
        </w:rPr>
        <w:t>一刻钟</w:t>
      </w:r>
      <w:r>
        <w:rPr>
          <w:rFonts w:hint="eastAsia" w:ascii="仿宋_GB2312" w:hAnsi="仿宋_GB2312" w:cs="仿宋_GB2312"/>
          <w:szCs w:val="32"/>
        </w:rPr>
        <w:t>便民生活圈打造成为壮大区域经济、促进末端消费、保障</w:t>
      </w:r>
      <w:r>
        <w:rPr>
          <w:rFonts w:hint="eastAsia" w:ascii="仿宋_GB2312" w:hAnsi="仿宋_GB2312" w:cs="仿宋_GB2312"/>
          <w:szCs w:val="32"/>
          <w:lang w:val="en-US" w:eastAsia="zh-CN"/>
        </w:rPr>
        <w:t>和改善</w:t>
      </w:r>
      <w:r>
        <w:rPr>
          <w:rFonts w:hint="eastAsia" w:ascii="仿宋_GB2312" w:hAnsi="仿宋_GB2312" w:cs="仿宋_GB2312"/>
          <w:szCs w:val="32"/>
        </w:rPr>
        <w:t>民生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val="en-US" w:eastAsia="zh-CN"/>
        </w:rPr>
        <w:t>提升居民生活品质</w:t>
      </w:r>
      <w:r>
        <w:rPr>
          <w:rFonts w:hint="eastAsia" w:ascii="仿宋_GB2312" w:hAnsi="仿宋_GB2312" w:cs="仿宋_GB2312"/>
          <w:szCs w:val="32"/>
        </w:rPr>
        <w:t>及扩大就业的重要平台和载体。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以建设具有生态涵养特色的便民生活圈示范区为目标，高标准完成【21】个一刻钟便民生活圈建设，</w:t>
      </w:r>
      <w:r>
        <w:rPr>
          <w:rFonts w:hint="eastAsia"/>
        </w:rPr>
        <w:t>实现密云城区范围一刻钟便民生活圈全覆盖，</w:t>
      </w:r>
      <w:r>
        <w:rPr>
          <w:rFonts w:hint="eastAsia"/>
          <w:lang w:val="en-US" w:eastAsia="zh-CN"/>
        </w:rPr>
        <w:t>服务便利化、标准化、智慧化、品质化水平进一步提升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社区商业</w:t>
      </w:r>
      <w:r>
        <w:rPr>
          <w:rFonts w:hint="eastAsia"/>
        </w:rPr>
        <w:t>网点连锁化率不低于【30%】，商家线上平台入驻率不低于【30%】，优质品牌（新消费品牌、网红品牌、国际品牌、老字号）网点占比不低于【15%】。生活圈内居民</w:t>
      </w:r>
      <w:r>
        <w:rPr>
          <w:rFonts w:hint="eastAsia"/>
          <w:lang w:val="en-US" w:eastAsia="zh-CN"/>
        </w:rPr>
        <w:t>综合满意度达到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90%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以上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——2023年，一刻钟便民生活圈</w:t>
      </w:r>
      <w:r>
        <w:rPr>
          <w:rFonts w:hint="eastAsia"/>
          <w:lang w:val="en-US" w:eastAsia="zh-CN"/>
        </w:rPr>
        <w:t>建设数量完成40%。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——2024年，一刻钟便民生活圈建设</w:t>
      </w:r>
      <w:r>
        <w:rPr>
          <w:rFonts w:hint="eastAsia"/>
          <w:lang w:val="en-US" w:eastAsia="zh-CN"/>
        </w:rPr>
        <w:t>数量完成80%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——2025年，一刻钟便民生活圈建设</w:t>
      </w:r>
      <w:r>
        <w:rPr>
          <w:rFonts w:hint="eastAsia"/>
          <w:lang w:val="en-US" w:eastAsia="zh-CN"/>
        </w:rPr>
        <w:t>数量完成100%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二、重点</w:t>
      </w:r>
      <w:r>
        <w:rPr>
          <w:rFonts w:hint="eastAsia" w:ascii="黑体" w:hAnsi="黑体" w:eastAsia="黑体" w:cs="黑体"/>
          <w:szCs w:val="32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）便捷保障工程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cs="仿宋_GB2312"/>
          <w:szCs w:val="32"/>
        </w:rPr>
        <w:t>1.加快短板补建。</w:t>
      </w:r>
      <w:r>
        <w:rPr>
          <w:rFonts w:hint="eastAsia" w:ascii="仿宋_GB2312" w:hAnsi="仿宋_GB2312" w:cs="仿宋_GB2312"/>
          <w:szCs w:val="32"/>
          <w:lang w:val="en-US" w:eastAsia="zh-CN"/>
        </w:rPr>
        <w:t>各生活圈</w:t>
      </w:r>
      <w:r>
        <w:rPr>
          <w:rFonts w:hint="eastAsia"/>
        </w:rPr>
        <w:t>严格按照便民设施配置标准补建基本保障类业态</w:t>
      </w:r>
      <w:r>
        <w:rPr>
          <w:rStyle w:val="10"/>
          <w:rFonts w:hint="eastAsia"/>
        </w:rPr>
        <w:footnoteReference w:id="1"/>
      </w:r>
      <w:r>
        <w:rPr>
          <w:rFonts w:hint="eastAsia"/>
        </w:rPr>
        <w:t>缺项，</w:t>
      </w:r>
      <w:r>
        <w:rPr>
          <w:rFonts w:hint="eastAsia"/>
          <w:lang w:val="en-US" w:eastAsia="zh-CN"/>
        </w:rPr>
        <w:t>充分利用老旧小区闲置公共空间、腾退空间、地下空间，引导归属街镇、国企的空间资源建设、运营便民商业服务设施，鼓励</w:t>
      </w:r>
      <w:r>
        <w:rPr>
          <w:rFonts w:hint="eastAsia"/>
        </w:rPr>
        <w:t>采取包括移动设施、智能无人设施、政府回租回购、集市进社区、加大线上业态即时配送服务力度等措施补充完善。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提升便捷体验。</w:t>
      </w:r>
      <w:r>
        <w:t>进一步优化便民服务的便捷度、可达性，</w:t>
      </w:r>
      <w:r>
        <w:rPr>
          <w:rFonts w:hint="eastAsia" w:ascii="仿宋_GB2312" w:hAnsi="仿宋_GB2312" w:cs="仿宋_GB2312"/>
          <w:szCs w:val="32"/>
          <w:highlight w:val="none"/>
        </w:rPr>
        <w:t>对于网点较为完善的</w:t>
      </w:r>
      <w:r>
        <w:rPr>
          <w:highlight w:val="none"/>
        </w:rPr>
        <w:t>老城区住宅生活圈、商业文化生活圈，</w:t>
      </w:r>
      <w:r>
        <w:rPr>
          <w:rFonts w:hint="eastAsia"/>
          <w:highlight w:val="none"/>
          <w:lang w:val="en-US" w:eastAsia="zh-CN"/>
        </w:rPr>
        <w:t>以织补商业网点覆盖率较低的区域为主，对于新兴住宅生活圈、城乡结合部生活圈以增加网点数量为主。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</w:t>
      </w:r>
      <w:r>
        <w:rPr>
          <w:rFonts w:hint="eastAsia"/>
          <w:lang w:val="en-US" w:eastAsia="zh-CN"/>
        </w:rPr>
        <w:t>巩固</w:t>
      </w:r>
      <w:r>
        <w:rPr>
          <w:rFonts w:hint="eastAsia"/>
          <w:highlight w:val="none"/>
          <w:lang w:val="en-US" w:eastAsia="zh-CN"/>
        </w:rPr>
        <w:t>提升基本保障类业态</w:t>
      </w:r>
      <w:r>
        <w:rPr>
          <w:rFonts w:hint="eastAsia"/>
          <w:lang w:val="en-US" w:eastAsia="zh-CN"/>
        </w:rPr>
        <w:t>。发展“一店一早”，推动品牌连锁便利店（社区超市）进社区，以早餐店、小吃店、“便利店+早餐服务”“餐饮店+早餐服务”“互联网+早餐服务”等为主体构建多层次早餐供应体系。补齐“一菜一修”支持菜市场（菜店）建设，规范有序发展集“小修小补”于一体的社区工坊。服务“一老一小”，鼓励按照适老化标准建设改造社区养老服务机构，鼓励发展嵌入式、标准化的托育机构和托育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）品质提升工程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rFonts w:hint="eastAsia" w:ascii="仿宋_GB2312" w:hAnsi="仿宋_GB2312" w:cs="仿宋_GB2312"/>
          <w:szCs w:val="32"/>
          <w:lang w:val="en-US" w:eastAsia="zh-CN"/>
        </w:rPr>
        <w:t>推动商业网点</w:t>
      </w:r>
      <w:r>
        <w:rPr>
          <w:rFonts w:hint="eastAsia" w:ascii="仿宋_GB2312" w:hAnsi="仿宋_GB2312" w:cs="仿宋_GB2312"/>
          <w:szCs w:val="32"/>
        </w:rPr>
        <w:t>连锁</w:t>
      </w:r>
      <w:r>
        <w:rPr>
          <w:rFonts w:hint="eastAsia" w:ascii="仿宋_GB2312" w:hAnsi="仿宋_GB2312" w:cs="仿宋_GB2312"/>
          <w:szCs w:val="32"/>
          <w:lang w:val="en-US" w:eastAsia="zh-CN"/>
        </w:rPr>
        <w:t>化</w:t>
      </w:r>
      <w:r>
        <w:rPr>
          <w:rFonts w:hint="eastAsia" w:ascii="仿宋_GB2312" w:hAnsi="仿宋_GB2312" w:cs="仿宋_GB2312"/>
          <w:szCs w:val="32"/>
        </w:rPr>
        <w:t>经营。推动优质品牌、连锁企业通过兼并、收购、加盟等形式扩大社区</w:t>
      </w:r>
      <w:r>
        <w:rPr>
          <w:rFonts w:hint="eastAsia" w:ascii="仿宋_GB2312" w:hAnsi="仿宋_GB2312" w:cs="仿宋_GB2312"/>
          <w:szCs w:val="32"/>
          <w:lang w:val="en-US" w:eastAsia="zh-CN"/>
        </w:rPr>
        <w:t>商业</w:t>
      </w:r>
      <w:r>
        <w:rPr>
          <w:rFonts w:hint="eastAsia" w:ascii="仿宋_GB2312" w:hAnsi="仿宋_GB2312" w:cs="仿宋_GB2312"/>
          <w:szCs w:val="32"/>
        </w:rPr>
        <w:t>网点数量，完善社区供应网络。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推动区属国有企业发挥示范作用，恢复传统商业网点经营，探索社区经营新模式。</w:t>
      </w:r>
      <w:r>
        <w:rPr>
          <w:rFonts w:hint="eastAsia" w:ascii="仿宋_GB2312" w:hAnsi="仿宋_GB2312" w:cs="仿宋_GB2312"/>
          <w:szCs w:val="32"/>
        </w:rPr>
        <w:t>限制或整改“低、散、乱”的社区</w:t>
      </w:r>
      <w:r>
        <w:rPr>
          <w:rFonts w:hint="eastAsia" w:ascii="仿宋_GB2312" w:hAnsi="仿宋_GB2312" w:cs="仿宋_GB2312"/>
          <w:szCs w:val="32"/>
          <w:lang w:val="en-US" w:eastAsia="zh-CN"/>
        </w:rPr>
        <w:t>商业</w:t>
      </w:r>
      <w:r>
        <w:rPr>
          <w:rFonts w:hint="eastAsia" w:ascii="仿宋_GB2312" w:hAnsi="仿宋_GB2312" w:cs="仿宋_GB2312"/>
          <w:szCs w:val="32"/>
        </w:rPr>
        <w:t>网点，引导其规范化、连锁化</w:t>
      </w:r>
      <w:r>
        <w:rPr>
          <w:rFonts w:hint="eastAsia" w:ascii="仿宋_GB2312" w:hAnsi="仿宋_GB2312" w:cs="仿宋_GB2312"/>
          <w:szCs w:val="32"/>
          <w:lang w:val="en-US" w:eastAsia="zh-CN"/>
        </w:rPr>
        <w:t>提升发展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2.差异化配置品质提升类业态</w:t>
      </w:r>
      <w:r>
        <w:rPr>
          <w:rStyle w:val="10"/>
          <w:rFonts w:hint="eastAsia" w:ascii="仿宋_GB2312" w:hAnsi="仿宋_GB2312" w:cs="仿宋_GB2312"/>
          <w:szCs w:val="32"/>
        </w:rPr>
        <w:footnoteReference w:id="2"/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/>
        </w:rPr>
        <w:t>根据人口结构、行为特征、居民需求等条件差异化配置品质提升类业态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对于老龄化生活圈，</w:t>
      </w:r>
      <w:r>
        <w:rPr>
          <w:rFonts w:hint="eastAsia"/>
          <w:lang w:val="en-US" w:eastAsia="zh-CN"/>
        </w:rPr>
        <w:t>鼓励</w:t>
      </w:r>
      <w:r>
        <w:rPr>
          <w:rFonts w:hint="eastAsia"/>
        </w:rPr>
        <w:t>配置适老性设施，对于少年儿童较多的生活圈，优先配置幼儿托育、儿童教育培训设施，对于商业文化活动较多的中心城区、校园周边，优先配置运动健身、新式书店，对于新兴住宅区，优先配置集聚式</w:t>
      </w:r>
      <w:r>
        <w:rPr>
          <w:rFonts w:hint="eastAsia" w:ascii="仿宋_GB2312" w:hAnsi="仿宋_GB2312" w:cs="仿宋_GB2312"/>
          <w:szCs w:val="32"/>
        </w:rPr>
        <w:t>便民商业服务综合体。</w:t>
      </w:r>
      <w:r>
        <w:rPr>
          <w:rFonts w:hint="eastAsia" w:ascii="仿宋_GB2312" w:hAnsi="仿宋_GB2312" w:cs="仿宋_GB2312"/>
          <w:szCs w:val="32"/>
          <w:lang w:val="en-US" w:eastAsia="zh-CN"/>
        </w:rPr>
        <w:t>同时，鼓励</w:t>
      </w:r>
      <w:r>
        <w:rPr>
          <w:rFonts w:hint="eastAsia" w:ascii="仿宋_GB2312" w:hAnsi="仿宋_GB2312" w:cs="仿宋_GB2312"/>
          <w:szCs w:val="32"/>
        </w:rPr>
        <w:t>适当配置</w:t>
      </w:r>
      <w:r>
        <w:rPr>
          <w:rFonts w:hint="eastAsia" w:ascii="仿宋_GB2312" w:hAnsi="仿宋_GB2312" w:cs="仿宋_GB2312"/>
          <w:szCs w:val="32"/>
          <w:lang w:val="en-US" w:eastAsia="zh-CN"/>
        </w:rPr>
        <w:t>具有</w:t>
      </w:r>
      <w:r>
        <w:rPr>
          <w:rFonts w:hint="eastAsia" w:ascii="仿宋_GB2312" w:hAnsi="仿宋_GB2312" w:cs="仿宋_GB2312"/>
          <w:szCs w:val="32"/>
        </w:rPr>
        <w:t>密云特色的业态，包括鲜花店、渔具店、户外运动装备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滑雪、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骑行、露营、徒步、穿越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店、本地特色农产品店</w:t>
      </w:r>
      <w:r>
        <w:rPr>
          <w:rFonts w:hint="eastAsia" w:ascii="仿宋_GB2312" w:hAnsi="仿宋_GB2312" w:cs="仿宋_GB231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）消费提升工程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Cs w:val="32"/>
        </w:rPr>
        <w:t>推动“集市”进社区。联合有实力的商家或行业协会，以运动、亲子、老年护理、鲜花、家政、电子产品等便民服务为主题，定期开展集市进生活圈、进社区</w:t>
      </w:r>
      <w:r>
        <w:rPr>
          <w:rFonts w:hint="eastAsia" w:ascii="仿宋_GB2312" w:hAnsi="仿宋_GB2312" w:cs="仿宋_GB2312"/>
          <w:szCs w:val="32"/>
          <w:highlight w:val="none"/>
        </w:rPr>
        <w:t>活动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支持开展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邻里节、美食节、团购节、家政便民生活节等各类社区促销费活动，</w:t>
      </w:r>
      <w:r>
        <w:rPr>
          <w:rFonts w:hint="eastAsia" w:ascii="仿宋_GB2312" w:hAnsi="仿宋_GB2312" w:cs="仿宋_GB2312"/>
          <w:szCs w:val="32"/>
        </w:rPr>
        <w:t>实现“季季有主题、月月有活动”，释放生活圈消费潜力。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2.推进综合体建设。鼓励新建</w:t>
      </w:r>
      <w:r>
        <w:rPr>
          <w:rFonts w:hint="eastAsia"/>
          <w:lang w:val="en-US" w:eastAsia="zh-CN"/>
        </w:rPr>
        <w:t>或改造提升集聚式、</w:t>
      </w:r>
      <w:r>
        <w:rPr>
          <w:rFonts w:hint="eastAsia"/>
        </w:rPr>
        <w:t>街坊式社区便民</w:t>
      </w:r>
      <w:r>
        <w:rPr>
          <w:rFonts w:hint="eastAsia" w:ascii="仿宋_GB2312" w:hAnsi="仿宋_GB2312" w:cs="仿宋_GB2312"/>
          <w:szCs w:val="32"/>
        </w:rPr>
        <w:t>商业</w:t>
      </w:r>
      <w:r>
        <w:rPr>
          <w:rFonts w:hint="eastAsia"/>
        </w:rPr>
        <w:t>服务</w:t>
      </w:r>
      <w:r>
        <w:rPr>
          <w:rFonts w:hint="eastAsia"/>
          <w:lang w:val="en-US" w:eastAsia="zh-CN"/>
        </w:rPr>
        <w:t>综合体</w:t>
      </w:r>
      <w:r>
        <w:rPr>
          <w:rStyle w:val="10"/>
          <w:rFonts w:hint="eastAsia"/>
          <w:lang w:val="en-US" w:eastAsia="zh-CN"/>
        </w:rPr>
        <w:footnoteReference w:id="3"/>
      </w:r>
      <w:r>
        <w:rPr>
          <w:rFonts w:hint="eastAsia"/>
          <w:lang w:eastAsia="zh-CN"/>
        </w:rPr>
        <w:t>，为居民提供一站式综合性、</w:t>
      </w:r>
      <w:r>
        <w:rPr>
          <w:rFonts w:hint="eastAsia"/>
          <w:lang w:val="en-US" w:eastAsia="zh-CN"/>
        </w:rPr>
        <w:t>高品质</w:t>
      </w:r>
      <w:r>
        <w:rPr>
          <w:rFonts w:hint="eastAsia"/>
          <w:lang w:eastAsia="zh-CN"/>
        </w:rPr>
        <w:t>便民商业服务；</w:t>
      </w:r>
      <w:r>
        <w:rPr>
          <w:rFonts w:hint="eastAsia"/>
          <w:lang w:val="en-US" w:eastAsia="zh-CN"/>
        </w:rPr>
        <w:t>引导邻近居民区的传统商场向社区商业中心转型，拓展特色餐饮、生活零售、文化休闲、儿童娱乐、运动健身、社区食堂等服务功能。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3.促进融合协同发展。推动一刻钟便民生活圈与养老托育圈、文化休闲圈、健康健身圈、金融服务圈、快递服务圈等圈圈相融，营造多元化、多层次的消费场景。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）数字化改造工程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</w:rPr>
        <w:t>支持商业网点的数字化改造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cs="仿宋_GB2312"/>
          <w:szCs w:val="32"/>
          <w:highlight w:val="none"/>
        </w:rPr>
        <w:t>信息化建设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Cs w:val="32"/>
          <w:highlight w:val="none"/>
        </w:rPr>
        <w:t>鼓励互联网平台帮助传统单体店“一业一策”进行供应链数字化赋能，从供应链末端的线上接单、线下配送向上游收银运营、库存管理、选品物流逐步拓展，提高商户运营效率。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支持建设智慧商店、智能快件箱等智能消费场景，支持线上线下融合的即时零售模式（平台下单+就近门店配送，就近门店下单+即时配送），支持建设生活圈智慧服务平台，提升居民的智能化沉浸式服务体验。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）市场主体培育工程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梳理连锁化经营、运转良好的品牌企业资源，推动企业向新社区、城乡结合地区扩展网点布局，鼓励企业组团式进驻生活圈，发挥业态的协同效应。进一步畅通政企沟通渠道，吸引活动经验丰富、拥有行业资源的社会组织或行业组织，鼓励其开展各种主题的生活圈消费活动的策划、招商、组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实施路径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合理划分圈层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  <w:lang w:val="en-US" w:eastAsia="zh-CN"/>
        </w:rPr>
        <w:t>按照</w:t>
      </w:r>
      <w:r>
        <w:rPr>
          <w:rFonts w:hint="eastAsia" w:ascii="仿宋_GB2312" w:hAnsi="仿宋_GB2312" w:cs="仿宋_GB2312"/>
          <w:szCs w:val="32"/>
        </w:rPr>
        <w:t>北京市商务局制定的一刻钟便民服务圈的划分标准，</w:t>
      </w:r>
      <w:r>
        <w:rPr>
          <w:rFonts w:hint="eastAsia" w:ascii="仿宋_GB2312" w:hAnsi="仿宋_GB2312" w:cs="仿宋_GB2312"/>
          <w:szCs w:val="32"/>
          <w:lang w:val="en-US" w:eastAsia="zh-CN"/>
        </w:rPr>
        <w:t>认真研究</w:t>
      </w:r>
      <w:r>
        <w:rPr>
          <w:rFonts w:hint="eastAsia" w:ascii="仿宋_GB2312" w:hAnsi="仿宋_GB2312" w:cs="仿宋_GB2312"/>
          <w:szCs w:val="32"/>
        </w:rPr>
        <w:t>我区</w:t>
      </w:r>
      <w:r>
        <w:rPr>
          <w:rFonts w:hint="eastAsia" w:ascii="仿宋_GB2312" w:hAnsi="仿宋_GB2312" w:cs="仿宋_GB231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Cs w:val="32"/>
        </w:rPr>
        <w:t>人口密度</w:t>
      </w:r>
      <w:r>
        <w:rPr>
          <w:rFonts w:hint="eastAsia" w:ascii="仿宋_GB2312" w:hAnsi="仿宋_GB2312" w:cs="仿宋_GB2312"/>
          <w:szCs w:val="32"/>
          <w:lang w:val="en-US" w:eastAsia="zh-CN"/>
        </w:rPr>
        <w:t>和区位、交通</w:t>
      </w:r>
      <w:r>
        <w:rPr>
          <w:rFonts w:hint="eastAsia" w:ascii="仿宋_GB2312" w:hAnsi="仿宋_GB2312" w:cs="仿宋_GB2312"/>
          <w:szCs w:val="32"/>
        </w:rPr>
        <w:t>特点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合理划定</w:t>
      </w:r>
      <w:r>
        <w:rPr>
          <w:rFonts w:hint="eastAsia" w:ascii="仿宋_GB2312" w:hAnsi="仿宋_GB2312" w:cs="仿宋_GB2312"/>
          <w:szCs w:val="32"/>
        </w:rPr>
        <w:t>便民生活圈的四</w:t>
      </w:r>
      <w:r>
        <w:rPr>
          <w:rFonts w:hint="eastAsia" w:ascii="仿宋_GB2312" w:hAnsi="仿宋_GB2312" w:cs="仿宋_GB2312"/>
          <w:szCs w:val="32"/>
          <w:lang w:val="en-US" w:eastAsia="zh-CN"/>
        </w:rPr>
        <w:t>至</w:t>
      </w:r>
      <w:r>
        <w:rPr>
          <w:rFonts w:hint="eastAsia" w:ascii="仿宋_GB2312" w:hAnsi="仿宋_GB2312" w:cs="仿宋_GB2312"/>
          <w:szCs w:val="32"/>
        </w:rPr>
        <w:t>边界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生活圈的面积一般应</w:t>
      </w:r>
      <w:r>
        <w:rPr>
          <w:rFonts w:hint="eastAsia" w:ascii="仿宋_GB2312" w:hAnsi="仿宋_GB2312" w:cs="仿宋_GB2312"/>
          <w:szCs w:val="32"/>
        </w:rPr>
        <w:t>控制在2平方公里内，人口密度为1-3万人/平方公里，避免便民生活圈划定范围过大或跨越河流、主干路、快速路。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>根据人口结构、主导功能、关键特色，将密云区的便民生活圈分为老城区住宅生活圈（11个）、</w:t>
      </w:r>
      <w:r>
        <w:rPr>
          <w:rFonts w:hint="eastAsia" w:ascii="仿宋_GB2312" w:hAnsi="仿宋_GB2312" w:cs="仿宋_GB2312"/>
        </w:rPr>
        <w:t>商业文化生活圈</w:t>
      </w:r>
      <w:r>
        <w:rPr>
          <w:rFonts w:hint="eastAsia" w:ascii="仿宋_GB2312" w:hAnsi="仿宋_GB2312" w:cs="仿宋_GB2312"/>
          <w:szCs w:val="32"/>
        </w:rPr>
        <w:t>（2个）</w:t>
      </w:r>
      <w:r>
        <w:rPr>
          <w:rFonts w:hint="eastAsia" w:ascii="仿宋_GB2312" w:hAnsi="仿宋_GB2312" w:cs="仿宋_GB2312"/>
        </w:rPr>
        <w:t>、新兴住宅生活圈</w:t>
      </w:r>
      <w:r>
        <w:rPr>
          <w:rFonts w:hint="eastAsia" w:ascii="仿宋_GB2312" w:hAnsi="仿宋_GB2312" w:cs="仿宋_GB2312"/>
          <w:szCs w:val="32"/>
        </w:rPr>
        <w:t>（7个）</w:t>
      </w:r>
      <w:r>
        <w:rPr>
          <w:rFonts w:hint="eastAsia" w:ascii="仿宋_GB2312" w:hAnsi="仿宋_GB2312" w:cs="仿宋_GB2312"/>
        </w:rPr>
        <w:t>、城乡结合部生活圈</w:t>
      </w:r>
      <w:r>
        <w:rPr>
          <w:rFonts w:hint="eastAsia" w:ascii="仿宋_GB2312" w:hAnsi="仿宋_GB2312" w:cs="仿宋_GB2312"/>
          <w:szCs w:val="32"/>
        </w:rPr>
        <w:t>（1个）</w:t>
      </w:r>
      <w:r>
        <w:rPr>
          <w:rFonts w:hint="eastAsia" w:ascii="仿宋_GB2312" w:hAnsi="仿宋_GB2312" w:cs="仿宋_GB231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到</w:t>
      </w:r>
      <w:r>
        <w:rPr>
          <w:rFonts w:hint="eastAsia" w:ascii="仿宋_GB2312" w:hAnsi="仿宋_GB2312" w:cs="仿宋_GB2312"/>
        </w:rPr>
        <w:t>2023年</w:t>
      </w:r>
      <w:r>
        <w:rPr>
          <w:rFonts w:hint="eastAsia" w:ascii="仿宋_GB2312" w:hAnsi="仿宋_GB2312" w:cs="仿宋_GB2312"/>
          <w:lang w:val="en-US" w:eastAsia="zh-CN"/>
        </w:rPr>
        <w:t>末</w:t>
      </w:r>
      <w:r>
        <w:rPr>
          <w:rFonts w:hint="eastAsia" w:ascii="仿宋_GB2312" w:hAnsi="仿宋_GB2312" w:cs="仿宋_GB2312"/>
        </w:rPr>
        <w:t>，基本完成覆盖城区的21个便民生活圈的</w:t>
      </w:r>
      <w:r>
        <w:rPr>
          <w:rFonts w:hint="eastAsia" w:ascii="仿宋_GB2312" w:hAnsi="仿宋_GB2312" w:cs="仿宋_GB2312"/>
          <w:lang w:val="en-US" w:eastAsia="zh-CN"/>
        </w:rPr>
        <w:t>范围</w:t>
      </w:r>
      <w:r>
        <w:rPr>
          <w:rFonts w:hint="eastAsia" w:ascii="仿宋_GB2312" w:hAnsi="仿宋_GB2312" w:cs="仿宋_GB2312"/>
        </w:rPr>
        <w:t>划定</w:t>
      </w:r>
      <w:r>
        <w:rPr>
          <w:rFonts w:hint="eastAsia" w:ascii="仿宋_GB2312" w:hAnsi="仿宋_GB2312" w:cs="仿宋_GB2312"/>
          <w:lang w:val="en-US" w:eastAsia="zh-CN"/>
        </w:rPr>
        <w:t>及分类工作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84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科学建设布局。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  <w:lang w:val="en-US" w:eastAsia="zh-CN"/>
        </w:rPr>
        <w:t>按照《三年行动方案建设配置标准》的规定配建基础保障类业态网点、品质提升类业态网点和特色业态网点，对于高频使用的业态，如菜篮子、</w:t>
      </w:r>
      <w:r>
        <w:rPr>
          <w:rFonts w:hint="eastAsia" w:ascii="仿宋_GB2312" w:hAnsi="仿宋_GB2312" w:cs="仿宋_GB2312"/>
          <w:szCs w:val="32"/>
          <w:lang w:eastAsia="zh-CN"/>
        </w:rPr>
        <w:t>便利店、</w:t>
      </w:r>
      <w:r>
        <w:rPr>
          <w:rFonts w:hint="eastAsia" w:ascii="仿宋_GB2312" w:hAnsi="仿宋_GB2312" w:cs="仿宋_GB2312"/>
          <w:szCs w:val="32"/>
          <w:lang w:val="en-US" w:eastAsia="zh-CN"/>
        </w:rPr>
        <w:t>社区超市等</w:t>
      </w:r>
      <w:r>
        <w:rPr>
          <w:rFonts w:hint="eastAsia" w:ascii="仿宋_GB2312" w:hAnsi="仿宋_GB2312" w:cs="仿宋_GB2312"/>
          <w:szCs w:val="32"/>
          <w:lang w:eastAsia="zh-CN"/>
        </w:rPr>
        <w:t>推动向5-10分钟圈层布局。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  <w:lang w:val="en-US" w:eastAsia="zh-CN"/>
        </w:rPr>
        <w:t>推广社区规划师制度，支持设计师进社区，做到</w:t>
      </w:r>
      <w:r>
        <w:rPr>
          <w:rFonts w:hint="eastAsia" w:ascii="仿宋_GB2312" w:hAnsi="仿宋_GB2312" w:cs="仿宋_GB2312"/>
          <w:szCs w:val="32"/>
        </w:rPr>
        <w:t>科学选址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合理布局商业网点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关注步行使用关联度较紧密设施的邻近设置，促进商业设施与公共设施联动，推动商业文化与消费习惯协调。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三是</w:t>
      </w:r>
      <w:r>
        <w:rPr>
          <w:rFonts w:hint="eastAsia"/>
          <w:lang w:val="en-US" w:eastAsia="zh-CN"/>
        </w:rPr>
        <w:t>加快推动社区便民商业服务综合体建设，鼓励</w:t>
      </w:r>
      <w:r>
        <w:rPr>
          <w:rFonts w:hint="eastAsia"/>
        </w:rPr>
        <w:t>依托连锁商超</w:t>
      </w:r>
      <w:r>
        <w:rPr>
          <w:rFonts w:hint="eastAsia"/>
          <w:lang w:val="en-US" w:eastAsia="zh-CN"/>
        </w:rPr>
        <w:t>等打造集购物、消费、餐饮、休闲娱乐于一体的商业服务综合体，每个综合体</w:t>
      </w:r>
      <w:r>
        <w:rPr>
          <w:rFonts w:hint="eastAsia" w:ascii="仿宋_GB2312" w:hAnsi="仿宋_GB2312" w:cs="仿宋_GB2312"/>
          <w:szCs w:val="32"/>
          <w:lang w:val="en-US" w:eastAsia="zh-CN"/>
        </w:rPr>
        <w:t>内需包含3种及以上基本保障类业态、品质提升类业态中至少包含1种具有</w:t>
      </w:r>
      <w:r>
        <w:rPr>
          <w:rFonts w:hint="eastAsia"/>
          <w:lang w:val="en-US" w:eastAsia="zh-CN"/>
        </w:rPr>
        <w:t>密云特色的业态，</w:t>
      </w:r>
      <w:r>
        <w:rPr>
          <w:rFonts w:hint="eastAsia" w:ascii="仿宋_GB2312" w:hAnsi="仿宋_GB2312" w:cs="仿宋_GB2312"/>
          <w:szCs w:val="32"/>
          <w:lang w:val="en-US" w:eastAsia="zh-CN"/>
        </w:rPr>
        <w:t>到2025年末，每个生活圈至少建成1个便民服务综合体。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（三）对标需求短板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。</w:t>
      </w:r>
      <w:r>
        <w:rPr>
          <w:rFonts w:hint="eastAsia"/>
          <w:lang w:val="en-US" w:eastAsia="zh-CN"/>
        </w:rPr>
        <w:t>各街道（乡镇）要按照生活圈建设进度要求，在充分调研和扎实研究的基础上编制“一圈一策”，同时</w:t>
      </w:r>
      <w:r>
        <w:rPr>
          <w:rFonts w:hint="eastAsia" w:ascii="仿宋_GB2312" w:hAnsi="仿宋_GB2312" w:cs="仿宋_GB2312"/>
          <w:szCs w:val="32"/>
          <w:highlight w:val="none"/>
        </w:rPr>
        <w:t>形成“一图一单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一账两</w:t>
      </w:r>
      <w:r>
        <w:rPr>
          <w:rFonts w:hint="eastAsia" w:ascii="仿宋_GB2312" w:hAnsi="仿宋_GB2312" w:cs="仿宋_GB2312"/>
          <w:szCs w:val="32"/>
          <w:highlight w:val="none"/>
        </w:rPr>
        <w:t>表”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b/>
          <w:bCs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cs="仿宋_GB2312"/>
          <w:b/>
          <w:bCs/>
          <w:szCs w:val="32"/>
          <w:highlight w:val="none"/>
          <w:lang w:val="en-US" w:eastAsia="zh-CN"/>
        </w:rPr>
        <w:t>一图</w:t>
      </w:r>
      <w:r>
        <w:rPr>
          <w:rFonts w:hint="eastAsia" w:ascii="仿宋_GB2312" w:hAnsi="仿宋_GB2312" w:cs="仿宋_GB2312"/>
          <w:b/>
          <w:bCs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要求</w:t>
      </w:r>
      <w:r>
        <w:rPr>
          <w:rFonts w:hint="eastAsia"/>
        </w:rPr>
        <w:t>梳理社区便民商业服务网点的数量、分布点位，建立网点分布电子地图；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一单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摸底居民需求，对标生活圈配置标准，结合社区人口结构、收入水平、消费习惯特点，制定“缺什么”、“补什么”任务清单；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一账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针对便民商业设施的服务半径，划</w:t>
      </w:r>
      <w:r>
        <w:rPr>
          <w:rFonts w:hint="eastAsia"/>
          <w:lang w:val="en-US" w:eastAsia="zh-CN"/>
        </w:rPr>
        <w:t>定</w:t>
      </w:r>
      <w:r>
        <w:rPr>
          <w:rFonts w:hint="eastAsia"/>
        </w:rPr>
        <w:t>服务覆盖范围，找寻步行服务盲区，</w:t>
      </w:r>
      <w:r>
        <w:rPr>
          <w:rFonts w:hint="eastAsia"/>
          <w:lang w:val="en-US" w:eastAsia="zh-CN"/>
        </w:rPr>
        <w:t>建立短板问题台账，将短板问题点</w:t>
      </w:r>
      <w:r>
        <w:rPr>
          <w:rFonts w:hint="eastAsia"/>
        </w:rPr>
        <w:t>作为设施配置的重点地区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推动</w:t>
      </w:r>
      <w:r>
        <w:rPr>
          <w:rFonts w:hint="eastAsia"/>
        </w:rPr>
        <w:t>步行服务盲区</w:t>
      </w:r>
      <w:r>
        <w:rPr>
          <w:rFonts w:hint="eastAsia"/>
          <w:lang w:val="en-US" w:eastAsia="zh-CN"/>
        </w:rPr>
        <w:t>便民商业服务的全</w:t>
      </w:r>
      <w:r>
        <w:rPr>
          <w:rFonts w:hint="eastAsia"/>
        </w:rPr>
        <w:t>覆盖</w:t>
      </w:r>
      <w:r>
        <w:rPr>
          <w:rFonts w:hint="eastAsia"/>
          <w:lang w:eastAsia="zh-CN"/>
        </w:rPr>
        <w:t>；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两表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根据居民需求轻重缓急制作便民服务设施配置时间表</w:t>
      </w:r>
      <w:r>
        <w:rPr>
          <w:rFonts w:hint="eastAsia"/>
          <w:lang w:val="en-US" w:eastAsia="zh-CN"/>
        </w:rPr>
        <w:t>和生活圈建设工作进度表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）拓展商业空间</w:t>
      </w: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>一是</w:t>
      </w:r>
      <w:r>
        <w:t>针对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檀城社区生活圈</w:t>
      </w:r>
      <w:r>
        <w:rPr>
          <w:rFonts w:hint="eastAsia"/>
          <w:lang w:eastAsia="zh-CN"/>
        </w:rPr>
        <w:t>”“</w:t>
      </w:r>
      <w:r>
        <w:rPr>
          <w:rFonts w:hint="eastAsia"/>
          <w:lang w:val="en-US" w:eastAsia="zh-CN"/>
        </w:rPr>
        <w:t>果园生活圈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等</w:t>
      </w:r>
      <w:r>
        <w:t>老旧社区</w:t>
      </w:r>
      <w:r>
        <w:rPr>
          <w:rFonts w:hint="eastAsia"/>
          <w:lang w:val="en-US" w:eastAsia="zh-CN"/>
        </w:rPr>
        <w:t>集中的圈</w:t>
      </w:r>
      <w:r>
        <w:t>，</w:t>
      </w:r>
      <w:r>
        <w:rPr>
          <w:rFonts w:hint="eastAsia"/>
          <w:lang w:val="en-US" w:eastAsia="zh-CN"/>
        </w:rPr>
        <w:t>要</w:t>
      </w:r>
      <w:r>
        <w:t>利用好现有的车棚、车库等资源，推动具备条件的空间转化为可经营的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连锁化</w:t>
      </w:r>
      <w:r>
        <w:t>社区商业设施，结合老旧小区改造，做好前期规划，将</w:t>
      </w:r>
      <w:r>
        <w:rPr>
          <w:rFonts w:hint="eastAsia"/>
        </w:rPr>
        <w:t>便民设施配置标准严格落实到位。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</w:rPr>
        <w:t>针对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瑞和园生活圈</w:t>
      </w:r>
      <w:r>
        <w:rPr>
          <w:rFonts w:hint="eastAsia"/>
          <w:lang w:eastAsia="zh-CN"/>
        </w:rPr>
        <w:t>”“</w:t>
      </w:r>
      <w:r>
        <w:rPr>
          <w:rFonts w:hint="eastAsia"/>
          <w:lang w:val="en-US" w:eastAsia="zh-CN"/>
        </w:rPr>
        <w:t>宾阳社区生活圈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空间不足的新社区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城乡结合部地区，</w:t>
      </w:r>
      <w:r>
        <w:rPr>
          <w:rFonts w:hint="eastAsia"/>
          <w:lang w:val="en-US" w:eastAsia="zh-CN"/>
        </w:rPr>
        <w:t>鼓励</w:t>
      </w:r>
      <w:r>
        <w:rPr>
          <w:rFonts w:hint="eastAsia"/>
        </w:rPr>
        <w:t>建设集聚式</w:t>
      </w:r>
      <w:r>
        <w:rPr>
          <w:rFonts w:hint="eastAsia" w:ascii="仿宋_GB2312" w:hAnsi="仿宋_GB2312" w:cs="仿宋_GB2312"/>
          <w:szCs w:val="32"/>
        </w:rPr>
        <w:t>便民商业服务综合体、增设</w:t>
      </w:r>
      <w:r>
        <w:rPr>
          <w:rFonts w:hint="eastAsia"/>
        </w:rPr>
        <w:t>箱式移动设施、直通车等</w:t>
      </w:r>
      <w:r>
        <w:rPr>
          <w:rFonts w:hint="eastAsia"/>
          <w:lang w:val="en-US" w:eastAsia="zh-CN"/>
        </w:rPr>
        <w:t>非固定</w:t>
      </w:r>
      <w:r>
        <w:rPr>
          <w:rFonts w:hint="eastAsia"/>
        </w:rPr>
        <w:t>设施，探索政府回租回购或租金补贴，通过招投标交由市场主体运营的准公益模式。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针对部分生活圈</w:t>
      </w:r>
      <w:bookmarkStart w:id="0" w:name="_GoBack"/>
      <w:bookmarkEnd w:id="0"/>
      <w:r>
        <w:rPr>
          <w:rFonts w:hint="eastAsia"/>
          <w:lang w:val="en-US" w:eastAsia="zh-CN"/>
        </w:rPr>
        <w:t>中的待拆迁区域，需根据实际情况增设</w:t>
      </w:r>
      <w:r>
        <w:rPr>
          <w:rFonts w:hint="eastAsia"/>
        </w:rPr>
        <w:t>箱式移动设施、直通车等</w:t>
      </w:r>
      <w:r>
        <w:rPr>
          <w:rFonts w:hint="eastAsia"/>
          <w:lang w:val="en-US" w:eastAsia="zh-CN"/>
        </w:rPr>
        <w:t>非固定</w:t>
      </w:r>
      <w:r>
        <w:rPr>
          <w:rFonts w:hint="eastAsia"/>
        </w:rPr>
        <w:t>设施，</w:t>
      </w:r>
      <w:r>
        <w:rPr>
          <w:rFonts w:hint="eastAsia"/>
          <w:lang w:val="en-US" w:eastAsia="zh-CN"/>
        </w:rPr>
        <w:t>引入便民生活“集市”，满足群众过渡生活需求。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）丰富商业业态。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</w:rPr>
        <w:t>优先配齐</w:t>
      </w:r>
      <w:r>
        <w:rPr>
          <w:rFonts w:hint="eastAsia" w:ascii="仿宋_GB2312" w:hAnsi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2"/>
          <w:highlight w:val="none"/>
        </w:rPr>
        <w:t>类</w:t>
      </w:r>
      <w:r>
        <w:rPr>
          <w:rFonts w:hint="eastAsia" w:ascii="仿宋_GB2312" w:hAnsi="仿宋_GB2312" w:cs="仿宋_GB2312"/>
          <w:szCs w:val="32"/>
        </w:rPr>
        <w:t>基本保障类业态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详见《三年行动方案建设配置标准设置》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、配足网点数量，</w:t>
      </w:r>
      <w:r>
        <w:rPr>
          <w:rFonts w:hint="eastAsia" w:ascii="仿宋_GB2312" w:hAnsi="仿宋_GB2312" w:cs="仿宋_GB2312"/>
        </w:rPr>
        <w:t>确保社区商业规模与人口增长同步。</w:t>
      </w:r>
      <w:r>
        <w:rPr>
          <w:rFonts w:hint="eastAsia" w:ascii="仿宋_GB2312" w:hAnsi="仿宋_GB2312" w:cs="仿宋_GB2312"/>
          <w:b/>
          <w:bCs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>各生活圈</w:t>
      </w:r>
      <w:r>
        <w:rPr>
          <w:rFonts w:hint="eastAsia"/>
        </w:rPr>
        <w:t>根据人口结构、行为特征、新生活方式等，应配</w:t>
      </w:r>
      <w:r>
        <w:rPr>
          <w:rFonts w:hint="eastAsia" w:ascii="仿宋_GB2312" w:hAnsi="仿宋_GB2312" w:cs="仿宋_GB2312"/>
        </w:rPr>
        <w:t>置不少于3类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8种</w:t>
      </w:r>
      <w:r>
        <w:rPr>
          <w:rFonts w:hint="eastAsia" w:ascii="仿宋_GB2312" w:hAnsi="仿宋_GB2312" w:cs="仿宋_GB2312"/>
        </w:rPr>
        <w:t>品质提升类业态，其中对于老城区住宅生</w:t>
      </w:r>
      <w:r>
        <w:rPr>
          <w:rFonts w:hint="eastAsia" w:ascii="仿宋_GB2312" w:hAnsi="仿宋_GB2312" w:cs="仿宋_GB2312"/>
          <w:szCs w:val="32"/>
        </w:rPr>
        <w:t>活圈、</w:t>
      </w:r>
      <w:r>
        <w:rPr>
          <w:rFonts w:hint="eastAsia" w:ascii="仿宋_GB2312" w:hAnsi="仿宋_GB2312" w:cs="仿宋_GB2312"/>
        </w:rPr>
        <w:t>城乡结合部生活圈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/>
        </w:rPr>
        <w:t>健康养生类设施为必备配置</w:t>
      </w:r>
      <w:r>
        <w:rPr>
          <w:rFonts w:hint="eastAsia"/>
          <w:lang w:eastAsia="zh-CN"/>
        </w:rPr>
        <w:t>；</w:t>
      </w:r>
      <w:r>
        <w:rPr>
          <w:rFonts w:hint="eastAsia"/>
        </w:rPr>
        <w:t>对于</w:t>
      </w:r>
      <w:r>
        <w:rPr>
          <w:rFonts w:hint="eastAsia" w:ascii="仿宋_GB2312" w:hAnsi="仿宋_GB2312" w:cs="仿宋_GB2312"/>
        </w:rPr>
        <w:t>商业文化生活圈，社交娱乐类设施为必备配置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对于新兴住宅生活圈，文化体育类或社交娱乐类设施为必备配置。</w:t>
      </w:r>
      <w:r>
        <w:rPr>
          <w:rFonts w:hint="eastAsia" w:ascii="仿宋_GB2312" w:hAnsi="仿宋_GB2312" w:cs="仿宋_GB2312"/>
          <w:b/>
          <w:bCs/>
          <w:lang w:val="en-US" w:eastAsia="zh-CN"/>
        </w:rPr>
        <w:t>三是</w:t>
      </w:r>
      <w:r>
        <w:rPr>
          <w:rFonts w:hint="eastAsia" w:ascii="仿宋_GB2312" w:hAnsi="仿宋_GB2312" w:cs="仿宋_GB2312"/>
          <w:szCs w:val="32"/>
        </w:rPr>
        <w:t>鼓励配置突出密云特色的品质提升类业态。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四是</w:t>
      </w:r>
      <w:r>
        <w:rPr>
          <w:rFonts w:hint="eastAsia" w:ascii="仿宋_GB2312" w:hAnsi="仿宋_GB2312" w:cs="仿宋_GB2312"/>
          <w:lang w:val="en-US" w:eastAsia="zh-CN"/>
        </w:rPr>
        <w:t>鼓励推动</w:t>
      </w:r>
      <w:r>
        <w:rPr>
          <w:rFonts w:hint="eastAsia"/>
        </w:rPr>
        <w:t>本地特色商业进社区，打造社区商业</w:t>
      </w:r>
      <w:r>
        <w:t>-本地特色农商-本地旅游体验商业三线互利的特色商业服务系统。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）提高门店效能。</w:t>
      </w:r>
      <w:r>
        <w:rPr>
          <w:rFonts w:hint="eastAsia" w:ascii="仿宋_GB2312" w:hAnsi="仿宋_GB2312" w:cs="仿宋_GB2312"/>
          <w:szCs w:val="32"/>
          <w:lang w:val="en-US" w:eastAsia="zh-CN"/>
        </w:rPr>
        <w:t>要求每个生活圈的商家线上平台入驻率均不得低于30%，持续</w:t>
      </w:r>
      <w:r>
        <w:rPr>
          <w:rFonts w:hint="eastAsia" w:ascii="仿宋_GB2312" w:hAnsi="仿宋_GB2312" w:cs="仿宋_GB2312"/>
          <w:szCs w:val="32"/>
        </w:rPr>
        <w:t>提升商业网点单位面积创造的价值</w:t>
      </w:r>
      <w:r>
        <w:rPr>
          <w:rFonts w:hint="eastAsia" w:ascii="仿宋_GB2312" w:hAnsi="仿宋_GB2312" w:cs="仿宋_GB2312"/>
          <w:szCs w:val="32"/>
          <w:lang w:val="en-US" w:eastAsia="zh-CN"/>
        </w:rPr>
        <w:t>及门店的管理效率。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</w:rPr>
        <w:t>加强对便民商业设施服务半径的管控，对于新城地区，设施的步行可达性应优先于服务规模，避免设施空间布局过度集中，降低设施的实际使用效率。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>鼓励商业网点“一店多能”、“店中店”等服务品类的横向扩充，</w:t>
      </w:r>
      <w:r>
        <w:rPr>
          <w:rFonts w:hint="eastAsia" w:ascii="仿宋_GB2312" w:hAnsi="仿宋_GB2312" w:cs="仿宋_GB2312"/>
          <w:szCs w:val="32"/>
          <w:lang w:val="en-US" w:eastAsia="zh-CN"/>
        </w:rPr>
        <w:t>鼓励便利店、餐饮店、小吃店、蛋糕烘焙店等搭载早餐服务，鼓励便利店（社区超市）搭载代扣代缴、代收代发、打印复印等便民服务；鼓励</w:t>
      </w:r>
      <w:r>
        <w:rPr>
          <w:rFonts w:hint="eastAsia" w:ascii="仿宋_GB2312" w:hAnsi="仿宋_GB2312" w:cs="仿宋_GB2312"/>
          <w:szCs w:val="32"/>
        </w:rPr>
        <w:t>以集采集配、统仓统配、线上线下融合、店配宅配</w:t>
      </w:r>
      <w:r>
        <w:rPr>
          <w:rFonts w:hint="eastAsia" w:ascii="仿宋_GB2312" w:hAnsi="仿宋_GB2312" w:cs="仿宋_GB2312"/>
          <w:szCs w:val="32"/>
          <w:lang w:val="en-US" w:eastAsia="zh-CN"/>
        </w:rPr>
        <w:t>等服务模式向纵向延伸。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cs="仿宋_GB231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）提升服务品质。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</w:rPr>
        <w:t>重点发展品牌连锁店，提高品牌连锁化覆盖率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引导有实力的生活服务企业、社会机构入驻社区，发展社区商业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</w:rPr>
        <w:t>有序清退</w:t>
      </w:r>
      <w:r>
        <w:rPr>
          <w:rFonts w:hint="eastAsia"/>
        </w:rPr>
        <w:t>低端低质低规范化的社区商业网点，为引入品牌连锁店预留空间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持续引入优质商业运营机构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提高社区商业的抗风险能力及标准化</w:t>
      </w:r>
      <w:r>
        <w:rPr>
          <w:rFonts w:hint="eastAsia" w:ascii="仿宋_GB2312" w:hAnsi="仿宋_GB2312" w:cs="仿宋_GB2312"/>
          <w:szCs w:val="32"/>
        </w:rPr>
        <w:t>服务</w:t>
      </w:r>
      <w:r>
        <w:rPr>
          <w:rFonts w:hint="eastAsia" w:ascii="仿宋_GB2312" w:hAnsi="仿宋_GB2312" w:cs="仿宋_GB2312"/>
          <w:szCs w:val="32"/>
          <w:lang w:val="en-US" w:eastAsia="zh-CN"/>
        </w:rPr>
        <w:t>能力，要求每个生活圈社区商业网点连锁化率不低于30%。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>推动智能设施广泛应用，举办新技术、新服务进社区活动，将与人们生活密切相关移动智能终端、可穿戴产品、智能服务机器人等定期向社区推送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</w:rPr>
        <w:t>鼓励在商业文化生活圈、新兴住宅生活圈建设技术集成的应用场景，打造无人场景（无人货架、无人便利店等）、智能场景（智慧宅配、智慧家居等），推动智能设施设备进社区、进门店。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）引导规范经营。</w:t>
      </w:r>
      <w:r>
        <w:rPr>
          <w:rFonts w:hint="eastAsia" w:ascii="仿宋_GB2312" w:hAnsi="仿宋_GB2312" w:cs="仿宋_GB2312"/>
          <w:szCs w:val="32"/>
          <w:lang w:val="en-US" w:eastAsia="zh-CN"/>
        </w:rPr>
        <w:t>探索党建引领、商协会管理、专业运营、共享共治等社区治理模式，促进共建共管。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szCs w:val="32"/>
        </w:rPr>
        <w:t>引入专业运营商，发挥行业协会作用，探索各类便民商业设施统一招商、成体系分发配置的模式。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>倡导商户诚信经营，建立社区居民意见反馈机制，有条件的可建立商户信用等级评价机制，按照信用等级进行分类管理，实施优胜劣汰、奖优罚劣，引导商户提供规范优质的服务。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（一）加强组织领导。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密云区一刻钟便民生活圈建设实施区长负责制，区商务局是统筹协调部门，相关部门有配合责任，街道（乡镇）是建设责任主体。各相关部门应对照北京市商务局等12部门联合印发的《加快建设一刻钟便民生活圈促进生活服务业转型升级的若干措施》对应的任务分工，切实履行自身职责。街道（乡镇）应整合属地民生保障、城市管理、社区建设、综合行政执法等力量推进实施。社区（村）发挥议事协商机制作用，收集、反映居民意见和诉求，做好与物业、商户的对接，优化便民商业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Arial" w:hAnsi="Arial" w:cs="Arial"/>
          <w:color w:val="auto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</w:rPr>
        <w:t>（二）优化营商环境。</w:t>
      </w:r>
      <w:r>
        <w:rPr>
          <w:rFonts w:hint="eastAsia" w:ascii="Arial" w:hAnsi="Arial" w:cs="Arial"/>
          <w:color w:val="auto"/>
          <w:shd w:val="clear" w:color="auto" w:fill="FFFFFF"/>
          <w:lang w:val="en-US" w:eastAsia="zh-CN"/>
        </w:rPr>
        <w:t>推动食品经营许可全程网办，落实连锁零售行业“一照多址”，加大电子证照推广应用力度，进一步提高商业设施装修改造审批效率，持续改进建设工程消防验收及公众聚集场所投入使用、营业前消防安全检查。针对餐饮企业、连锁超市（便利店）的日常监管执法推进“6+4”</w:t>
      </w:r>
      <w:r>
        <w:rPr>
          <w:rStyle w:val="10"/>
          <w:rFonts w:hint="eastAsia" w:ascii="Arial" w:hAnsi="Arial" w:cs="Arial"/>
          <w:color w:val="auto"/>
          <w:shd w:val="clear" w:color="auto" w:fill="FFFFFF"/>
          <w:lang w:val="en-US" w:eastAsia="zh-CN"/>
        </w:rPr>
        <w:footnoteReference w:id="4"/>
      </w:r>
      <w:r>
        <w:rPr>
          <w:rFonts w:hint="eastAsia" w:ascii="Arial" w:hAnsi="Arial" w:cs="Arial"/>
          <w:color w:val="auto"/>
          <w:shd w:val="clear" w:color="auto" w:fill="FFFFFF"/>
          <w:lang w:val="en-US" w:eastAsia="zh-CN"/>
        </w:rPr>
        <w:t>一体化综合监管，推动城市管理领域完善轻微违法行为依法免予处罚制度，指导街道乡镇政府规范基层政府监督执法行为，加强对恶意职业索赔的治理。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Arial" w:hAnsi="Arial" w:cs="Arial"/>
          <w:color w:val="191919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（三）强化政策保障。</w:t>
      </w:r>
      <w:r>
        <w:rPr>
          <w:rFonts w:hint="eastAsia" w:ascii="Arial" w:hAnsi="Arial" w:cs="Arial"/>
          <w:color w:val="191919"/>
          <w:shd w:val="clear" w:color="auto" w:fill="FFFFFF"/>
          <w:lang w:eastAsia="zh-CN"/>
        </w:rPr>
        <w:t>鼓励</w:t>
      </w:r>
      <w:r>
        <w:rPr>
          <w:rFonts w:hint="eastAsia" w:ascii="Arial" w:hAnsi="Arial" w:cs="Arial"/>
          <w:color w:val="191919"/>
          <w:shd w:val="clear" w:color="auto" w:fill="FFFFFF"/>
        </w:rPr>
        <w:t>新建社区商业和综合服务设施面积占社区总建筑面积不低于</w:t>
      </w:r>
      <w:r>
        <w:rPr>
          <w:rFonts w:ascii="Arial" w:hAnsi="Arial" w:cs="Arial"/>
          <w:color w:val="191919"/>
          <w:shd w:val="clear" w:color="auto" w:fill="FFFFFF"/>
        </w:rPr>
        <w:t>10%，做到</w:t>
      </w:r>
      <w:r>
        <w:rPr>
          <w:rFonts w:hint="eastAsia" w:ascii="Arial" w:hAnsi="Arial" w:cs="Arial"/>
          <w:color w:val="191919"/>
          <w:shd w:val="clear" w:color="auto" w:fill="FFFFFF"/>
          <w:lang w:eastAsia="zh-CN"/>
        </w:rPr>
        <w:t>居住项目配套</w:t>
      </w:r>
      <w:r>
        <w:rPr>
          <w:rFonts w:ascii="Arial" w:hAnsi="Arial" w:cs="Arial"/>
          <w:color w:val="191919"/>
          <w:shd w:val="clear" w:color="auto" w:fill="FFFFFF"/>
        </w:rPr>
        <w:t>商业设施与住宅同步规划、建设、验收和交付。推动</w:t>
      </w:r>
      <w:r>
        <w:rPr>
          <w:rFonts w:hint="eastAsia" w:ascii="Arial" w:hAnsi="Arial" w:cs="Arial"/>
          <w:color w:val="191919"/>
          <w:shd w:val="clear" w:color="auto" w:fill="FFFFFF"/>
        </w:rPr>
        <w:t>闲置公共空间、腾退空间、地下空间等建设便民商业服务设施的</w:t>
      </w:r>
      <w:r>
        <w:rPr>
          <w:rFonts w:hint="eastAsia" w:ascii="仿宋_GB2312" w:cs="仿宋_GB2312" w:hAnsiTheme="minorHAnsi"/>
          <w:kern w:val="0"/>
          <w:szCs w:val="32"/>
        </w:rPr>
        <w:t>注册登记。</w:t>
      </w:r>
      <w:r>
        <w:rPr>
          <w:rFonts w:hint="eastAsia" w:ascii="Arial" w:hAnsi="Arial" w:cs="Arial"/>
          <w:color w:val="191919"/>
          <w:shd w:val="clear" w:color="auto" w:fill="FFFFFF"/>
          <w:lang w:val="en-US" w:eastAsia="zh-CN"/>
        </w:rPr>
        <w:t>推动</w:t>
      </w:r>
      <w:r>
        <w:rPr>
          <w:rFonts w:hint="eastAsia" w:ascii="Arial" w:hAnsi="Arial" w:cs="Arial"/>
          <w:color w:val="191919"/>
          <w:shd w:val="clear" w:color="auto" w:fill="FFFFFF"/>
        </w:rPr>
        <w:t>厢式智能、移动便利设施</w:t>
      </w:r>
      <w:r>
        <w:rPr>
          <w:rFonts w:ascii="Arial" w:hAnsi="Arial" w:cs="Arial"/>
          <w:color w:val="191919"/>
          <w:shd w:val="clear" w:color="auto" w:fill="FFFFFF"/>
        </w:rPr>
        <w:t>（厢式便利店、智能货柜）进社区，补齐便民设施短板。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（四）加大资金支持力度。</w:t>
      </w:r>
      <w:r>
        <w:rPr>
          <w:rFonts w:hint="eastAsia" w:ascii="Arial" w:hAnsi="Arial" w:cs="Arial"/>
          <w:color w:val="191919"/>
          <w:shd w:val="clear" w:color="auto" w:fill="FFFFFF"/>
          <w:lang w:val="en-US" w:eastAsia="zh-CN"/>
        </w:rPr>
        <w:t>编制《密云区一刻钟便民生活圈资金支持方案》，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按照“政府引导、市场主导”、“市场主体自筹、政府支持”的原则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，对新建社区便民商业网点、新建或提升社区便民商业服务综合体、新建或改造综合养老服务中心、建设“一刻钟便民生活圈”、加盟连锁品牌、开展便民商业活动等工作予以支持。同时，</w:t>
      </w:r>
      <w:r>
        <w:rPr>
          <w:rFonts w:hint="eastAsia" w:ascii="仿宋_GB2312" w:hAnsi="仿宋_GB2312" w:cs="仿宋_GB2312"/>
          <w:color w:val="auto"/>
          <w:szCs w:val="32"/>
        </w:rPr>
        <w:t>鼓励国有网点资源通过租金减免等多种方式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对商业便民网点给予</w:t>
      </w:r>
      <w:r>
        <w:rPr>
          <w:rFonts w:hint="eastAsia" w:ascii="仿宋_GB2312" w:hAnsi="仿宋_GB2312" w:cs="仿宋_GB2312"/>
          <w:color w:val="auto"/>
          <w:szCs w:val="32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附件：1.1 三年行动方案建设配置标准设置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1.2三年行动方案实施步骤安排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1.3一刻钟便民生活圈名单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1.4密云区一刻钟便民生活圈建设任务分工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Cs w:val="32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三年行动方案建设配置标准设置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一、业态配置标准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社区便民商业业态包括基本保障类业态和品质提升类业态，基本保障类业态是满足社区居民基本生活需求必须设置的，须优先配齐、配优。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基本保障类业态配置标准如下：</w:t>
      </w:r>
    </w:p>
    <w:tbl>
      <w:tblPr>
        <w:tblStyle w:val="8"/>
        <w:tblpPr w:leftFromText="180" w:rightFromText="180" w:vertAnchor="text" w:horzAnchor="page" w:tblpXSpec="center" w:tblpY="104"/>
        <w:tblOverlap w:val="never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522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3018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业态</w:t>
            </w:r>
            <w:r>
              <w:rPr>
                <w:rFonts w:hint="eastAsia" w:ascii="仿宋_GB2312" w:hAnsi="仿宋_GB2312" w:cs="仿宋_GB2312"/>
                <w:b/>
                <w:sz w:val="28"/>
                <w:szCs w:val="32"/>
                <w:lang w:val="en-US" w:eastAsia="zh-CN"/>
              </w:rPr>
              <w:t>*</w:t>
            </w:r>
          </w:p>
        </w:tc>
        <w:tc>
          <w:tcPr>
            <w:tcW w:w="2522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配置层级</w:t>
            </w:r>
          </w:p>
        </w:tc>
        <w:tc>
          <w:tcPr>
            <w:tcW w:w="2649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配置标准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菜篮子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便利店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社区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超市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早餐店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**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每3000人不少于1个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药店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highlight w:val="none"/>
              </w:rPr>
              <w:t>每</w:t>
            </w:r>
            <w:r>
              <w:rPr>
                <w:rFonts w:hint="eastAsia" w:ascii="仿宋_GB2312" w:hAnsi="仿宋_GB2312" w:cs="仿宋_GB2312"/>
                <w:sz w:val="2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22"/>
                <w:szCs w:val="32"/>
                <w:highlight w:val="none"/>
              </w:rPr>
              <w:t>000人不少于1个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理发店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洗染店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家政服务点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小修小补点**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末端配送（快递柜）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  <w:highlight w:val="yellow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照相文印店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highlight w:val="none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highlight w:val="none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自助取水机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每个社区不少于1个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银行网点（含取款机）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物业服务点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每个社区不少于1个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大众餐饮店（有外卖服务）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每个生活圈不少于1个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社区便民商业服务综合体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每个生活圈不少于1个，各便民生活圈可根据实际情况选择集聚式或街坊式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200"/>
        <w:textAlignment w:val="auto"/>
      </w:pPr>
      <w:r>
        <w:rPr>
          <w:rFonts w:hint="eastAsia"/>
          <w:sz w:val="22"/>
        </w:rPr>
        <w:t>注释：*若网点实现“一店多能”，可以将网点内包含的各业态分别算作1个单独的网点；**考虑到这些业态“互联网+”渗透率较高，若能通过网络实现“当日服务</w:t>
      </w:r>
      <w:r>
        <w:rPr>
          <w:sz w:val="22"/>
        </w:rPr>
        <w:t>/配送”，且覆盖</w:t>
      </w:r>
      <w:r>
        <w:rPr>
          <w:rFonts w:hint="eastAsia"/>
          <w:sz w:val="22"/>
        </w:rPr>
        <w:t>生活圈内居民</w:t>
      </w:r>
      <w:r>
        <w:rPr>
          <w:rFonts w:hint="eastAsia" w:ascii="仿宋_GB2312" w:hAnsi="仿宋_GB2312" w:cs="仿宋_GB2312"/>
          <w:sz w:val="22"/>
          <w:szCs w:val="32"/>
        </w:rPr>
        <w:t>的，可以</w:t>
      </w:r>
      <w:r>
        <w:rPr>
          <w:rFonts w:hint="eastAsia" w:ascii="仿宋_GB2312" w:hAnsi="仿宋_GB2312" w:cs="仿宋_GB2312"/>
          <w:sz w:val="22"/>
          <w:szCs w:val="32"/>
          <w:lang w:val="en-US" w:eastAsia="zh-CN"/>
        </w:rPr>
        <w:t>搭载经营</w:t>
      </w:r>
      <w:r>
        <w:rPr>
          <w:rFonts w:hint="eastAsia" w:ascii="仿宋_GB2312" w:hAnsi="仿宋_GB2312" w:cs="仿宋_GB2312"/>
          <w:sz w:val="22"/>
          <w:szCs w:val="32"/>
        </w:rPr>
        <w:t>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2.品质提升类业态可根据人口结构、行为特征、居民需求等条件进行有选择的差异化配置。品质提升类业态参考配置如下：</w:t>
      </w:r>
    </w:p>
    <w:tbl>
      <w:tblPr>
        <w:tblStyle w:val="8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55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73" w:type="dxa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类别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业态</w:t>
            </w:r>
          </w:p>
        </w:tc>
        <w:tc>
          <w:tcPr>
            <w:tcW w:w="2874" w:type="dxa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配置层级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购物消费类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花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眼镜店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文具店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体育用品店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数码电子店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化妆品首饰店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婴幼儿、儿童用品店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服装箱包鞋帽店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自动贩售机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智慧商店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餐饮服务类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蛋糕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房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特色餐饮店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快餐连锁店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冷饮甜品店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社区食堂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健康养生类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社区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养老服务机构</w:t>
            </w:r>
            <w:r>
              <w:rPr>
                <w:rFonts w:hint="eastAsia" w:ascii="仿宋_GB2312" w:hAnsi="仿宋_GB2312" w:cs="仿宋_GB2312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含社区养老院、为老服务中心、日间照料中心等</w:t>
            </w:r>
            <w:r>
              <w:rPr>
                <w:rFonts w:hint="eastAsia" w:ascii="仿宋_GB2312" w:hAnsi="仿宋_GB2312" w:cs="仿宋_GB2312"/>
                <w:sz w:val="22"/>
                <w:szCs w:val="32"/>
                <w:lang w:eastAsia="zh-CN"/>
              </w:rPr>
              <w:t>）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民营医疗卫生服务机构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保健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理疗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文化体育类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健身场地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电影院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新式书店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文娱演出场所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棋牌室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社交娱乐类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茶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饮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咖啡馆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儿童娱乐中心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休闲娱乐场所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生活服务类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托育机构（含托育点）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美容美体店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宠物服务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培训教育点（非学科类）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旅游服务点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住宿酒店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金融保险服务网点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洗车行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汽车维修店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特色业态：</w:t>
      </w:r>
      <w:r>
        <w:rPr>
          <w:rFonts w:hint="eastAsia"/>
          <w:lang w:val="en-US" w:eastAsia="zh-CN"/>
        </w:rPr>
        <w:t>结合</w:t>
      </w:r>
      <w:r>
        <w:rPr>
          <w:rFonts w:hint="eastAsia"/>
        </w:rPr>
        <w:t>生态涵养区</w:t>
      </w:r>
      <w:r>
        <w:rPr>
          <w:rFonts w:hint="eastAsia"/>
          <w:lang w:val="en-US" w:eastAsia="zh-CN"/>
        </w:rPr>
        <w:t>特色</w:t>
      </w:r>
      <w:r>
        <w:rPr>
          <w:rFonts w:hint="eastAsia"/>
        </w:rPr>
        <w:t>，促进本地特色商业发展，打造社区商业</w:t>
      </w:r>
      <w:r>
        <w:t>-本地特色农商-本地旅游体验商业三线互利的特色商业服务系统</w:t>
      </w:r>
      <w:r>
        <w:rPr>
          <w:rFonts w:hint="eastAsia"/>
          <w:lang w:eastAsia="zh-CN"/>
        </w:rPr>
        <w:t>，</w:t>
      </w:r>
      <w:r>
        <w:t>如社区生鲜</w:t>
      </w:r>
      <w:r>
        <w:rPr>
          <w:rFonts w:hint="eastAsia"/>
        </w:rPr>
        <w:t>-本地农场-生态旅游体验的商业模式。</w:t>
      </w:r>
      <w:r>
        <w:rPr>
          <w:rFonts w:hint="eastAsia"/>
          <w:lang w:val="en-US" w:eastAsia="zh-CN"/>
        </w:rPr>
        <w:t>各个一刻钟</w:t>
      </w:r>
      <w:r>
        <w:rPr>
          <w:rFonts w:hint="eastAsia"/>
        </w:rPr>
        <w:t>便民生活圈应该积极与市场对接，引入特色业态、特色社区商业模式。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二、规模配置标准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</w:pPr>
      <w:r>
        <w:rPr>
          <w:rFonts w:hint="eastAsia"/>
        </w:rPr>
        <w:t>社区商业和综合服务设施面积占社区总建筑面积的比例不低于</w:t>
      </w:r>
      <w:r>
        <w:t>10%；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</w:pPr>
      <w:r>
        <w:rPr>
          <w:rFonts w:hint="eastAsia"/>
          <w:szCs w:val="32"/>
        </w:rPr>
        <w:t>社区商业服务设施</w:t>
      </w:r>
      <w:r>
        <w:rPr>
          <w:rFonts w:hint="eastAsia"/>
        </w:rPr>
        <w:t>总体</w:t>
      </w:r>
      <w:r>
        <w:rPr>
          <w:rFonts w:hint="eastAsia"/>
          <w:szCs w:val="32"/>
        </w:rPr>
        <w:t>规模按</w:t>
      </w:r>
      <w:r>
        <w:rPr>
          <w:szCs w:val="32"/>
        </w:rPr>
        <w:t>600-700</w:t>
      </w:r>
      <w:r>
        <w:rPr>
          <w:rFonts w:hint="eastAsia"/>
        </w:rPr>
        <w:t>平方米/千人</w:t>
      </w:r>
      <w:r>
        <w:rPr>
          <w:rFonts w:hint="eastAsia"/>
          <w:szCs w:val="32"/>
        </w:rPr>
        <w:t>建筑面积配置；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  <w:rPr>
          <w:rFonts w:hint="eastAsia"/>
        </w:rPr>
      </w:pPr>
      <w:r>
        <w:rPr>
          <w:rFonts w:hint="eastAsia"/>
        </w:rPr>
        <w:t>便利店</w:t>
      </w:r>
      <w:r>
        <w:rPr>
          <w:rFonts w:hint="eastAsia"/>
          <w:lang w:val="en-US" w:eastAsia="zh-CN"/>
        </w:rPr>
        <w:t>/社区超市</w:t>
      </w:r>
      <w:r>
        <w:rPr>
          <w:rFonts w:hint="eastAsia"/>
        </w:rPr>
        <w:t>：建筑面积10-20平方米/千人；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  <w:rPr>
          <w:rFonts w:hint="eastAsia"/>
        </w:rPr>
      </w:pPr>
      <w:r>
        <w:rPr>
          <w:rFonts w:hint="eastAsia"/>
        </w:rPr>
        <w:t>菜市场：建筑面积50平方米/千人，其中，中小型菜市场建筑面积最小规模为</w:t>
      </w:r>
      <w:r>
        <w:rPr>
          <w:rFonts w:hint="eastAsia"/>
          <w:lang w:val="en-US" w:eastAsia="zh-CN"/>
        </w:rPr>
        <w:t>500</w:t>
      </w:r>
      <w:r>
        <w:rPr>
          <w:rFonts w:hint="eastAsia"/>
        </w:rPr>
        <w:t>~1500平方米/每处，大型菜市场建筑面积最小规模为2000~2500平方米/每处；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  <w:rPr>
          <w:rFonts w:hint="eastAsia"/>
        </w:rPr>
      </w:pPr>
      <w:r>
        <w:rPr>
          <w:rFonts w:hint="eastAsia"/>
        </w:rPr>
        <w:t>健身房：建筑面积600~2000平方米/每处；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hanging="283" w:firstLineChars="0"/>
        <w:textAlignment w:val="auto"/>
        <w:rPr>
          <w:rFonts w:hint="eastAsia"/>
        </w:rPr>
      </w:pPr>
      <w:r>
        <w:rPr>
          <w:rFonts w:hint="eastAsia"/>
        </w:rPr>
        <w:t>社区便民商业服务综合体：建筑面积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00</w:t>
      </w:r>
      <w:r>
        <w:rPr>
          <w:rFonts w:hint="eastAsia"/>
        </w:rPr>
        <w:t>~3000平方米/每处；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4" w:hanging="283" w:firstLineChars="0"/>
        <w:textAlignment w:val="auto"/>
        <w:rPr>
          <w:rFonts w:hint="eastAsia"/>
        </w:rPr>
      </w:pPr>
      <w:r>
        <w:rPr>
          <w:rFonts w:hint="eastAsia"/>
        </w:rPr>
        <w:t>其他社区商业服务设施原则上重在总量控制，规模配置标准不做硬性规定，为节约用地，可与其他配套设施合建，不单独占地。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三、服务半径配置标准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结合各类设施的服务人口和服务半径情况，将社区便民商业设施细分为</w:t>
      </w:r>
      <w:r>
        <w:t>15分钟（800-1000米）、10分钟 （500米）、5分钟 （200-300米） 三种可达类型：</w:t>
      </w:r>
    </w:p>
    <w:tbl>
      <w:tblPr>
        <w:tblStyle w:val="8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300"/>
        <w:gridCol w:w="282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85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业态</w:t>
            </w:r>
          </w:p>
        </w:tc>
        <w:tc>
          <w:tcPr>
            <w:tcW w:w="2300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配置层级</w:t>
            </w:r>
          </w:p>
        </w:tc>
        <w:tc>
          <w:tcPr>
            <w:tcW w:w="2825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服务半径/可达类型</w:t>
            </w:r>
          </w:p>
        </w:tc>
        <w:tc>
          <w:tcPr>
            <w:tcW w:w="1775" w:type="dxa"/>
            <w:shd w:val="clear" w:color="auto" w:fill="EEECE1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32"/>
              </w:rPr>
              <w:t>服务人口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8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32"/>
              </w:rPr>
              <w:t>基本保障类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菜篮子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便利店或社区综合超市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早餐店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药店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200-500米/5-10分钟步行可达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3000-15000人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理发店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洗衣</w:t>
            </w: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家政服务点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小修小补点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仿宋_GB2312" w:cs="方正小标宋简体"/>
                <w:kern w:val="2"/>
                <w:sz w:val="22"/>
                <w:szCs w:val="8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末端配送（快递柜）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照相文印店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仿宋_GB2312" w:cs="方正小标宋简体"/>
                <w:kern w:val="2"/>
                <w:sz w:val="22"/>
                <w:szCs w:val="8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自助取水机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银行网点（含取款机）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物业服务点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大众餐饮店（有外卖服务）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社区便民商业服务综合体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32"/>
              </w:rPr>
              <w:t>品质提升类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社区</w:t>
            </w:r>
            <w:r>
              <w:rPr>
                <w:rFonts w:hint="eastAsia" w:ascii="仿宋_GB2312" w:hAnsi="仿宋_GB2312" w:cs="仿宋_GB2312"/>
                <w:sz w:val="22"/>
                <w:szCs w:val="32"/>
              </w:rPr>
              <w:t>养老服务机构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社区食堂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自动贩售机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智慧商店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200-300米/5分钟步行可达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  <w:lang w:val="en-US" w:eastAsia="zh-CN"/>
              </w:rPr>
              <w:t>托育机构（含托育点）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便民生活圈内社区层级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200-500米/5-10分钟步行可达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3000-15000人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其他服务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便民生活圈层级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800-1000米/15分钟步行可达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cs="仿宋_GB2312"/>
                <w:sz w:val="22"/>
                <w:szCs w:val="32"/>
              </w:rPr>
              <w:t>50000人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四、配置优先原则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为进一步提高社区居民的满意度，实现以人为本开展社区便民商业设施、服务的优化治理，便民生活圈在依据配置标准建设、配置社区便民商业设施与服务时，应遵循以下3点优先原则：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1. 老人、儿童优先原则。对于老幼人群适用频率较高的设施，比如菜篮子（菜市场、生鲜超市、菜店）、养老服务机构、婴幼儿托管点等，应优先布局于5-10分钟的步行距离内。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2. 服务半径优先原则。设施的服务半径优先于设施的规模。步行可达是社区便民商业设施的首要管控目标，重点针对设施的步行可达距离，划示服务覆盖范围，找寻步行服务盲区，作为设施配置的重点地区。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3. 设施关联度优先原则。关注社区便民商业设施之间的步行关联度，将使用关联度较紧密的设施邻近设置、集中布局，分别形成以儿童、老人以及成年人为核心使用人群的高关联度设施群：儿童设施群（学校-亲子场所、儿童娱乐场所-儿童培训教育机构）；老人设施群（菜市场-学校-小型商业-儿童培训教育机构）；成年人设施群（文化、体育设施-购物中心-各类开放空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五、各类型便民生活圈配置要求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cs="仿宋_GB2312"/>
        </w:rPr>
        <w:t>为实现城市精细化治理，提高不同人文环境、空间环境下的社区生活宜居度，便民生活圈应该因地制宜，结合本区域的特点开展工作。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 xml:space="preserve"> 老城区住宅生活圈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结合“疏解、整治、促提升”，合理利用腾退空间填充社区商业空间。充分考虑空间限制，灵活布置网点。保障基本保障类便民商业网点数量，适当提高品质提升类商业网点数量。减少低端低质低规范化的社区商业网点数量，提高连锁化网点比例。</w:t>
      </w:r>
      <w:r>
        <w:rPr>
          <w:rFonts w:hint="eastAsia"/>
          <w:lang w:val="en-US" w:eastAsia="zh-CN"/>
        </w:rPr>
        <w:t>鼓励</w:t>
      </w:r>
      <w:r>
        <w:rPr>
          <w:rFonts w:hint="eastAsia"/>
        </w:rPr>
        <w:t>在建成环境较好、道路路网条件适宜、有空间及运营条件的位置建设街坊式的社区便民商业服务综合体。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t>对于</w:t>
      </w:r>
      <w:r>
        <w:rPr>
          <w:rFonts w:hint="eastAsia"/>
        </w:rPr>
        <w:t>60岁及以上老年人口达到社区总人口的25%以上，或65岁及以上老年人口占比达到15%以上的社区，应重点考虑在5-10分钟步行距离内设置适老性设施，如</w:t>
      </w:r>
      <w:r>
        <w:rPr>
          <w:rFonts w:hint="eastAsia"/>
          <w:lang w:val="en-US" w:eastAsia="zh-CN"/>
        </w:rPr>
        <w:t>社区养老院、为老服务中心、日间照料中心等</w:t>
      </w:r>
      <w:r>
        <w:rPr>
          <w:rFonts w:hint="eastAsia"/>
        </w:rPr>
        <w:t>，同时兼顾老年餐桌、家政、送餐等服务。对于80岁以上老年人口占比超过10%的社区，应重点考虑在5分钟步行距离内设置日间照料中心，为高龄人口提供医疗养护、日常托管、家庭护理的服务。鼓励社区商业网点提供“上门服务”、“优惠服务”等便民助老商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）商业文化生活圈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依托商业中心、商务区建设高品质、高标准社区商业服务网络，进行丰富多样的品质提升业态配置，引导商业中心适当承担社区商业服务功能，服务周边社区。保障社区便民商业网点的数量，避免社区内优质商业空间被过度商业化的非社区服务型商业挤占。品质提升类业态占比应不低于25%，建议配置社交、文化、休闲、体育等业态。</w:t>
      </w:r>
      <w:r>
        <w:rPr>
          <w:rFonts w:hint="eastAsia"/>
          <w:lang w:val="en-US" w:eastAsia="zh-CN"/>
        </w:rPr>
        <w:t>鼓励</w:t>
      </w:r>
      <w:r>
        <w:rPr>
          <w:rFonts w:hint="eastAsia"/>
        </w:rPr>
        <w:t>建设街坊式的社区便民商业服务综合体，因地制宜形成不同的主题街区文化和地方特色文化，打造街区商业服务示范区。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/>
        </w:rPr>
        <w:t>对于3岁及以下婴幼儿人口比例较高的社区，应加强儿童养育功能的基础保障，在5-10分钟步行距离内增加0~3岁婴幼儿教养与托管设施，提供婴幼儿托管、儿童教育培训等服务。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）新兴住宅生活圈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/>
        </w:rPr>
        <w:t>随城市发展、引进产业、高等学院而兴，以外来、流动的中青年人口为主。应适当提高社区便民商业设施的服务标准，建设、引入规范化、连锁化、智慧化服务设施为主，尽量避免低端低质低规范化的社区商业网点建设。</w:t>
      </w:r>
      <w:r>
        <w:rPr>
          <w:rFonts w:hint="eastAsia" w:ascii="仿宋_GB2312" w:hAnsi="仿宋_GB2312" w:cs="仿宋_GB2312"/>
        </w:rPr>
        <w:t>应结合自身发展实际，确保社区商业规模与人口增长同步。社区便民商业设施应该选择共同路线沿街配置，增加共享类型业态占比，提高社区间协同性，尽量减少在社区围墙内封闭区域配置社区便民商业设施。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t>在评估社</w:t>
      </w:r>
      <w:r>
        <w:rPr>
          <w:rFonts w:hint="eastAsia"/>
        </w:rPr>
        <w:t>区公共服务设施短板时，应从重指标向重使用、重效能转变，</w:t>
      </w:r>
      <w:r>
        <w:rPr>
          <w:rFonts w:hint="eastAsia" w:ascii="仿宋_GB2312" w:hAnsi="仿宋_GB2312" w:cs="仿宋_GB2312"/>
        </w:rPr>
        <w:t>重点关注服务设施步行可达覆盖率，补齐步行服务盲区，避免社区便民服务设施过度集中，步行可达性较差，设施实际使用效率较低的情形。对于服务人流量较低的区域（比如新建社区或步行服务盲区），发挥政府引导、市场主导作用，探索“政府建设、企业运营”、“企业投资、政府</w:t>
      </w:r>
      <w:r>
        <w:rPr>
          <w:rFonts w:hint="eastAsia" w:ascii="仿宋_GB2312" w:hAnsi="仿宋_GB2312" w:cs="仿宋_GB2312"/>
          <w:lang w:val="en-US" w:eastAsia="zh-CN"/>
        </w:rPr>
        <w:t>奖励</w:t>
      </w:r>
      <w:r>
        <w:rPr>
          <w:rFonts w:hint="eastAsia" w:ascii="仿宋_GB2312" w:hAnsi="仿宋_GB2312" w:cs="仿宋_GB2312"/>
        </w:rPr>
        <w:t>”等市场化驱动模式支持网点建设及前期运营。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应根据不同的人群构成，有针对性地配置社区便民服务设施。对于随产业而兴，以科技、产业人员为主的</w:t>
      </w:r>
      <w:r>
        <w:t>新兴住宅</w:t>
      </w:r>
      <w:r>
        <w:rPr>
          <w:rFonts w:hint="eastAsia" w:ascii="仿宋_GB2312" w:hAnsi="仿宋_GB2312" w:cs="仿宋_GB2312"/>
        </w:rPr>
        <w:t>生活圈，重点引进高科技、高品质、高效率的社区商业形式，和休闲社交类商业服务品牌，满足高新技术人才的生活办公需求。品质提升类业态占比不低于</w:t>
      </w:r>
      <w:r>
        <w:rPr>
          <w:rFonts w:ascii="仿宋_GB2312" w:hAnsi="仿宋_GB2312" w:cs="仿宋_GB2312"/>
        </w:rPr>
        <w:t>30%，建议配置无人便利店、自动售货机、咖啡厅及其他形式社交空间、健身及康体美容服务等业态。对于随</w:t>
      </w:r>
      <w:r>
        <w:rPr>
          <w:rFonts w:hint="eastAsia"/>
        </w:rPr>
        <w:t>高等学院而兴，以高校教职工、短期到访科学工作者为主的新兴住宅生活圈，重点满足居民的精神消费，</w:t>
      </w:r>
      <w:r>
        <w:rPr>
          <w:rFonts w:hint="eastAsia" w:ascii="仿宋_GB2312" w:hAnsi="仿宋_GB2312" w:cs="仿宋_GB2312"/>
        </w:rPr>
        <w:t>打造浓厚文化氛围，品质提升类业态占比不低于2</w:t>
      </w:r>
      <w:r>
        <w:rPr>
          <w:rFonts w:ascii="仿宋_GB2312" w:hAnsi="仿宋_GB2312" w:cs="仿宋_GB2312"/>
        </w:rPr>
        <w:t>0%，建议配置</w:t>
      </w:r>
      <w:r>
        <w:rPr>
          <w:rFonts w:hint="eastAsia" w:ascii="仿宋_GB2312" w:hAnsi="仿宋_GB2312" w:cs="仿宋_GB2312"/>
        </w:rPr>
        <w:t>新式书店、茶艺咖啡馆及其他相对安静的社交空间、成年兴趣培训、职业培训中心等业态。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）城乡结合部生活圈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社区商业建设标准应逐渐向城区标准看齐，提升基本便民商业网点密度，提升居民生活便利度。尤其应鼓励建设、引入末端配送网点和适应本地发展的便利店，鼓励建设功能复合型的商业服务网点。社区便民商业业态应以基本保障类业态为主。完善适老化服务，建议配置老年餐桌、老年人活动中心、老年学校等</w:t>
      </w:r>
      <w:r>
        <w:rPr>
          <w:rFonts w:hint="eastAsia" w:ascii="仿宋_GB2312" w:hAnsi="仿宋_GB2312" w:cs="仿宋_GB2312"/>
          <w:szCs w:val="32"/>
        </w:rPr>
        <w:t>商业设施。</w:t>
      </w:r>
      <w:r>
        <w:rPr>
          <w:rFonts w:hint="eastAsia" w:ascii="仿宋_GB2312" w:hAnsi="仿宋_GB2312" w:cs="仿宋_GB2312"/>
          <w:szCs w:val="32"/>
          <w:lang w:val="en-US" w:eastAsia="zh-CN"/>
        </w:rPr>
        <w:t>针</w:t>
      </w:r>
      <w:r>
        <w:rPr>
          <w:rFonts w:hint="eastAsia"/>
          <w:lang w:val="en-US" w:eastAsia="zh-CN"/>
        </w:rPr>
        <w:t>对空间严重不足、待拆迁区域、入住率较低新区等未达到配置标准的便民生活圈，根据实际情况选择新建或置换固定经营场所，或</w:t>
      </w:r>
      <w:r>
        <w:rPr>
          <w:rFonts w:hint="eastAsia"/>
        </w:rPr>
        <w:t>增设箱式移动设施、直通车等</w:t>
      </w:r>
      <w:r>
        <w:rPr>
          <w:rFonts w:hint="eastAsia"/>
          <w:lang w:val="en-US" w:eastAsia="zh-CN"/>
        </w:rPr>
        <w:t>非固定</w:t>
      </w:r>
      <w:r>
        <w:rPr>
          <w:rFonts w:hint="eastAsia"/>
        </w:rPr>
        <w:t>设施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eastAsia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三年行动方案实施步骤安排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一、启动阶段（2023年9月-12月）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全面启动便民生活圈建设三年行动计划（2023年底前）。分析各生活圈可利用载体资源、网点存量以及分布情况。组建生活圈建设推进小组，对各生活圈人群结构、行为习惯、消费偏好等方面进行调查，</w:t>
      </w:r>
      <w:r>
        <w:rPr>
          <w:rFonts w:hint="eastAsia" w:ascii="仿宋_GB2312" w:hAnsi="仿宋_GB2312" w:cs="仿宋_GB2312"/>
          <w:szCs w:val="32"/>
          <w:lang w:val="en-US" w:eastAsia="zh-CN"/>
        </w:rPr>
        <w:t>出台建设方</w:t>
      </w:r>
      <w:r>
        <w:rPr>
          <w:rFonts w:hint="eastAsia" w:ascii="仿宋_GB2312" w:hAnsi="仿宋_GB2312" w:cs="仿宋_GB2312"/>
          <w:szCs w:val="32"/>
        </w:rPr>
        <w:t>案。按照生活圈便民商业配置要求，结合具体方案，采取存量提升、连锁企业加快布局、政策引导等方式，全面启动21个便民生活圈的建设工作任务。完成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-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个便民生活圈建设。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二、推广阶段（2024年1月-12月）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从城中心加速向外围扩展，加快剩余生活圈的建设进度（2024年底前）。通过建成生活圈的示范引领作用，带动其他生活圈的建设，查漏补缺。各生活圈制定未完成的重点任务清单及完成时间表。加强部门与街镇的沟通协调，为解决问题提供政策保障。完成</w:t>
      </w:r>
      <w:r>
        <w:rPr>
          <w:rFonts w:hint="eastAsia" w:ascii="仿宋_GB2312" w:hAnsi="仿宋_GB2312" w:cs="仿宋_GB2312"/>
          <w:szCs w:val="32"/>
          <w:lang w:val="en-US" w:eastAsia="zh-CN"/>
        </w:rPr>
        <w:t>9-10</w:t>
      </w:r>
      <w:r>
        <w:rPr>
          <w:rFonts w:hint="eastAsia" w:ascii="仿宋_GB2312" w:hAnsi="仿宋_GB2312" w:cs="仿宋_GB2312"/>
          <w:szCs w:val="32"/>
        </w:rPr>
        <w:t>个便民生活圈建设。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三、完成阶段（2025年1月-12月）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完成全部生活圈的建设任务，</w:t>
      </w:r>
      <w:r>
        <w:rPr>
          <w:rFonts w:hint="eastAsia" w:ascii="仿宋_GB2312" w:hAnsi="仿宋_GB2312" w:cs="仿宋_GB2312"/>
          <w:szCs w:val="32"/>
        </w:rPr>
        <w:t>实现便民生活圈城区全覆盖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生活圈</w:t>
      </w:r>
      <w:r>
        <w:rPr>
          <w:rFonts w:hint="eastAsia" w:ascii="仿宋_GB2312" w:hAnsi="仿宋_GB2312" w:cs="仿宋_GB2312"/>
          <w:szCs w:val="32"/>
        </w:rPr>
        <w:t>居民满意度得到提高，社区消费规模不断扩大，社区便民消费升级进一步加强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社区便民服务的便利化、标准化、智慧化、品质化达到更高水平。</w:t>
      </w:r>
      <w:r>
        <w:rPr>
          <w:rFonts w:hint="eastAsia" w:ascii="仿宋_GB2312" w:hAnsi="仿宋_GB2312" w:cs="仿宋_GB2312"/>
          <w:szCs w:val="32"/>
          <w:lang w:val="en-US" w:eastAsia="zh-CN"/>
        </w:rPr>
        <w:t>对建设工作开展评估总结，梳理典型经验，形成长效工作机制。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附件1.3</w:t>
      </w:r>
    </w:p>
    <w:p>
      <w:pPr>
        <w:jc w:val="center"/>
        <w:rPr>
          <w:rFonts w:hint="eastAsia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一刻钟便民生活圈建设名单</w:t>
      </w:r>
    </w:p>
    <w:p>
      <w:pPr>
        <w:jc w:val="center"/>
        <w:rPr>
          <w:rFonts w:hint="eastAsia" w:eastAsia="方正小标宋简体"/>
          <w:sz w:val="40"/>
          <w:szCs w:val="40"/>
          <w:lang w:val="en-US" w:eastAsia="zh-CN"/>
        </w:rPr>
      </w:pPr>
    </w:p>
    <w:tbl>
      <w:tblPr>
        <w:tblStyle w:val="8"/>
        <w:tblW w:w="15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48"/>
        <w:gridCol w:w="861"/>
        <w:gridCol w:w="900"/>
        <w:gridCol w:w="1243"/>
        <w:gridCol w:w="672"/>
        <w:gridCol w:w="829"/>
        <w:gridCol w:w="816"/>
        <w:gridCol w:w="801"/>
        <w:gridCol w:w="1182"/>
        <w:gridCol w:w="1481"/>
        <w:gridCol w:w="1443"/>
        <w:gridCol w:w="1729"/>
        <w:gridCol w:w="1157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生活圈名称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生活圈类型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生活圈划分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覆盖社区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覆盖社区数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服务人口(万人)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预计建成年份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以下内容请参照《一刻钟便民生活圈划分标准》中划分指标填写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人群画像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社区业态完备度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社区画像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区位资源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社区协同度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檀城社区生活圈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檀城东区、檀城西区、白檀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老年人和中青年人、流动人口为主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低层新楼多且密集、高层少，典型居住区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花园东区、花园西区、东菜园社区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低层老楼多且密集，典型居住区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周边有餐馆、理发店、便民菜店、超市等生活服务设施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果园新里社区、果园西里社区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老年人和外来人口为主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老楼且密集，典型居住区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康居社区、绿地社区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高楼且密集，低层老楼多，典型居住区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久润生活圈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檀营社区、悦欣嘉园社区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老年人、中青年人和外来人口为主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高楼且密集、低层老楼少，典型居住区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商业文化生活圈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檀州家园、长安东区、长安西区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低层新楼多且密集、高层少，典型居住区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周边有餐馆、理发店、便民菜店、超市等生活服务设施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商业文化生活圈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鼓楼社区、鼓楼南区、沿湖社区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低层老楼多且密集、高层少，典型居住区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周边有餐馆、理发店、便民菜店、超市等生活服务设施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宾阳西里、宾阳社区、北源里社区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低层新楼多且密集、高层少，典型居住区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周边有餐馆、理发店、便民菜店、超市等生活服务设施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宾阳里社区生活圈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宾阳里社区、宾阳北里社区、车站路南区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1.7929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低层老楼多且密集，典型居住区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周边有餐馆、理发店、便民菜店、超市等生活服务设施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季庄生活圈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果园新里北区社区季庄社区、嘉益社区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低层老楼多，高层新楼少且密集，典型居住区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阳光社区、向阳西社区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高层新楼多且密集，典型居住区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太扬家园社区生活圈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太扬家园社区、亚澜湾社区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中青年人和流动人口为主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高楼且密集、低层老楼少，典型居住区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周边有超市、便民菜店、饭店等生活服务设施较少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御东园社区生活圈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行宫社区、御东园社区、石桥社区、行宫南区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低层楼多、高层少且密集，典型居住区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周边有餐馆、理发店、便民菜店等生活服务设施少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云秀社区生活圈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云北社区、云秀花园、车站路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老年人和中青年人、流动人口为主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低层楼多且密集，典型居住区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周边有餐馆、理发店、便民菜店等生活服务设施少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兴云生活圈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兴云社区、福荣社区、润博园社区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中青年人和流动人口为主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高楼且密集、低层老楼少，典型居住区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学府花园社区、康馨雅苑社区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中青年和流动人口为主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老楼且密集，典型居住区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密西生活圈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密西花园社区、新北路社区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中青年人和外来人口为主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老楼多，部分正在新建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瑞和园生活圈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瑞和园社区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年轻人和外来人口为主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周边生活服务设施少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上河湾生活圈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上河湾社区、澜悦社区、清水湾社区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年轻人和弱势群体多为主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周边生活服务设施少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檀营生活圈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老城区住宅生活圈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檀营第一社区、檀营第二社区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老年人、中青年人和外来人口为主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业态集中分布于四周主干道、共享业态多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高楼且密集、低层老楼少，典型居住区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周边有餐馆、理发店等生活服务设施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社区开放度较高，出入方便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密云镇北区生活圈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城乡结合部生活圈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王家楼村、大唐庄村、小唐庄村、李各庄村、西户部庄村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以农村户籍老年人及流动人口为主。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业态集中分布于新北路与新西路交叉口西南侧、基础与品质较为薄弱。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回迁楼、平房均有，典型居民区。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周边有医务室、图书馆、便利店、餐馆、美容美发等生活服务设施。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小区及村开放度高，出入方便。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与周围社区协同度较低。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-15214470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-152144703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14470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16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144703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16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1"/>
          <w:szCs w:val="21"/>
        </w:rPr>
        <w:t>一刻钟便民生活圈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21"/>
          <w:szCs w:val="21"/>
        </w:rPr>
        <w:t>伴随社区商业发展而产生，是以社区居民为服务对象，服务半径为步行15分钟左右的范围内，以满足居民日常生活基本消费和品质消费为目标，以多业态集聚形成的社区商圈。</w:t>
      </w:r>
    </w:p>
    <w:p>
      <w:pPr>
        <w:pStyle w:val="6"/>
        <w:snapToGrid w:val="0"/>
      </w:pPr>
    </w:p>
  </w:footnote>
  <w:footnote w:id="1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footnoteRef/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基本保障类业态指满足社区居民一日三餐、生活必需品、家庭生活服务等基本消费需求的业态，主要包</w:t>
      </w:r>
      <w:r>
        <w:rPr>
          <w:rFonts w:hint="eastAsia" w:ascii="仿宋_GB2312" w:hAnsi="仿宋_GB2312" w:eastAsia="仿宋_GB2312" w:cs="仿宋_GB2312"/>
          <w:sz w:val="21"/>
          <w:szCs w:val="21"/>
        </w:rPr>
        <w:t>括便利店、综合超市、菜篮子（菜市场、生鲜超市、菜店）、早餐店、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洗衣</w:t>
      </w:r>
      <w:r>
        <w:rPr>
          <w:rFonts w:hint="eastAsia" w:ascii="仿宋_GB2312" w:hAnsi="仿宋_GB2312" w:eastAsia="仿宋_GB2312" w:cs="仿宋_GB2312"/>
          <w:sz w:val="21"/>
          <w:szCs w:val="21"/>
        </w:rPr>
        <w:t>店、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理发</w:t>
      </w:r>
      <w:r>
        <w:rPr>
          <w:rFonts w:hint="eastAsia" w:ascii="仿宋_GB2312" w:hAnsi="仿宋_GB2312" w:eastAsia="仿宋_GB2312" w:cs="仿宋_GB2312"/>
          <w:sz w:val="21"/>
          <w:szCs w:val="21"/>
        </w:rPr>
        <w:t>店、照相文印店、家政服务点、维修点、药店、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末端配送</w:t>
      </w:r>
      <w:r>
        <w:rPr>
          <w:rFonts w:hint="eastAsia" w:ascii="仿宋_GB2312" w:hAnsi="仿宋_GB2312" w:eastAsia="仿宋_GB2312" w:cs="仿宋_GB2312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Style w:val="10"/>
          <w:rFonts w:hint="eastAsia" w:ascii="仿宋_GB2312" w:hAnsi="仿宋_GB2312" w:eastAsia="仿宋_GB2312" w:cs="仿宋_GB2312"/>
          <w:sz w:val="21"/>
          <w:szCs w:val="21"/>
          <w:vertAlign w:val="superscript"/>
        </w:rPr>
      </w:pPr>
    </w:p>
  </w:footnote>
  <w:footnote w:id="2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品质提升类业态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sz w:val="21"/>
          <w:szCs w:val="21"/>
        </w:rPr>
        <w:t>满足社区居民休闲、健康、社交、娱乐、购物等个性化、多样化、特色化的更高层次消费需求的业态，主要包括社区养老服务机构、特色餐饮店、蛋糕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房</w:t>
      </w:r>
      <w:r>
        <w:rPr>
          <w:rFonts w:hint="eastAsia" w:ascii="仿宋_GB2312" w:hAnsi="仿宋_GB2312" w:eastAsia="仿宋_GB2312" w:cs="仿宋_GB2312"/>
          <w:sz w:val="21"/>
          <w:szCs w:val="21"/>
        </w:rPr>
        <w:t>、新式书店、运动健身房、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托育机构</w:t>
      </w:r>
      <w:r>
        <w:rPr>
          <w:rFonts w:hint="eastAsia" w:ascii="仿宋_GB2312" w:hAnsi="仿宋_GB2312" w:eastAsia="仿宋_GB2312" w:cs="仿宋_GB2312"/>
          <w:sz w:val="21"/>
          <w:szCs w:val="21"/>
        </w:rPr>
        <w:t>、培训教育点、旅游服务点、保健养生店、鲜花礼品店、茶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饮</w:t>
      </w:r>
      <w:r>
        <w:rPr>
          <w:rFonts w:hint="eastAsia" w:ascii="仿宋_GB2312" w:hAnsi="仿宋_GB2312" w:eastAsia="仿宋_GB2312" w:cs="仿宋_GB2312"/>
          <w:sz w:val="21"/>
          <w:szCs w:val="21"/>
        </w:rPr>
        <w:t>咖啡馆、宠物服务站等。</w:t>
      </w:r>
    </w:p>
    <w:p>
      <w:pPr>
        <w:pStyle w:val="6"/>
        <w:snapToGrid w:val="0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</w:footnote>
  <w:footnote w:id="3">
    <w:p>
      <w:pPr>
        <w:pStyle w:val="6"/>
        <w:snapToGrid w:val="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footnoteRef/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社区便民商业服务综合体</w:t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指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具有一定规模的“业态齐全、功能齐备”，且集约化程度较高的，能够满足区域内及周边居民多样化、综合性生活消费和服务需求的商业形态</w:t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，是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以购物、餐饮、生活服务等基本功能为主，因地制宜搭配休闲娱乐、教育培训等延伸性功能</w:t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。社区便民商业服务综合体分为集聚式布局和街坊式布局。</w:t>
      </w:r>
    </w:p>
  </w:footnote>
  <w:footnote w:id="4">
    <w:p>
      <w:pPr>
        <w:pStyle w:val="6"/>
        <w:snapToGrid w:val="0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footnoteRef/>
      </w:r>
      <w:r>
        <w:rPr>
          <w:rFonts w:hint="eastAsia" w:ascii="仿宋_GB2312" w:hAnsi="仿宋_GB2312" w:cs="仿宋_GB2312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“6＋4”，“6”即实施风险监管、信用监管、分级分类监管、协同监管、科技监管、共治监管等六项基本制度。“4”是指在涉及多部门监管的行业领域，建立健全一个场景由一个行业主管部门牵头统筹、相关部门共同监管的工作机制，包括“一业一册”“一业一单”“一业一查”“一业一评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6E442"/>
    <w:multiLevelType w:val="singleLevel"/>
    <w:tmpl w:val="2CA6E4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D97E60"/>
    <w:multiLevelType w:val="multilevel"/>
    <w:tmpl w:val="48D97E60"/>
    <w:lvl w:ilvl="0" w:tentative="0">
      <w:start w:val="1"/>
      <w:numFmt w:val="bullet"/>
      <w:lvlText w:val="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0305960"/>
    <w:rsid w:val="00005602"/>
    <w:rsid w:val="0001164D"/>
    <w:rsid w:val="000144F1"/>
    <w:rsid w:val="000144F3"/>
    <w:rsid w:val="000155BB"/>
    <w:rsid w:val="00016F49"/>
    <w:rsid w:val="00020CAA"/>
    <w:rsid w:val="00021298"/>
    <w:rsid w:val="00025225"/>
    <w:rsid w:val="00025549"/>
    <w:rsid w:val="0002584F"/>
    <w:rsid w:val="00026E47"/>
    <w:rsid w:val="00027675"/>
    <w:rsid w:val="00027CBA"/>
    <w:rsid w:val="00031DA7"/>
    <w:rsid w:val="00033BB7"/>
    <w:rsid w:val="000376C0"/>
    <w:rsid w:val="00037DE2"/>
    <w:rsid w:val="00041108"/>
    <w:rsid w:val="000431F2"/>
    <w:rsid w:val="00043895"/>
    <w:rsid w:val="00044332"/>
    <w:rsid w:val="000446B1"/>
    <w:rsid w:val="0004574A"/>
    <w:rsid w:val="000528E9"/>
    <w:rsid w:val="00053E45"/>
    <w:rsid w:val="000552FF"/>
    <w:rsid w:val="00055F85"/>
    <w:rsid w:val="0005658B"/>
    <w:rsid w:val="00056B65"/>
    <w:rsid w:val="00056D6E"/>
    <w:rsid w:val="00057716"/>
    <w:rsid w:val="00057AB5"/>
    <w:rsid w:val="00060D78"/>
    <w:rsid w:val="00061673"/>
    <w:rsid w:val="00061AAA"/>
    <w:rsid w:val="00061E54"/>
    <w:rsid w:val="00067D11"/>
    <w:rsid w:val="000704BE"/>
    <w:rsid w:val="00076360"/>
    <w:rsid w:val="00077490"/>
    <w:rsid w:val="00081F4C"/>
    <w:rsid w:val="00082CA0"/>
    <w:rsid w:val="00083FD5"/>
    <w:rsid w:val="00087108"/>
    <w:rsid w:val="0009327E"/>
    <w:rsid w:val="00094078"/>
    <w:rsid w:val="00096A92"/>
    <w:rsid w:val="000A130F"/>
    <w:rsid w:val="000A1997"/>
    <w:rsid w:val="000A5884"/>
    <w:rsid w:val="000A603B"/>
    <w:rsid w:val="000A6128"/>
    <w:rsid w:val="000A6500"/>
    <w:rsid w:val="000A65B6"/>
    <w:rsid w:val="000A6924"/>
    <w:rsid w:val="000A70B6"/>
    <w:rsid w:val="000A74E9"/>
    <w:rsid w:val="000A7E0D"/>
    <w:rsid w:val="000B009C"/>
    <w:rsid w:val="000B0361"/>
    <w:rsid w:val="000B1DD2"/>
    <w:rsid w:val="000B2482"/>
    <w:rsid w:val="000B2B0F"/>
    <w:rsid w:val="000B2C6C"/>
    <w:rsid w:val="000B5927"/>
    <w:rsid w:val="000B5E00"/>
    <w:rsid w:val="000B63D3"/>
    <w:rsid w:val="000B6F68"/>
    <w:rsid w:val="000C0711"/>
    <w:rsid w:val="000C42BB"/>
    <w:rsid w:val="000C4A0D"/>
    <w:rsid w:val="000C4A1E"/>
    <w:rsid w:val="000C5173"/>
    <w:rsid w:val="000C705E"/>
    <w:rsid w:val="000C72D5"/>
    <w:rsid w:val="000C7631"/>
    <w:rsid w:val="000C7BF1"/>
    <w:rsid w:val="000D0887"/>
    <w:rsid w:val="000D094A"/>
    <w:rsid w:val="000D0CF5"/>
    <w:rsid w:val="000D1C6C"/>
    <w:rsid w:val="000D2784"/>
    <w:rsid w:val="000D2877"/>
    <w:rsid w:val="000D36CE"/>
    <w:rsid w:val="000D39BC"/>
    <w:rsid w:val="000D3C35"/>
    <w:rsid w:val="000D596C"/>
    <w:rsid w:val="000D61C4"/>
    <w:rsid w:val="000D634D"/>
    <w:rsid w:val="000D6BD9"/>
    <w:rsid w:val="000D7008"/>
    <w:rsid w:val="000D78CB"/>
    <w:rsid w:val="000E1A7B"/>
    <w:rsid w:val="000E1F11"/>
    <w:rsid w:val="000E47E6"/>
    <w:rsid w:val="000E5201"/>
    <w:rsid w:val="000E54EE"/>
    <w:rsid w:val="000E5BE7"/>
    <w:rsid w:val="000E6CBB"/>
    <w:rsid w:val="000E70A7"/>
    <w:rsid w:val="000F0F2A"/>
    <w:rsid w:val="000F19CF"/>
    <w:rsid w:val="000F381D"/>
    <w:rsid w:val="000F6DEC"/>
    <w:rsid w:val="000F7A42"/>
    <w:rsid w:val="000F7BE9"/>
    <w:rsid w:val="00100D0B"/>
    <w:rsid w:val="00102175"/>
    <w:rsid w:val="00106956"/>
    <w:rsid w:val="00106E6E"/>
    <w:rsid w:val="0011019E"/>
    <w:rsid w:val="00112D3B"/>
    <w:rsid w:val="00114287"/>
    <w:rsid w:val="00114429"/>
    <w:rsid w:val="00116642"/>
    <w:rsid w:val="0012139A"/>
    <w:rsid w:val="00125464"/>
    <w:rsid w:val="0012560D"/>
    <w:rsid w:val="00127EFC"/>
    <w:rsid w:val="001315F4"/>
    <w:rsid w:val="00133170"/>
    <w:rsid w:val="001363D2"/>
    <w:rsid w:val="0013682B"/>
    <w:rsid w:val="0013694B"/>
    <w:rsid w:val="001371B6"/>
    <w:rsid w:val="001403A8"/>
    <w:rsid w:val="0014510A"/>
    <w:rsid w:val="00146C5E"/>
    <w:rsid w:val="001474E9"/>
    <w:rsid w:val="00147911"/>
    <w:rsid w:val="00147EED"/>
    <w:rsid w:val="001503A7"/>
    <w:rsid w:val="00150CD3"/>
    <w:rsid w:val="00151B74"/>
    <w:rsid w:val="001521A6"/>
    <w:rsid w:val="00153291"/>
    <w:rsid w:val="00154BA4"/>
    <w:rsid w:val="00155F73"/>
    <w:rsid w:val="00161242"/>
    <w:rsid w:val="0016154A"/>
    <w:rsid w:val="0016747B"/>
    <w:rsid w:val="0017009F"/>
    <w:rsid w:val="0017065F"/>
    <w:rsid w:val="00170A97"/>
    <w:rsid w:val="001733A5"/>
    <w:rsid w:val="00173CE8"/>
    <w:rsid w:val="00173E91"/>
    <w:rsid w:val="001746EE"/>
    <w:rsid w:val="00175342"/>
    <w:rsid w:val="00175CB5"/>
    <w:rsid w:val="00176159"/>
    <w:rsid w:val="0018064D"/>
    <w:rsid w:val="001831C3"/>
    <w:rsid w:val="00183EAD"/>
    <w:rsid w:val="00184EFE"/>
    <w:rsid w:val="00186583"/>
    <w:rsid w:val="00187371"/>
    <w:rsid w:val="00187E97"/>
    <w:rsid w:val="00191263"/>
    <w:rsid w:val="00191841"/>
    <w:rsid w:val="001928CA"/>
    <w:rsid w:val="00193EF6"/>
    <w:rsid w:val="00195527"/>
    <w:rsid w:val="00196794"/>
    <w:rsid w:val="001973DE"/>
    <w:rsid w:val="001A09C4"/>
    <w:rsid w:val="001A0DFF"/>
    <w:rsid w:val="001A2FF2"/>
    <w:rsid w:val="001A35E5"/>
    <w:rsid w:val="001A3C82"/>
    <w:rsid w:val="001A4705"/>
    <w:rsid w:val="001B0943"/>
    <w:rsid w:val="001B1078"/>
    <w:rsid w:val="001B1FC7"/>
    <w:rsid w:val="001B2010"/>
    <w:rsid w:val="001B2C9B"/>
    <w:rsid w:val="001B57E7"/>
    <w:rsid w:val="001C2537"/>
    <w:rsid w:val="001C27F1"/>
    <w:rsid w:val="001C6EB2"/>
    <w:rsid w:val="001D07DD"/>
    <w:rsid w:val="001D0DD1"/>
    <w:rsid w:val="001D0E85"/>
    <w:rsid w:val="001D162B"/>
    <w:rsid w:val="001D57DA"/>
    <w:rsid w:val="001D6615"/>
    <w:rsid w:val="001D6799"/>
    <w:rsid w:val="001D6BED"/>
    <w:rsid w:val="001D77C3"/>
    <w:rsid w:val="001E0941"/>
    <w:rsid w:val="001E1A00"/>
    <w:rsid w:val="001E4209"/>
    <w:rsid w:val="001E4270"/>
    <w:rsid w:val="001E42FE"/>
    <w:rsid w:val="001E4612"/>
    <w:rsid w:val="001E61F8"/>
    <w:rsid w:val="001E63A7"/>
    <w:rsid w:val="001F0103"/>
    <w:rsid w:val="001F1B8C"/>
    <w:rsid w:val="001F1E17"/>
    <w:rsid w:val="001F4A64"/>
    <w:rsid w:val="001F59FD"/>
    <w:rsid w:val="001F5F2D"/>
    <w:rsid w:val="001F6919"/>
    <w:rsid w:val="00200364"/>
    <w:rsid w:val="002007CE"/>
    <w:rsid w:val="00202B7D"/>
    <w:rsid w:val="00203860"/>
    <w:rsid w:val="00204BA4"/>
    <w:rsid w:val="00205578"/>
    <w:rsid w:val="002055AF"/>
    <w:rsid w:val="0020565E"/>
    <w:rsid w:val="00206337"/>
    <w:rsid w:val="00207085"/>
    <w:rsid w:val="00207127"/>
    <w:rsid w:val="00210A82"/>
    <w:rsid w:val="00211D4C"/>
    <w:rsid w:val="00213E5D"/>
    <w:rsid w:val="002145F7"/>
    <w:rsid w:val="00215809"/>
    <w:rsid w:val="0021699A"/>
    <w:rsid w:val="00217577"/>
    <w:rsid w:val="00217713"/>
    <w:rsid w:val="00221163"/>
    <w:rsid w:val="0022116E"/>
    <w:rsid w:val="00222C37"/>
    <w:rsid w:val="00225457"/>
    <w:rsid w:val="002255DF"/>
    <w:rsid w:val="00231BC4"/>
    <w:rsid w:val="0023256E"/>
    <w:rsid w:val="002329B1"/>
    <w:rsid w:val="00233FB7"/>
    <w:rsid w:val="0023493E"/>
    <w:rsid w:val="00234F27"/>
    <w:rsid w:val="00235B92"/>
    <w:rsid w:val="00237FB9"/>
    <w:rsid w:val="00240B60"/>
    <w:rsid w:val="00240DBD"/>
    <w:rsid w:val="00243B1E"/>
    <w:rsid w:val="00243EF7"/>
    <w:rsid w:val="002454D9"/>
    <w:rsid w:val="00251185"/>
    <w:rsid w:val="002512DF"/>
    <w:rsid w:val="002531F6"/>
    <w:rsid w:val="00253628"/>
    <w:rsid w:val="00253FBB"/>
    <w:rsid w:val="00255CD0"/>
    <w:rsid w:val="00255DB2"/>
    <w:rsid w:val="002610D7"/>
    <w:rsid w:val="00261893"/>
    <w:rsid w:val="002627C2"/>
    <w:rsid w:val="002644E7"/>
    <w:rsid w:val="00265354"/>
    <w:rsid w:val="00266CAB"/>
    <w:rsid w:val="00266DBF"/>
    <w:rsid w:val="00271C12"/>
    <w:rsid w:val="00272BDB"/>
    <w:rsid w:val="0027317B"/>
    <w:rsid w:val="002748C3"/>
    <w:rsid w:val="00276908"/>
    <w:rsid w:val="002773A9"/>
    <w:rsid w:val="00280920"/>
    <w:rsid w:val="00280FAF"/>
    <w:rsid w:val="002812E1"/>
    <w:rsid w:val="0028149C"/>
    <w:rsid w:val="002814F3"/>
    <w:rsid w:val="00281D57"/>
    <w:rsid w:val="00281EAB"/>
    <w:rsid w:val="00283282"/>
    <w:rsid w:val="002839C1"/>
    <w:rsid w:val="002844EA"/>
    <w:rsid w:val="00285302"/>
    <w:rsid w:val="00287AAF"/>
    <w:rsid w:val="00290299"/>
    <w:rsid w:val="00290F37"/>
    <w:rsid w:val="00291058"/>
    <w:rsid w:val="00291E78"/>
    <w:rsid w:val="00292DF0"/>
    <w:rsid w:val="002951E3"/>
    <w:rsid w:val="0029797B"/>
    <w:rsid w:val="002A2BB4"/>
    <w:rsid w:val="002A3A11"/>
    <w:rsid w:val="002A5DAA"/>
    <w:rsid w:val="002B2ACE"/>
    <w:rsid w:val="002B44EA"/>
    <w:rsid w:val="002C00F2"/>
    <w:rsid w:val="002C1AE0"/>
    <w:rsid w:val="002C2003"/>
    <w:rsid w:val="002C323C"/>
    <w:rsid w:val="002C38A7"/>
    <w:rsid w:val="002C41AF"/>
    <w:rsid w:val="002C5B73"/>
    <w:rsid w:val="002C5BE4"/>
    <w:rsid w:val="002C6DB1"/>
    <w:rsid w:val="002D05A4"/>
    <w:rsid w:val="002D0A6D"/>
    <w:rsid w:val="002D0B05"/>
    <w:rsid w:val="002D62DD"/>
    <w:rsid w:val="002D6A75"/>
    <w:rsid w:val="002D7618"/>
    <w:rsid w:val="002E1183"/>
    <w:rsid w:val="002E3CB0"/>
    <w:rsid w:val="002E3E46"/>
    <w:rsid w:val="002E7466"/>
    <w:rsid w:val="002F076C"/>
    <w:rsid w:val="002F1C21"/>
    <w:rsid w:val="002F293A"/>
    <w:rsid w:val="002F3A20"/>
    <w:rsid w:val="002F5024"/>
    <w:rsid w:val="002F5130"/>
    <w:rsid w:val="002F613B"/>
    <w:rsid w:val="002F69D3"/>
    <w:rsid w:val="002F6CD1"/>
    <w:rsid w:val="002F75BF"/>
    <w:rsid w:val="002F7B06"/>
    <w:rsid w:val="00300E51"/>
    <w:rsid w:val="00300F38"/>
    <w:rsid w:val="00302814"/>
    <w:rsid w:val="00303B55"/>
    <w:rsid w:val="00304C20"/>
    <w:rsid w:val="00305960"/>
    <w:rsid w:val="00305BDD"/>
    <w:rsid w:val="0030714F"/>
    <w:rsid w:val="003121ED"/>
    <w:rsid w:val="00312602"/>
    <w:rsid w:val="00315EF3"/>
    <w:rsid w:val="0031661D"/>
    <w:rsid w:val="003168CA"/>
    <w:rsid w:val="003201B3"/>
    <w:rsid w:val="0032076F"/>
    <w:rsid w:val="003260C2"/>
    <w:rsid w:val="00326AD0"/>
    <w:rsid w:val="0032706C"/>
    <w:rsid w:val="003272B4"/>
    <w:rsid w:val="003273A2"/>
    <w:rsid w:val="003304E7"/>
    <w:rsid w:val="0033079E"/>
    <w:rsid w:val="00330AC5"/>
    <w:rsid w:val="003311C1"/>
    <w:rsid w:val="00331AC6"/>
    <w:rsid w:val="00333886"/>
    <w:rsid w:val="003349BA"/>
    <w:rsid w:val="00335F6E"/>
    <w:rsid w:val="003368C8"/>
    <w:rsid w:val="003376F1"/>
    <w:rsid w:val="003379AD"/>
    <w:rsid w:val="003400E3"/>
    <w:rsid w:val="0034085C"/>
    <w:rsid w:val="003421F0"/>
    <w:rsid w:val="00342BAF"/>
    <w:rsid w:val="0034308A"/>
    <w:rsid w:val="003440F0"/>
    <w:rsid w:val="00345FE5"/>
    <w:rsid w:val="0034774E"/>
    <w:rsid w:val="003477FE"/>
    <w:rsid w:val="00350701"/>
    <w:rsid w:val="003521CE"/>
    <w:rsid w:val="0035437E"/>
    <w:rsid w:val="00354EF8"/>
    <w:rsid w:val="00356923"/>
    <w:rsid w:val="00357DF2"/>
    <w:rsid w:val="00362C21"/>
    <w:rsid w:val="00363078"/>
    <w:rsid w:val="003637A8"/>
    <w:rsid w:val="003647C3"/>
    <w:rsid w:val="00364E31"/>
    <w:rsid w:val="0036676D"/>
    <w:rsid w:val="00367ECF"/>
    <w:rsid w:val="00370061"/>
    <w:rsid w:val="00370358"/>
    <w:rsid w:val="00370EF1"/>
    <w:rsid w:val="003711F6"/>
    <w:rsid w:val="0037376B"/>
    <w:rsid w:val="00373F30"/>
    <w:rsid w:val="00376507"/>
    <w:rsid w:val="003768F3"/>
    <w:rsid w:val="00380163"/>
    <w:rsid w:val="00381993"/>
    <w:rsid w:val="003819CD"/>
    <w:rsid w:val="00381EF4"/>
    <w:rsid w:val="00384A95"/>
    <w:rsid w:val="0038511D"/>
    <w:rsid w:val="003858A1"/>
    <w:rsid w:val="00390D23"/>
    <w:rsid w:val="00392923"/>
    <w:rsid w:val="00393680"/>
    <w:rsid w:val="00394961"/>
    <w:rsid w:val="00394C75"/>
    <w:rsid w:val="00396689"/>
    <w:rsid w:val="00396F74"/>
    <w:rsid w:val="0039709C"/>
    <w:rsid w:val="003A040F"/>
    <w:rsid w:val="003A08DE"/>
    <w:rsid w:val="003A2BF2"/>
    <w:rsid w:val="003A3461"/>
    <w:rsid w:val="003A4E66"/>
    <w:rsid w:val="003A4F68"/>
    <w:rsid w:val="003A6CF3"/>
    <w:rsid w:val="003A707E"/>
    <w:rsid w:val="003B0A18"/>
    <w:rsid w:val="003B0F9E"/>
    <w:rsid w:val="003B2940"/>
    <w:rsid w:val="003B520B"/>
    <w:rsid w:val="003B5217"/>
    <w:rsid w:val="003B71DA"/>
    <w:rsid w:val="003B7B0E"/>
    <w:rsid w:val="003C3A89"/>
    <w:rsid w:val="003C3FF1"/>
    <w:rsid w:val="003C47E0"/>
    <w:rsid w:val="003C5D1D"/>
    <w:rsid w:val="003D06AC"/>
    <w:rsid w:val="003D07DB"/>
    <w:rsid w:val="003D0FFD"/>
    <w:rsid w:val="003D3B34"/>
    <w:rsid w:val="003D453B"/>
    <w:rsid w:val="003D67D4"/>
    <w:rsid w:val="003E06CD"/>
    <w:rsid w:val="003E0EA2"/>
    <w:rsid w:val="003E1712"/>
    <w:rsid w:val="003E492D"/>
    <w:rsid w:val="003E6290"/>
    <w:rsid w:val="003E66BC"/>
    <w:rsid w:val="003F1DB3"/>
    <w:rsid w:val="003F2ACE"/>
    <w:rsid w:val="003F3E91"/>
    <w:rsid w:val="003F51E2"/>
    <w:rsid w:val="003F57DF"/>
    <w:rsid w:val="003F7286"/>
    <w:rsid w:val="003F7483"/>
    <w:rsid w:val="00400452"/>
    <w:rsid w:val="00400DA1"/>
    <w:rsid w:val="00404B02"/>
    <w:rsid w:val="00404BA2"/>
    <w:rsid w:val="004058EB"/>
    <w:rsid w:val="00406968"/>
    <w:rsid w:val="004151BF"/>
    <w:rsid w:val="00415FE8"/>
    <w:rsid w:val="00416901"/>
    <w:rsid w:val="00417883"/>
    <w:rsid w:val="00421665"/>
    <w:rsid w:val="00425252"/>
    <w:rsid w:val="004254C6"/>
    <w:rsid w:val="00426083"/>
    <w:rsid w:val="004262EA"/>
    <w:rsid w:val="0042687C"/>
    <w:rsid w:val="00430ED4"/>
    <w:rsid w:val="00431A1A"/>
    <w:rsid w:val="00431A90"/>
    <w:rsid w:val="004348A5"/>
    <w:rsid w:val="004366E8"/>
    <w:rsid w:val="00442204"/>
    <w:rsid w:val="00442446"/>
    <w:rsid w:val="00443B65"/>
    <w:rsid w:val="00444CBA"/>
    <w:rsid w:val="0044509D"/>
    <w:rsid w:val="00451177"/>
    <w:rsid w:val="00453027"/>
    <w:rsid w:val="00454C4D"/>
    <w:rsid w:val="00455B2C"/>
    <w:rsid w:val="004579EB"/>
    <w:rsid w:val="00457B02"/>
    <w:rsid w:val="00457F92"/>
    <w:rsid w:val="0046157A"/>
    <w:rsid w:val="004620DA"/>
    <w:rsid w:val="00462C0E"/>
    <w:rsid w:val="0046441D"/>
    <w:rsid w:val="00465690"/>
    <w:rsid w:val="00465BC0"/>
    <w:rsid w:val="00465C65"/>
    <w:rsid w:val="00465FD0"/>
    <w:rsid w:val="00466377"/>
    <w:rsid w:val="00466EA0"/>
    <w:rsid w:val="00467E0F"/>
    <w:rsid w:val="00470FD8"/>
    <w:rsid w:val="004718F8"/>
    <w:rsid w:val="0047273B"/>
    <w:rsid w:val="00472A4E"/>
    <w:rsid w:val="00473FB7"/>
    <w:rsid w:val="00474B61"/>
    <w:rsid w:val="00474B8F"/>
    <w:rsid w:val="0047653C"/>
    <w:rsid w:val="004776C2"/>
    <w:rsid w:val="00482477"/>
    <w:rsid w:val="00482570"/>
    <w:rsid w:val="00483229"/>
    <w:rsid w:val="00483801"/>
    <w:rsid w:val="004855CB"/>
    <w:rsid w:val="00485BE3"/>
    <w:rsid w:val="00492834"/>
    <w:rsid w:val="00492964"/>
    <w:rsid w:val="004935C9"/>
    <w:rsid w:val="004943D5"/>
    <w:rsid w:val="004959B4"/>
    <w:rsid w:val="00495FE9"/>
    <w:rsid w:val="004A1F5F"/>
    <w:rsid w:val="004A37A9"/>
    <w:rsid w:val="004A4A1F"/>
    <w:rsid w:val="004A4FDC"/>
    <w:rsid w:val="004A55C8"/>
    <w:rsid w:val="004A5977"/>
    <w:rsid w:val="004A6E86"/>
    <w:rsid w:val="004B03AA"/>
    <w:rsid w:val="004B2A73"/>
    <w:rsid w:val="004B33DF"/>
    <w:rsid w:val="004B4084"/>
    <w:rsid w:val="004B6C52"/>
    <w:rsid w:val="004C00D1"/>
    <w:rsid w:val="004C02F1"/>
    <w:rsid w:val="004C2ABC"/>
    <w:rsid w:val="004C3AA5"/>
    <w:rsid w:val="004C5870"/>
    <w:rsid w:val="004C62C5"/>
    <w:rsid w:val="004C6E5F"/>
    <w:rsid w:val="004D1B14"/>
    <w:rsid w:val="004D2C17"/>
    <w:rsid w:val="004D3E85"/>
    <w:rsid w:val="004D40C8"/>
    <w:rsid w:val="004D52D3"/>
    <w:rsid w:val="004D68D6"/>
    <w:rsid w:val="004D6C13"/>
    <w:rsid w:val="004D72E1"/>
    <w:rsid w:val="004D76CD"/>
    <w:rsid w:val="004E00EB"/>
    <w:rsid w:val="004E0190"/>
    <w:rsid w:val="004E1449"/>
    <w:rsid w:val="004E24D1"/>
    <w:rsid w:val="004E2748"/>
    <w:rsid w:val="004E4D7D"/>
    <w:rsid w:val="004E517B"/>
    <w:rsid w:val="004E58FB"/>
    <w:rsid w:val="004E6738"/>
    <w:rsid w:val="004F07C3"/>
    <w:rsid w:val="004F1F13"/>
    <w:rsid w:val="004F3C4E"/>
    <w:rsid w:val="004F44A4"/>
    <w:rsid w:val="004F5F10"/>
    <w:rsid w:val="00500B3C"/>
    <w:rsid w:val="00501194"/>
    <w:rsid w:val="00502E3C"/>
    <w:rsid w:val="005042F6"/>
    <w:rsid w:val="00510CB7"/>
    <w:rsid w:val="005115D9"/>
    <w:rsid w:val="00514D68"/>
    <w:rsid w:val="00516295"/>
    <w:rsid w:val="00517420"/>
    <w:rsid w:val="005175A0"/>
    <w:rsid w:val="00517E4B"/>
    <w:rsid w:val="005218DB"/>
    <w:rsid w:val="00522685"/>
    <w:rsid w:val="005229D6"/>
    <w:rsid w:val="00523B66"/>
    <w:rsid w:val="00523DBF"/>
    <w:rsid w:val="00524A56"/>
    <w:rsid w:val="005250A2"/>
    <w:rsid w:val="005254A2"/>
    <w:rsid w:val="005267AC"/>
    <w:rsid w:val="00526E14"/>
    <w:rsid w:val="0053003D"/>
    <w:rsid w:val="00530F5A"/>
    <w:rsid w:val="00531188"/>
    <w:rsid w:val="005315ED"/>
    <w:rsid w:val="00531DE2"/>
    <w:rsid w:val="005322CA"/>
    <w:rsid w:val="0053269F"/>
    <w:rsid w:val="00532A55"/>
    <w:rsid w:val="00532E63"/>
    <w:rsid w:val="005345AC"/>
    <w:rsid w:val="00535679"/>
    <w:rsid w:val="00535EC8"/>
    <w:rsid w:val="00535ED7"/>
    <w:rsid w:val="00541ACA"/>
    <w:rsid w:val="00542840"/>
    <w:rsid w:val="00542922"/>
    <w:rsid w:val="00542AD0"/>
    <w:rsid w:val="00544FC4"/>
    <w:rsid w:val="005458F3"/>
    <w:rsid w:val="005467C8"/>
    <w:rsid w:val="0055193D"/>
    <w:rsid w:val="00551D6B"/>
    <w:rsid w:val="00551FB8"/>
    <w:rsid w:val="00552407"/>
    <w:rsid w:val="00553580"/>
    <w:rsid w:val="00560FB8"/>
    <w:rsid w:val="00561B15"/>
    <w:rsid w:val="00561EB2"/>
    <w:rsid w:val="0056362E"/>
    <w:rsid w:val="005649F0"/>
    <w:rsid w:val="005669CD"/>
    <w:rsid w:val="005712CC"/>
    <w:rsid w:val="0057286B"/>
    <w:rsid w:val="00572D7E"/>
    <w:rsid w:val="00573ECF"/>
    <w:rsid w:val="00574DDD"/>
    <w:rsid w:val="00575CD0"/>
    <w:rsid w:val="00576659"/>
    <w:rsid w:val="00576B57"/>
    <w:rsid w:val="00577B9A"/>
    <w:rsid w:val="0058132F"/>
    <w:rsid w:val="00583D2F"/>
    <w:rsid w:val="00583EFE"/>
    <w:rsid w:val="00584C85"/>
    <w:rsid w:val="0058733E"/>
    <w:rsid w:val="00590405"/>
    <w:rsid w:val="00591291"/>
    <w:rsid w:val="00591CB7"/>
    <w:rsid w:val="00594846"/>
    <w:rsid w:val="00597E4B"/>
    <w:rsid w:val="005A1EFA"/>
    <w:rsid w:val="005A3E0C"/>
    <w:rsid w:val="005A4A2D"/>
    <w:rsid w:val="005A4B84"/>
    <w:rsid w:val="005A5674"/>
    <w:rsid w:val="005A6C2F"/>
    <w:rsid w:val="005A6D8C"/>
    <w:rsid w:val="005A7023"/>
    <w:rsid w:val="005B0EDB"/>
    <w:rsid w:val="005B0FDE"/>
    <w:rsid w:val="005B2086"/>
    <w:rsid w:val="005B2C4F"/>
    <w:rsid w:val="005B504B"/>
    <w:rsid w:val="005B5632"/>
    <w:rsid w:val="005C0686"/>
    <w:rsid w:val="005C0C13"/>
    <w:rsid w:val="005C1120"/>
    <w:rsid w:val="005C204C"/>
    <w:rsid w:val="005C2931"/>
    <w:rsid w:val="005C3014"/>
    <w:rsid w:val="005C3CCB"/>
    <w:rsid w:val="005C3F73"/>
    <w:rsid w:val="005C49F9"/>
    <w:rsid w:val="005C4ECD"/>
    <w:rsid w:val="005C6B1A"/>
    <w:rsid w:val="005C6EA6"/>
    <w:rsid w:val="005D3012"/>
    <w:rsid w:val="005D664A"/>
    <w:rsid w:val="005D6A69"/>
    <w:rsid w:val="005E0024"/>
    <w:rsid w:val="005E223E"/>
    <w:rsid w:val="005E2355"/>
    <w:rsid w:val="005E341D"/>
    <w:rsid w:val="005E350E"/>
    <w:rsid w:val="005E4100"/>
    <w:rsid w:val="005E7D8B"/>
    <w:rsid w:val="005F00FC"/>
    <w:rsid w:val="005F1E07"/>
    <w:rsid w:val="005F1F21"/>
    <w:rsid w:val="005F3F22"/>
    <w:rsid w:val="005F3FCD"/>
    <w:rsid w:val="005F5290"/>
    <w:rsid w:val="005F64E2"/>
    <w:rsid w:val="005F755E"/>
    <w:rsid w:val="00601A52"/>
    <w:rsid w:val="00604759"/>
    <w:rsid w:val="00604B56"/>
    <w:rsid w:val="00605C04"/>
    <w:rsid w:val="00610340"/>
    <w:rsid w:val="006109E9"/>
    <w:rsid w:val="00610B28"/>
    <w:rsid w:val="006112A7"/>
    <w:rsid w:val="00611B3F"/>
    <w:rsid w:val="0061288E"/>
    <w:rsid w:val="0061361C"/>
    <w:rsid w:val="0061490C"/>
    <w:rsid w:val="00616FCC"/>
    <w:rsid w:val="00617265"/>
    <w:rsid w:val="00617C02"/>
    <w:rsid w:val="00623FF9"/>
    <w:rsid w:val="00624E98"/>
    <w:rsid w:val="00625B78"/>
    <w:rsid w:val="006261D2"/>
    <w:rsid w:val="00632794"/>
    <w:rsid w:val="00632D8C"/>
    <w:rsid w:val="006371C6"/>
    <w:rsid w:val="00641B9B"/>
    <w:rsid w:val="00642CBA"/>
    <w:rsid w:val="00643EF9"/>
    <w:rsid w:val="00644716"/>
    <w:rsid w:val="00647403"/>
    <w:rsid w:val="00647615"/>
    <w:rsid w:val="00647801"/>
    <w:rsid w:val="006514DF"/>
    <w:rsid w:val="0065224D"/>
    <w:rsid w:val="0065497C"/>
    <w:rsid w:val="00655EB3"/>
    <w:rsid w:val="006574A4"/>
    <w:rsid w:val="00657B37"/>
    <w:rsid w:val="0066022E"/>
    <w:rsid w:val="00660C2A"/>
    <w:rsid w:val="006616F2"/>
    <w:rsid w:val="0066491E"/>
    <w:rsid w:val="00665505"/>
    <w:rsid w:val="00665F0E"/>
    <w:rsid w:val="006729AD"/>
    <w:rsid w:val="00673EA7"/>
    <w:rsid w:val="00674FD4"/>
    <w:rsid w:val="00675BFD"/>
    <w:rsid w:val="00675D0B"/>
    <w:rsid w:val="00676489"/>
    <w:rsid w:val="00677106"/>
    <w:rsid w:val="00677FD6"/>
    <w:rsid w:val="00677FE9"/>
    <w:rsid w:val="00677FEF"/>
    <w:rsid w:val="00680D74"/>
    <w:rsid w:val="00681F85"/>
    <w:rsid w:val="0068259A"/>
    <w:rsid w:val="00682DB6"/>
    <w:rsid w:val="00682E39"/>
    <w:rsid w:val="00682F6C"/>
    <w:rsid w:val="006850D4"/>
    <w:rsid w:val="00690EA0"/>
    <w:rsid w:val="0069343F"/>
    <w:rsid w:val="00693704"/>
    <w:rsid w:val="0069418F"/>
    <w:rsid w:val="006945BD"/>
    <w:rsid w:val="00697A2E"/>
    <w:rsid w:val="006A4006"/>
    <w:rsid w:val="006A4D9D"/>
    <w:rsid w:val="006A5756"/>
    <w:rsid w:val="006A64DB"/>
    <w:rsid w:val="006B139B"/>
    <w:rsid w:val="006B2A0B"/>
    <w:rsid w:val="006B2D84"/>
    <w:rsid w:val="006B59B3"/>
    <w:rsid w:val="006B65E0"/>
    <w:rsid w:val="006B6862"/>
    <w:rsid w:val="006B7102"/>
    <w:rsid w:val="006B7460"/>
    <w:rsid w:val="006C155E"/>
    <w:rsid w:val="006C1ADB"/>
    <w:rsid w:val="006C1AEB"/>
    <w:rsid w:val="006C21DA"/>
    <w:rsid w:val="006C35D6"/>
    <w:rsid w:val="006C3F7F"/>
    <w:rsid w:val="006C5C92"/>
    <w:rsid w:val="006C762D"/>
    <w:rsid w:val="006D1298"/>
    <w:rsid w:val="006D1AAA"/>
    <w:rsid w:val="006D2C8C"/>
    <w:rsid w:val="006D2CAE"/>
    <w:rsid w:val="006D4B72"/>
    <w:rsid w:val="006D6C19"/>
    <w:rsid w:val="006D7E47"/>
    <w:rsid w:val="006E4024"/>
    <w:rsid w:val="006E7438"/>
    <w:rsid w:val="006F02F3"/>
    <w:rsid w:val="006F0E77"/>
    <w:rsid w:val="006F1165"/>
    <w:rsid w:val="006F1DAD"/>
    <w:rsid w:val="006F6EDD"/>
    <w:rsid w:val="006F71B1"/>
    <w:rsid w:val="00701507"/>
    <w:rsid w:val="00702098"/>
    <w:rsid w:val="00703184"/>
    <w:rsid w:val="007038A2"/>
    <w:rsid w:val="00703DC4"/>
    <w:rsid w:val="0070502F"/>
    <w:rsid w:val="0070602F"/>
    <w:rsid w:val="00711BA2"/>
    <w:rsid w:val="00712C08"/>
    <w:rsid w:val="0071699D"/>
    <w:rsid w:val="00716D1E"/>
    <w:rsid w:val="00721492"/>
    <w:rsid w:val="0072295C"/>
    <w:rsid w:val="00724286"/>
    <w:rsid w:val="0072571E"/>
    <w:rsid w:val="0072634D"/>
    <w:rsid w:val="00726C60"/>
    <w:rsid w:val="00726F45"/>
    <w:rsid w:val="0072756C"/>
    <w:rsid w:val="00731C59"/>
    <w:rsid w:val="007321EB"/>
    <w:rsid w:val="00734D7E"/>
    <w:rsid w:val="00736074"/>
    <w:rsid w:val="00740D89"/>
    <w:rsid w:val="00741CC9"/>
    <w:rsid w:val="00746072"/>
    <w:rsid w:val="00746162"/>
    <w:rsid w:val="007530BE"/>
    <w:rsid w:val="007538D1"/>
    <w:rsid w:val="00753AF9"/>
    <w:rsid w:val="00756BA6"/>
    <w:rsid w:val="007577DF"/>
    <w:rsid w:val="0076228B"/>
    <w:rsid w:val="007626F7"/>
    <w:rsid w:val="00764D57"/>
    <w:rsid w:val="007650B8"/>
    <w:rsid w:val="00765CDB"/>
    <w:rsid w:val="00767A96"/>
    <w:rsid w:val="00770C91"/>
    <w:rsid w:val="00771EA6"/>
    <w:rsid w:val="00772514"/>
    <w:rsid w:val="00772D3E"/>
    <w:rsid w:val="0077362A"/>
    <w:rsid w:val="00773AC8"/>
    <w:rsid w:val="00774052"/>
    <w:rsid w:val="00774878"/>
    <w:rsid w:val="00775059"/>
    <w:rsid w:val="00775141"/>
    <w:rsid w:val="007751D0"/>
    <w:rsid w:val="00775C9A"/>
    <w:rsid w:val="00775DBE"/>
    <w:rsid w:val="007764FB"/>
    <w:rsid w:val="00776691"/>
    <w:rsid w:val="00776E9B"/>
    <w:rsid w:val="007773D7"/>
    <w:rsid w:val="00777F19"/>
    <w:rsid w:val="00780807"/>
    <w:rsid w:val="00780EB8"/>
    <w:rsid w:val="0078115D"/>
    <w:rsid w:val="00784DA7"/>
    <w:rsid w:val="00787A1F"/>
    <w:rsid w:val="00787E29"/>
    <w:rsid w:val="00790B77"/>
    <w:rsid w:val="0079171B"/>
    <w:rsid w:val="0079176A"/>
    <w:rsid w:val="00791B1D"/>
    <w:rsid w:val="00791CB1"/>
    <w:rsid w:val="00792378"/>
    <w:rsid w:val="00792913"/>
    <w:rsid w:val="00795176"/>
    <w:rsid w:val="00795FBB"/>
    <w:rsid w:val="007972D9"/>
    <w:rsid w:val="00797E25"/>
    <w:rsid w:val="007A009D"/>
    <w:rsid w:val="007A089F"/>
    <w:rsid w:val="007A1CB6"/>
    <w:rsid w:val="007A3AA4"/>
    <w:rsid w:val="007A524F"/>
    <w:rsid w:val="007A6ECD"/>
    <w:rsid w:val="007B2A95"/>
    <w:rsid w:val="007B2B30"/>
    <w:rsid w:val="007B2FC2"/>
    <w:rsid w:val="007B3454"/>
    <w:rsid w:val="007B5A6C"/>
    <w:rsid w:val="007B5BFC"/>
    <w:rsid w:val="007B5F0C"/>
    <w:rsid w:val="007C12C6"/>
    <w:rsid w:val="007C293B"/>
    <w:rsid w:val="007C3E7F"/>
    <w:rsid w:val="007C456A"/>
    <w:rsid w:val="007C510E"/>
    <w:rsid w:val="007C67F5"/>
    <w:rsid w:val="007D00EB"/>
    <w:rsid w:val="007D204F"/>
    <w:rsid w:val="007D23A0"/>
    <w:rsid w:val="007D42FE"/>
    <w:rsid w:val="007D4A91"/>
    <w:rsid w:val="007D5DDF"/>
    <w:rsid w:val="007E0314"/>
    <w:rsid w:val="007E3461"/>
    <w:rsid w:val="007E40E5"/>
    <w:rsid w:val="007E422D"/>
    <w:rsid w:val="007E527C"/>
    <w:rsid w:val="007E5A67"/>
    <w:rsid w:val="007F150A"/>
    <w:rsid w:val="007F391D"/>
    <w:rsid w:val="007F40C9"/>
    <w:rsid w:val="007F4287"/>
    <w:rsid w:val="007F4620"/>
    <w:rsid w:val="007F5067"/>
    <w:rsid w:val="007F565F"/>
    <w:rsid w:val="007F5804"/>
    <w:rsid w:val="007F5D57"/>
    <w:rsid w:val="007F7B40"/>
    <w:rsid w:val="00802206"/>
    <w:rsid w:val="00802A2F"/>
    <w:rsid w:val="0080378C"/>
    <w:rsid w:val="00803E11"/>
    <w:rsid w:val="0080437E"/>
    <w:rsid w:val="008054CD"/>
    <w:rsid w:val="0080568A"/>
    <w:rsid w:val="00805F0D"/>
    <w:rsid w:val="00807300"/>
    <w:rsid w:val="00811E63"/>
    <w:rsid w:val="00811FEE"/>
    <w:rsid w:val="00812D51"/>
    <w:rsid w:val="00812E5B"/>
    <w:rsid w:val="00813258"/>
    <w:rsid w:val="00813E1E"/>
    <w:rsid w:val="00814B08"/>
    <w:rsid w:val="00814FBB"/>
    <w:rsid w:val="00816840"/>
    <w:rsid w:val="00816FE7"/>
    <w:rsid w:val="00817362"/>
    <w:rsid w:val="00822F4A"/>
    <w:rsid w:val="00823FCB"/>
    <w:rsid w:val="008248E3"/>
    <w:rsid w:val="0082530C"/>
    <w:rsid w:val="0083128B"/>
    <w:rsid w:val="00831B5B"/>
    <w:rsid w:val="008326B0"/>
    <w:rsid w:val="00833717"/>
    <w:rsid w:val="008342BC"/>
    <w:rsid w:val="00840357"/>
    <w:rsid w:val="00840DB5"/>
    <w:rsid w:val="00842AF0"/>
    <w:rsid w:val="00844027"/>
    <w:rsid w:val="00845309"/>
    <w:rsid w:val="0084542E"/>
    <w:rsid w:val="0084608A"/>
    <w:rsid w:val="00847708"/>
    <w:rsid w:val="008511B5"/>
    <w:rsid w:val="00852227"/>
    <w:rsid w:val="00852775"/>
    <w:rsid w:val="00852F2C"/>
    <w:rsid w:val="00853D8F"/>
    <w:rsid w:val="00853DF6"/>
    <w:rsid w:val="00856E4D"/>
    <w:rsid w:val="00857666"/>
    <w:rsid w:val="00857790"/>
    <w:rsid w:val="0086082E"/>
    <w:rsid w:val="00860B1E"/>
    <w:rsid w:val="00861993"/>
    <w:rsid w:val="0086246B"/>
    <w:rsid w:val="00864351"/>
    <w:rsid w:val="00864BF2"/>
    <w:rsid w:val="0086650F"/>
    <w:rsid w:val="00867898"/>
    <w:rsid w:val="00871876"/>
    <w:rsid w:val="00873A01"/>
    <w:rsid w:val="00873FE1"/>
    <w:rsid w:val="008746EC"/>
    <w:rsid w:val="00875660"/>
    <w:rsid w:val="00880D98"/>
    <w:rsid w:val="008812E2"/>
    <w:rsid w:val="008812FC"/>
    <w:rsid w:val="00881AE0"/>
    <w:rsid w:val="008822D7"/>
    <w:rsid w:val="00882425"/>
    <w:rsid w:val="0088288F"/>
    <w:rsid w:val="00883E29"/>
    <w:rsid w:val="00883E6E"/>
    <w:rsid w:val="008846E1"/>
    <w:rsid w:val="00884F1B"/>
    <w:rsid w:val="008870A2"/>
    <w:rsid w:val="00887BBB"/>
    <w:rsid w:val="008909DC"/>
    <w:rsid w:val="00891011"/>
    <w:rsid w:val="00897A4A"/>
    <w:rsid w:val="00897FDF"/>
    <w:rsid w:val="008A124C"/>
    <w:rsid w:val="008A1B8A"/>
    <w:rsid w:val="008A2381"/>
    <w:rsid w:val="008A32FB"/>
    <w:rsid w:val="008A484B"/>
    <w:rsid w:val="008A4DC8"/>
    <w:rsid w:val="008A69B6"/>
    <w:rsid w:val="008B0B3C"/>
    <w:rsid w:val="008B209E"/>
    <w:rsid w:val="008B2194"/>
    <w:rsid w:val="008B2A72"/>
    <w:rsid w:val="008B3A73"/>
    <w:rsid w:val="008B3BF0"/>
    <w:rsid w:val="008B41F2"/>
    <w:rsid w:val="008B6453"/>
    <w:rsid w:val="008B6575"/>
    <w:rsid w:val="008B6988"/>
    <w:rsid w:val="008B7490"/>
    <w:rsid w:val="008B755A"/>
    <w:rsid w:val="008B7A18"/>
    <w:rsid w:val="008C0D7A"/>
    <w:rsid w:val="008C1916"/>
    <w:rsid w:val="008C3651"/>
    <w:rsid w:val="008C3BEF"/>
    <w:rsid w:val="008C3DCA"/>
    <w:rsid w:val="008C4B23"/>
    <w:rsid w:val="008C5144"/>
    <w:rsid w:val="008C6B4D"/>
    <w:rsid w:val="008D0F05"/>
    <w:rsid w:val="008D1097"/>
    <w:rsid w:val="008D16FD"/>
    <w:rsid w:val="008D290A"/>
    <w:rsid w:val="008D31CA"/>
    <w:rsid w:val="008D42F0"/>
    <w:rsid w:val="008D47EC"/>
    <w:rsid w:val="008D5858"/>
    <w:rsid w:val="008D58EB"/>
    <w:rsid w:val="008D66F4"/>
    <w:rsid w:val="008D74CC"/>
    <w:rsid w:val="008D74E7"/>
    <w:rsid w:val="008E0F92"/>
    <w:rsid w:val="008E15F0"/>
    <w:rsid w:val="008E2A7D"/>
    <w:rsid w:val="008E34FF"/>
    <w:rsid w:val="008E5CD6"/>
    <w:rsid w:val="008E602E"/>
    <w:rsid w:val="008F0DA4"/>
    <w:rsid w:val="008F11A6"/>
    <w:rsid w:val="008F261C"/>
    <w:rsid w:val="008F35E4"/>
    <w:rsid w:val="008F42D5"/>
    <w:rsid w:val="008F5615"/>
    <w:rsid w:val="008F68ED"/>
    <w:rsid w:val="008F77F5"/>
    <w:rsid w:val="00901099"/>
    <w:rsid w:val="009015C1"/>
    <w:rsid w:val="00901B43"/>
    <w:rsid w:val="00901BCE"/>
    <w:rsid w:val="00904337"/>
    <w:rsid w:val="00912977"/>
    <w:rsid w:val="00913E70"/>
    <w:rsid w:val="00913F96"/>
    <w:rsid w:val="009140A8"/>
    <w:rsid w:val="00915CA5"/>
    <w:rsid w:val="00916507"/>
    <w:rsid w:val="00916BA8"/>
    <w:rsid w:val="009221D4"/>
    <w:rsid w:val="0092221D"/>
    <w:rsid w:val="009234E8"/>
    <w:rsid w:val="009264C6"/>
    <w:rsid w:val="0093146B"/>
    <w:rsid w:val="00931B0B"/>
    <w:rsid w:val="009339B4"/>
    <w:rsid w:val="00933C8C"/>
    <w:rsid w:val="00935EFE"/>
    <w:rsid w:val="009402A8"/>
    <w:rsid w:val="00940692"/>
    <w:rsid w:val="009427B8"/>
    <w:rsid w:val="0094355F"/>
    <w:rsid w:val="00945E51"/>
    <w:rsid w:val="00945E9E"/>
    <w:rsid w:val="00950E87"/>
    <w:rsid w:val="00951B2F"/>
    <w:rsid w:val="00952219"/>
    <w:rsid w:val="0095268E"/>
    <w:rsid w:val="00953725"/>
    <w:rsid w:val="009539CE"/>
    <w:rsid w:val="00954B1B"/>
    <w:rsid w:val="00955733"/>
    <w:rsid w:val="00956618"/>
    <w:rsid w:val="009577AB"/>
    <w:rsid w:val="00957A8C"/>
    <w:rsid w:val="00960445"/>
    <w:rsid w:val="00960A28"/>
    <w:rsid w:val="009625DA"/>
    <w:rsid w:val="0096280C"/>
    <w:rsid w:val="00962D60"/>
    <w:rsid w:val="0096466A"/>
    <w:rsid w:val="009649C6"/>
    <w:rsid w:val="009715C8"/>
    <w:rsid w:val="00972D84"/>
    <w:rsid w:val="009763BD"/>
    <w:rsid w:val="009810C8"/>
    <w:rsid w:val="00981336"/>
    <w:rsid w:val="00982BE3"/>
    <w:rsid w:val="00983358"/>
    <w:rsid w:val="00983E2C"/>
    <w:rsid w:val="009855CD"/>
    <w:rsid w:val="009875A5"/>
    <w:rsid w:val="009875BB"/>
    <w:rsid w:val="00987844"/>
    <w:rsid w:val="00990438"/>
    <w:rsid w:val="00992E6E"/>
    <w:rsid w:val="0099467F"/>
    <w:rsid w:val="00995466"/>
    <w:rsid w:val="00995CEF"/>
    <w:rsid w:val="009A13C5"/>
    <w:rsid w:val="009A2255"/>
    <w:rsid w:val="009A3C70"/>
    <w:rsid w:val="009A6EB4"/>
    <w:rsid w:val="009A7196"/>
    <w:rsid w:val="009A719F"/>
    <w:rsid w:val="009B077E"/>
    <w:rsid w:val="009B07E3"/>
    <w:rsid w:val="009B0992"/>
    <w:rsid w:val="009B0B5D"/>
    <w:rsid w:val="009B0F17"/>
    <w:rsid w:val="009B2097"/>
    <w:rsid w:val="009B2367"/>
    <w:rsid w:val="009B452A"/>
    <w:rsid w:val="009B49C3"/>
    <w:rsid w:val="009B4C55"/>
    <w:rsid w:val="009B4C96"/>
    <w:rsid w:val="009B4CD5"/>
    <w:rsid w:val="009B55C6"/>
    <w:rsid w:val="009B5642"/>
    <w:rsid w:val="009B760A"/>
    <w:rsid w:val="009B772C"/>
    <w:rsid w:val="009C0550"/>
    <w:rsid w:val="009C2CEF"/>
    <w:rsid w:val="009C2FB3"/>
    <w:rsid w:val="009C3C2F"/>
    <w:rsid w:val="009C6AE5"/>
    <w:rsid w:val="009D0402"/>
    <w:rsid w:val="009D10DE"/>
    <w:rsid w:val="009D5359"/>
    <w:rsid w:val="009D5F3E"/>
    <w:rsid w:val="009D6CCC"/>
    <w:rsid w:val="009E028C"/>
    <w:rsid w:val="009E0DA3"/>
    <w:rsid w:val="009E21F2"/>
    <w:rsid w:val="009E2D04"/>
    <w:rsid w:val="009E3160"/>
    <w:rsid w:val="009E3973"/>
    <w:rsid w:val="009E3C51"/>
    <w:rsid w:val="009E3D53"/>
    <w:rsid w:val="009E4B12"/>
    <w:rsid w:val="009E6798"/>
    <w:rsid w:val="009E6CDE"/>
    <w:rsid w:val="009E750B"/>
    <w:rsid w:val="009F2938"/>
    <w:rsid w:val="009F2B0F"/>
    <w:rsid w:val="009F468A"/>
    <w:rsid w:val="009F635C"/>
    <w:rsid w:val="009F6956"/>
    <w:rsid w:val="009F6B89"/>
    <w:rsid w:val="009F6C46"/>
    <w:rsid w:val="009F75E9"/>
    <w:rsid w:val="00A00F0C"/>
    <w:rsid w:val="00A030BC"/>
    <w:rsid w:val="00A038AC"/>
    <w:rsid w:val="00A049E8"/>
    <w:rsid w:val="00A063CF"/>
    <w:rsid w:val="00A07877"/>
    <w:rsid w:val="00A114C6"/>
    <w:rsid w:val="00A1188B"/>
    <w:rsid w:val="00A12E6A"/>
    <w:rsid w:val="00A13B48"/>
    <w:rsid w:val="00A14308"/>
    <w:rsid w:val="00A16FC0"/>
    <w:rsid w:val="00A20A02"/>
    <w:rsid w:val="00A21561"/>
    <w:rsid w:val="00A23EE5"/>
    <w:rsid w:val="00A30D79"/>
    <w:rsid w:val="00A31FBC"/>
    <w:rsid w:val="00A3315A"/>
    <w:rsid w:val="00A34228"/>
    <w:rsid w:val="00A342F0"/>
    <w:rsid w:val="00A34FE0"/>
    <w:rsid w:val="00A363E7"/>
    <w:rsid w:val="00A36F48"/>
    <w:rsid w:val="00A37FE5"/>
    <w:rsid w:val="00A40937"/>
    <w:rsid w:val="00A40C6D"/>
    <w:rsid w:val="00A421C3"/>
    <w:rsid w:val="00A422E6"/>
    <w:rsid w:val="00A42A04"/>
    <w:rsid w:val="00A42CCB"/>
    <w:rsid w:val="00A4358E"/>
    <w:rsid w:val="00A4529F"/>
    <w:rsid w:val="00A45D81"/>
    <w:rsid w:val="00A50EA3"/>
    <w:rsid w:val="00A50F9F"/>
    <w:rsid w:val="00A52614"/>
    <w:rsid w:val="00A53181"/>
    <w:rsid w:val="00A53C68"/>
    <w:rsid w:val="00A54615"/>
    <w:rsid w:val="00A554DA"/>
    <w:rsid w:val="00A571AC"/>
    <w:rsid w:val="00A60B80"/>
    <w:rsid w:val="00A614C6"/>
    <w:rsid w:val="00A63D1B"/>
    <w:rsid w:val="00A64F8F"/>
    <w:rsid w:val="00A65ACC"/>
    <w:rsid w:val="00A65F3F"/>
    <w:rsid w:val="00A709CC"/>
    <w:rsid w:val="00A72855"/>
    <w:rsid w:val="00A735E8"/>
    <w:rsid w:val="00A74DE9"/>
    <w:rsid w:val="00A74EA8"/>
    <w:rsid w:val="00A75B06"/>
    <w:rsid w:val="00A76B8F"/>
    <w:rsid w:val="00A80B66"/>
    <w:rsid w:val="00A81C18"/>
    <w:rsid w:val="00A827BF"/>
    <w:rsid w:val="00A82D46"/>
    <w:rsid w:val="00A8368F"/>
    <w:rsid w:val="00A83A1C"/>
    <w:rsid w:val="00A85D66"/>
    <w:rsid w:val="00A86A1B"/>
    <w:rsid w:val="00A87FBD"/>
    <w:rsid w:val="00A90FD4"/>
    <w:rsid w:val="00AA504F"/>
    <w:rsid w:val="00AA506A"/>
    <w:rsid w:val="00AA660E"/>
    <w:rsid w:val="00AA75C9"/>
    <w:rsid w:val="00AA7BC0"/>
    <w:rsid w:val="00AB0447"/>
    <w:rsid w:val="00AB167D"/>
    <w:rsid w:val="00AB1C8C"/>
    <w:rsid w:val="00AB2908"/>
    <w:rsid w:val="00AB2D9F"/>
    <w:rsid w:val="00AB4315"/>
    <w:rsid w:val="00AC0093"/>
    <w:rsid w:val="00AC1EEF"/>
    <w:rsid w:val="00AC2042"/>
    <w:rsid w:val="00AC3B96"/>
    <w:rsid w:val="00AC3DD1"/>
    <w:rsid w:val="00AC6722"/>
    <w:rsid w:val="00AC749D"/>
    <w:rsid w:val="00AC7949"/>
    <w:rsid w:val="00AD01A3"/>
    <w:rsid w:val="00AD1AAA"/>
    <w:rsid w:val="00AD1FB0"/>
    <w:rsid w:val="00AD276C"/>
    <w:rsid w:val="00AD42E4"/>
    <w:rsid w:val="00AD5CEA"/>
    <w:rsid w:val="00AD5D1A"/>
    <w:rsid w:val="00AD60D1"/>
    <w:rsid w:val="00AD7FE0"/>
    <w:rsid w:val="00AE1FBE"/>
    <w:rsid w:val="00AE2230"/>
    <w:rsid w:val="00AE2510"/>
    <w:rsid w:val="00AE638A"/>
    <w:rsid w:val="00AE7D10"/>
    <w:rsid w:val="00AF22CD"/>
    <w:rsid w:val="00AF24A5"/>
    <w:rsid w:val="00AF2516"/>
    <w:rsid w:val="00AF2754"/>
    <w:rsid w:val="00AF2C81"/>
    <w:rsid w:val="00AF411C"/>
    <w:rsid w:val="00AF7333"/>
    <w:rsid w:val="00B0011D"/>
    <w:rsid w:val="00B0091D"/>
    <w:rsid w:val="00B017A4"/>
    <w:rsid w:val="00B02241"/>
    <w:rsid w:val="00B02749"/>
    <w:rsid w:val="00B0294C"/>
    <w:rsid w:val="00B03BC2"/>
    <w:rsid w:val="00B03F61"/>
    <w:rsid w:val="00B0444C"/>
    <w:rsid w:val="00B04541"/>
    <w:rsid w:val="00B053B4"/>
    <w:rsid w:val="00B05D9A"/>
    <w:rsid w:val="00B066DC"/>
    <w:rsid w:val="00B06972"/>
    <w:rsid w:val="00B10AB7"/>
    <w:rsid w:val="00B124C8"/>
    <w:rsid w:val="00B12711"/>
    <w:rsid w:val="00B1323C"/>
    <w:rsid w:val="00B15D59"/>
    <w:rsid w:val="00B15DBC"/>
    <w:rsid w:val="00B178CB"/>
    <w:rsid w:val="00B22376"/>
    <w:rsid w:val="00B24CB1"/>
    <w:rsid w:val="00B279FA"/>
    <w:rsid w:val="00B30310"/>
    <w:rsid w:val="00B31BA2"/>
    <w:rsid w:val="00B32153"/>
    <w:rsid w:val="00B3218F"/>
    <w:rsid w:val="00B32E0F"/>
    <w:rsid w:val="00B3311F"/>
    <w:rsid w:val="00B37079"/>
    <w:rsid w:val="00B4000B"/>
    <w:rsid w:val="00B4061E"/>
    <w:rsid w:val="00B41A93"/>
    <w:rsid w:val="00B42A99"/>
    <w:rsid w:val="00B43A5F"/>
    <w:rsid w:val="00B44BAC"/>
    <w:rsid w:val="00B4647A"/>
    <w:rsid w:val="00B50210"/>
    <w:rsid w:val="00B51C3E"/>
    <w:rsid w:val="00B527C5"/>
    <w:rsid w:val="00B53421"/>
    <w:rsid w:val="00B55350"/>
    <w:rsid w:val="00B63B13"/>
    <w:rsid w:val="00B64184"/>
    <w:rsid w:val="00B67364"/>
    <w:rsid w:val="00B71713"/>
    <w:rsid w:val="00B7343B"/>
    <w:rsid w:val="00B734E2"/>
    <w:rsid w:val="00B75B4B"/>
    <w:rsid w:val="00B76284"/>
    <w:rsid w:val="00B76CCE"/>
    <w:rsid w:val="00B8194B"/>
    <w:rsid w:val="00B81BC3"/>
    <w:rsid w:val="00B83CA9"/>
    <w:rsid w:val="00B84CFD"/>
    <w:rsid w:val="00B903D7"/>
    <w:rsid w:val="00B93402"/>
    <w:rsid w:val="00B93619"/>
    <w:rsid w:val="00B9424E"/>
    <w:rsid w:val="00B95058"/>
    <w:rsid w:val="00B9511B"/>
    <w:rsid w:val="00B95BA0"/>
    <w:rsid w:val="00BA02EC"/>
    <w:rsid w:val="00BA2DEE"/>
    <w:rsid w:val="00BA5D22"/>
    <w:rsid w:val="00BB033B"/>
    <w:rsid w:val="00BB2A2B"/>
    <w:rsid w:val="00BB3140"/>
    <w:rsid w:val="00BB316A"/>
    <w:rsid w:val="00BB369A"/>
    <w:rsid w:val="00BB37BC"/>
    <w:rsid w:val="00BB41BF"/>
    <w:rsid w:val="00BB453B"/>
    <w:rsid w:val="00BB7131"/>
    <w:rsid w:val="00BC2B3D"/>
    <w:rsid w:val="00BC2D08"/>
    <w:rsid w:val="00BC4E90"/>
    <w:rsid w:val="00BC634E"/>
    <w:rsid w:val="00BD07DA"/>
    <w:rsid w:val="00BD11C7"/>
    <w:rsid w:val="00BD12B8"/>
    <w:rsid w:val="00BD198C"/>
    <w:rsid w:val="00BD24B3"/>
    <w:rsid w:val="00BD262E"/>
    <w:rsid w:val="00BD268C"/>
    <w:rsid w:val="00BD3453"/>
    <w:rsid w:val="00BD4C48"/>
    <w:rsid w:val="00BD772D"/>
    <w:rsid w:val="00BE5C22"/>
    <w:rsid w:val="00BE6819"/>
    <w:rsid w:val="00BE6A47"/>
    <w:rsid w:val="00BE6FAF"/>
    <w:rsid w:val="00BF14C1"/>
    <w:rsid w:val="00BF4A6C"/>
    <w:rsid w:val="00BF4F20"/>
    <w:rsid w:val="00C02D8D"/>
    <w:rsid w:val="00C03B98"/>
    <w:rsid w:val="00C041B1"/>
    <w:rsid w:val="00C0432C"/>
    <w:rsid w:val="00C07961"/>
    <w:rsid w:val="00C1026A"/>
    <w:rsid w:val="00C1163A"/>
    <w:rsid w:val="00C156FE"/>
    <w:rsid w:val="00C1600D"/>
    <w:rsid w:val="00C21807"/>
    <w:rsid w:val="00C21A17"/>
    <w:rsid w:val="00C24502"/>
    <w:rsid w:val="00C2794D"/>
    <w:rsid w:val="00C3537F"/>
    <w:rsid w:val="00C35ADF"/>
    <w:rsid w:val="00C35B23"/>
    <w:rsid w:val="00C35ECD"/>
    <w:rsid w:val="00C360D8"/>
    <w:rsid w:val="00C37A70"/>
    <w:rsid w:val="00C37B33"/>
    <w:rsid w:val="00C37E1E"/>
    <w:rsid w:val="00C43740"/>
    <w:rsid w:val="00C44A6D"/>
    <w:rsid w:val="00C45F01"/>
    <w:rsid w:val="00C472EF"/>
    <w:rsid w:val="00C513A4"/>
    <w:rsid w:val="00C51841"/>
    <w:rsid w:val="00C522F2"/>
    <w:rsid w:val="00C53651"/>
    <w:rsid w:val="00C551BB"/>
    <w:rsid w:val="00C62FA7"/>
    <w:rsid w:val="00C6534C"/>
    <w:rsid w:val="00C65935"/>
    <w:rsid w:val="00C66FB9"/>
    <w:rsid w:val="00C67394"/>
    <w:rsid w:val="00C677E4"/>
    <w:rsid w:val="00C707A7"/>
    <w:rsid w:val="00C71660"/>
    <w:rsid w:val="00C71E58"/>
    <w:rsid w:val="00C73FAB"/>
    <w:rsid w:val="00C74330"/>
    <w:rsid w:val="00C746BD"/>
    <w:rsid w:val="00C74AE1"/>
    <w:rsid w:val="00C750C2"/>
    <w:rsid w:val="00C76BDC"/>
    <w:rsid w:val="00C819BE"/>
    <w:rsid w:val="00C83551"/>
    <w:rsid w:val="00C84151"/>
    <w:rsid w:val="00C92CD4"/>
    <w:rsid w:val="00C93E27"/>
    <w:rsid w:val="00C95FAA"/>
    <w:rsid w:val="00C974B8"/>
    <w:rsid w:val="00CA0150"/>
    <w:rsid w:val="00CA085A"/>
    <w:rsid w:val="00CA0BAE"/>
    <w:rsid w:val="00CA16AC"/>
    <w:rsid w:val="00CA170B"/>
    <w:rsid w:val="00CA1FA5"/>
    <w:rsid w:val="00CA2853"/>
    <w:rsid w:val="00CA3E95"/>
    <w:rsid w:val="00CA612F"/>
    <w:rsid w:val="00CB146D"/>
    <w:rsid w:val="00CB15A2"/>
    <w:rsid w:val="00CB1747"/>
    <w:rsid w:val="00CB2BEA"/>
    <w:rsid w:val="00CB3050"/>
    <w:rsid w:val="00CB4E10"/>
    <w:rsid w:val="00CB62B4"/>
    <w:rsid w:val="00CB7903"/>
    <w:rsid w:val="00CC29D2"/>
    <w:rsid w:val="00CC4B20"/>
    <w:rsid w:val="00CC4F54"/>
    <w:rsid w:val="00CC6BC6"/>
    <w:rsid w:val="00CC7E47"/>
    <w:rsid w:val="00CD1E34"/>
    <w:rsid w:val="00CD2308"/>
    <w:rsid w:val="00CD3DC2"/>
    <w:rsid w:val="00CD4594"/>
    <w:rsid w:val="00CD6168"/>
    <w:rsid w:val="00CD632B"/>
    <w:rsid w:val="00CD715D"/>
    <w:rsid w:val="00CD735F"/>
    <w:rsid w:val="00CD73EA"/>
    <w:rsid w:val="00CD7F7D"/>
    <w:rsid w:val="00CE1DD7"/>
    <w:rsid w:val="00CE22CC"/>
    <w:rsid w:val="00CE4568"/>
    <w:rsid w:val="00CE4A92"/>
    <w:rsid w:val="00CE7D02"/>
    <w:rsid w:val="00CF004D"/>
    <w:rsid w:val="00CF01C4"/>
    <w:rsid w:val="00CF0AA1"/>
    <w:rsid w:val="00CF0AC7"/>
    <w:rsid w:val="00CF1A5E"/>
    <w:rsid w:val="00CF2C73"/>
    <w:rsid w:val="00D02A5F"/>
    <w:rsid w:val="00D04ED0"/>
    <w:rsid w:val="00D0529D"/>
    <w:rsid w:val="00D06B3B"/>
    <w:rsid w:val="00D11E20"/>
    <w:rsid w:val="00D12524"/>
    <w:rsid w:val="00D12BC0"/>
    <w:rsid w:val="00D131EF"/>
    <w:rsid w:val="00D143E4"/>
    <w:rsid w:val="00D15856"/>
    <w:rsid w:val="00D17026"/>
    <w:rsid w:val="00D20076"/>
    <w:rsid w:val="00D2062C"/>
    <w:rsid w:val="00D20AFB"/>
    <w:rsid w:val="00D2468E"/>
    <w:rsid w:val="00D25219"/>
    <w:rsid w:val="00D25C31"/>
    <w:rsid w:val="00D306BD"/>
    <w:rsid w:val="00D330EC"/>
    <w:rsid w:val="00D33D16"/>
    <w:rsid w:val="00D3740C"/>
    <w:rsid w:val="00D42BEB"/>
    <w:rsid w:val="00D43CB3"/>
    <w:rsid w:val="00D4455E"/>
    <w:rsid w:val="00D457F9"/>
    <w:rsid w:val="00D5416C"/>
    <w:rsid w:val="00D57A2C"/>
    <w:rsid w:val="00D60799"/>
    <w:rsid w:val="00D61030"/>
    <w:rsid w:val="00D612A4"/>
    <w:rsid w:val="00D615C6"/>
    <w:rsid w:val="00D623DD"/>
    <w:rsid w:val="00D633B6"/>
    <w:rsid w:val="00D63AA8"/>
    <w:rsid w:val="00D64AEB"/>
    <w:rsid w:val="00D65DE7"/>
    <w:rsid w:val="00D67A6F"/>
    <w:rsid w:val="00D702F4"/>
    <w:rsid w:val="00D7273B"/>
    <w:rsid w:val="00D732D5"/>
    <w:rsid w:val="00D735CC"/>
    <w:rsid w:val="00D73655"/>
    <w:rsid w:val="00D827CE"/>
    <w:rsid w:val="00D83274"/>
    <w:rsid w:val="00D84F04"/>
    <w:rsid w:val="00D85A48"/>
    <w:rsid w:val="00D87D0D"/>
    <w:rsid w:val="00D90092"/>
    <w:rsid w:val="00D900E4"/>
    <w:rsid w:val="00D93C55"/>
    <w:rsid w:val="00D9482D"/>
    <w:rsid w:val="00D95B99"/>
    <w:rsid w:val="00D964E0"/>
    <w:rsid w:val="00D976CC"/>
    <w:rsid w:val="00DA05AA"/>
    <w:rsid w:val="00DA36E6"/>
    <w:rsid w:val="00DA4DDA"/>
    <w:rsid w:val="00DA6D64"/>
    <w:rsid w:val="00DA6EA3"/>
    <w:rsid w:val="00DA73C6"/>
    <w:rsid w:val="00DA7A45"/>
    <w:rsid w:val="00DB6402"/>
    <w:rsid w:val="00DC1A02"/>
    <w:rsid w:val="00DC2843"/>
    <w:rsid w:val="00DC2A09"/>
    <w:rsid w:val="00DC3BEE"/>
    <w:rsid w:val="00DC44CE"/>
    <w:rsid w:val="00DC526B"/>
    <w:rsid w:val="00DC72BA"/>
    <w:rsid w:val="00DC7445"/>
    <w:rsid w:val="00DD086F"/>
    <w:rsid w:val="00DD0B0F"/>
    <w:rsid w:val="00DD2B96"/>
    <w:rsid w:val="00DD39A3"/>
    <w:rsid w:val="00DD590A"/>
    <w:rsid w:val="00DD6813"/>
    <w:rsid w:val="00DD6CF6"/>
    <w:rsid w:val="00DE29C5"/>
    <w:rsid w:val="00DE628D"/>
    <w:rsid w:val="00DE7CFE"/>
    <w:rsid w:val="00DF01D8"/>
    <w:rsid w:val="00DF0628"/>
    <w:rsid w:val="00DF0D4D"/>
    <w:rsid w:val="00DF2575"/>
    <w:rsid w:val="00DF2DF4"/>
    <w:rsid w:val="00DF3956"/>
    <w:rsid w:val="00DF3FDC"/>
    <w:rsid w:val="00DF4062"/>
    <w:rsid w:val="00DF5ADA"/>
    <w:rsid w:val="00DF6412"/>
    <w:rsid w:val="00DF6E52"/>
    <w:rsid w:val="00DF76A2"/>
    <w:rsid w:val="00DF78FD"/>
    <w:rsid w:val="00E03436"/>
    <w:rsid w:val="00E05865"/>
    <w:rsid w:val="00E05A5F"/>
    <w:rsid w:val="00E06561"/>
    <w:rsid w:val="00E07E9E"/>
    <w:rsid w:val="00E11B29"/>
    <w:rsid w:val="00E1221D"/>
    <w:rsid w:val="00E133C6"/>
    <w:rsid w:val="00E135BD"/>
    <w:rsid w:val="00E13605"/>
    <w:rsid w:val="00E14DBB"/>
    <w:rsid w:val="00E20C8A"/>
    <w:rsid w:val="00E2175F"/>
    <w:rsid w:val="00E217B6"/>
    <w:rsid w:val="00E22490"/>
    <w:rsid w:val="00E22C17"/>
    <w:rsid w:val="00E23220"/>
    <w:rsid w:val="00E25061"/>
    <w:rsid w:val="00E31448"/>
    <w:rsid w:val="00E31742"/>
    <w:rsid w:val="00E32329"/>
    <w:rsid w:val="00E33851"/>
    <w:rsid w:val="00E34BB8"/>
    <w:rsid w:val="00E3566E"/>
    <w:rsid w:val="00E35AE7"/>
    <w:rsid w:val="00E36213"/>
    <w:rsid w:val="00E3623C"/>
    <w:rsid w:val="00E37AE7"/>
    <w:rsid w:val="00E37C85"/>
    <w:rsid w:val="00E416D5"/>
    <w:rsid w:val="00E4189D"/>
    <w:rsid w:val="00E42922"/>
    <w:rsid w:val="00E42F01"/>
    <w:rsid w:val="00E46694"/>
    <w:rsid w:val="00E470B2"/>
    <w:rsid w:val="00E478FE"/>
    <w:rsid w:val="00E47A6A"/>
    <w:rsid w:val="00E47AEC"/>
    <w:rsid w:val="00E517AB"/>
    <w:rsid w:val="00E51F66"/>
    <w:rsid w:val="00E562F2"/>
    <w:rsid w:val="00E56D1D"/>
    <w:rsid w:val="00E576DD"/>
    <w:rsid w:val="00E604EB"/>
    <w:rsid w:val="00E64440"/>
    <w:rsid w:val="00E6523A"/>
    <w:rsid w:val="00E6576C"/>
    <w:rsid w:val="00E65AD9"/>
    <w:rsid w:val="00E66720"/>
    <w:rsid w:val="00E70980"/>
    <w:rsid w:val="00E758FD"/>
    <w:rsid w:val="00E76194"/>
    <w:rsid w:val="00E77A7C"/>
    <w:rsid w:val="00E80A05"/>
    <w:rsid w:val="00E8123F"/>
    <w:rsid w:val="00E81AA2"/>
    <w:rsid w:val="00E82CA8"/>
    <w:rsid w:val="00E849AE"/>
    <w:rsid w:val="00E84E00"/>
    <w:rsid w:val="00E85AA7"/>
    <w:rsid w:val="00E86832"/>
    <w:rsid w:val="00E8715B"/>
    <w:rsid w:val="00E87A5E"/>
    <w:rsid w:val="00E91639"/>
    <w:rsid w:val="00E91681"/>
    <w:rsid w:val="00E921C9"/>
    <w:rsid w:val="00E93B10"/>
    <w:rsid w:val="00E942E8"/>
    <w:rsid w:val="00E95358"/>
    <w:rsid w:val="00E9573F"/>
    <w:rsid w:val="00E9774E"/>
    <w:rsid w:val="00EA03BD"/>
    <w:rsid w:val="00EA55C7"/>
    <w:rsid w:val="00EA61DC"/>
    <w:rsid w:val="00EB086E"/>
    <w:rsid w:val="00EB1936"/>
    <w:rsid w:val="00EB1D51"/>
    <w:rsid w:val="00EB2F2D"/>
    <w:rsid w:val="00EB50DB"/>
    <w:rsid w:val="00EB5ABD"/>
    <w:rsid w:val="00EB5BC5"/>
    <w:rsid w:val="00EC264D"/>
    <w:rsid w:val="00EC7D30"/>
    <w:rsid w:val="00ED1944"/>
    <w:rsid w:val="00ED2ECA"/>
    <w:rsid w:val="00ED4F09"/>
    <w:rsid w:val="00EE02E0"/>
    <w:rsid w:val="00EE037C"/>
    <w:rsid w:val="00EE3C54"/>
    <w:rsid w:val="00EE46D7"/>
    <w:rsid w:val="00EE4C25"/>
    <w:rsid w:val="00EE531F"/>
    <w:rsid w:val="00EE5502"/>
    <w:rsid w:val="00EE6474"/>
    <w:rsid w:val="00EE71AB"/>
    <w:rsid w:val="00EF19BA"/>
    <w:rsid w:val="00EF4375"/>
    <w:rsid w:val="00EF5F82"/>
    <w:rsid w:val="00F00C38"/>
    <w:rsid w:val="00F02094"/>
    <w:rsid w:val="00F02219"/>
    <w:rsid w:val="00F02391"/>
    <w:rsid w:val="00F04341"/>
    <w:rsid w:val="00F04545"/>
    <w:rsid w:val="00F049B3"/>
    <w:rsid w:val="00F053C0"/>
    <w:rsid w:val="00F07096"/>
    <w:rsid w:val="00F11F2D"/>
    <w:rsid w:val="00F125C2"/>
    <w:rsid w:val="00F12613"/>
    <w:rsid w:val="00F129B5"/>
    <w:rsid w:val="00F12C1E"/>
    <w:rsid w:val="00F12CA5"/>
    <w:rsid w:val="00F13C6D"/>
    <w:rsid w:val="00F13E10"/>
    <w:rsid w:val="00F144F2"/>
    <w:rsid w:val="00F14612"/>
    <w:rsid w:val="00F154EC"/>
    <w:rsid w:val="00F16AF7"/>
    <w:rsid w:val="00F17318"/>
    <w:rsid w:val="00F23221"/>
    <w:rsid w:val="00F23DEC"/>
    <w:rsid w:val="00F2433A"/>
    <w:rsid w:val="00F253FA"/>
    <w:rsid w:val="00F31D59"/>
    <w:rsid w:val="00F32D8A"/>
    <w:rsid w:val="00F33046"/>
    <w:rsid w:val="00F34828"/>
    <w:rsid w:val="00F35598"/>
    <w:rsid w:val="00F3568D"/>
    <w:rsid w:val="00F370C2"/>
    <w:rsid w:val="00F37524"/>
    <w:rsid w:val="00F400BF"/>
    <w:rsid w:val="00F40869"/>
    <w:rsid w:val="00F413D1"/>
    <w:rsid w:val="00F415E0"/>
    <w:rsid w:val="00F4178D"/>
    <w:rsid w:val="00F41860"/>
    <w:rsid w:val="00F422ED"/>
    <w:rsid w:val="00F42B93"/>
    <w:rsid w:val="00F42E22"/>
    <w:rsid w:val="00F442B3"/>
    <w:rsid w:val="00F44F5E"/>
    <w:rsid w:val="00F452F2"/>
    <w:rsid w:val="00F45716"/>
    <w:rsid w:val="00F45A5F"/>
    <w:rsid w:val="00F46D62"/>
    <w:rsid w:val="00F4792A"/>
    <w:rsid w:val="00F479CD"/>
    <w:rsid w:val="00F47CB3"/>
    <w:rsid w:val="00F502D5"/>
    <w:rsid w:val="00F50853"/>
    <w:rsid w:val="00F528E3"/>
    <w:rsid w:val="00F55639"/>
    <w:rsid w:val="00F572E4"/>
    <w:rsid w:val="00F61C2A"/>
    <w:rsid w:val="00F630B0"/>
    <w:rsid w:val="00F634AF"/>
    <w:rsid w:val="00F63D65"/>
    <w:rsid w:val="00F65475"/>
    <w:rsid w:val="00F66354"/>
    <w:rsid w:val="00F663F8"/>
    <w:rsid w:val="00F66ECD"/>
    <w:rsid w:val="00F71E1F"/>
    <w:rsid w:val="00F7364D"/>
    <w:rsid w:val="00F74840"/>
    <w:rsid w:val="00F748F0"/>
    <w:rsid w:val="00F752F6"/>
    <w:rsid w:val="00F75C27"/>
    <w:rsid w:val="00F7605E"/>
    <w:rsid w:val="00F77057"/>
    <w:rsid w:val="00F77D4F"/>
    <w:rsid w:val="00F8068A"/>
    <w:rsid w:val="00F8260E"/>
    <w:rsid w:val="00F8306B"/>
    <w:rsid w:val="00F83B9B"/>
    <w:rsid w:val="00F8412D"/>
    <w:rsid w:val="00F84302"/>
    <w:rsid w:val="00F87062"/>
    <w:rsid w:val="00F93C49"/>
    <w:rsid w:val="00F93E56"/>
    <w:rsid w:val="00F9447A"/>
    <w:rsid w:val="00F94675"/>
    <w:rsid w:val="00F95C7F"/>
    <w:rsid w:val="00F96737"/>
    <w:rsid w:val="00F972A2"/>
    <w:rsid w:val="00F97F30"/>
    <w:rsid w:val="00FA0B2E"/>
    <w:rsid w:val="00FA0C17"/>
    <w:rsid w:val="00FA2188"/>
    <w:rsid w:val="00FA5298"/>
    <w:rsid w:val="00FA6344"/>
    <w:rsid w:val="00FA6389"/>
    <w:rsid w:val="00FA641A"/>
    <w:rsid w:val="00FB0FD0"/>
    <w:rsid w:val="00FB2E2D"/>
    <w:rsid w:val="00FB4E9A"/>
    <w:rsid w:val="00FB6E4F"/>
    <w:rsid w:val="00FB6E51"/>
    <w:rsid w:val="00FC0332"/>
    <w:rsid w:val="00FC0422"/>
    <w:rsid w:val="00FC17DA"/>
    <w:rsid w:val="00FC2AFB"/>
    <w:rsid w:val="00FC30EA"/>
    <w:rsid w:val="00FC3F28"/>
    <w:rsid w:val="00FC42FB"/>
    <w:rsid w:val="00FC46B6"/>
    <w:rsid w:val="00FC4C84"/>
    <w:rsid w:val="00FC4CF7"/>
    <w:rsid w:val="00FC52A7"/>
    <w:rsid w:val="00FC6313"/>
    <w:rsid w:val="00FC7C4A"/>
    <w:rsid w:val="00FC7E54"/>
    <w:rsid w:val="00FD060D"/>
    <w:rsid w:val="00FD0C5B"/>
    <w:rsid w:val="00FD2B28"/>
    <w:rsid w:val="00FD50DE"/>
    <w:rsid w:val="00FD5527"/>
    <w:rsid w:val="00FD5FEA"/>
    <w:rsid w:val="00FD7C46"/>
    <w:rsid w:val="00FE1B2B"/>
    <w:rsid w:val="00FE343E"/>
    <w:rsid w:val="00FE4E24"/>
    <w:rsid w:val="00FE4E6B"/>
    <w:rsid w:val="00FE607D"/>
    <w:rsid w:val="00FF2787"/>
    <w:rsid w:val="00FF2A45"/>
    <w:rsid w:val="01DC76FE"/>
    <w:rsid w:val="023000CF"/>
    <w:rsid w:val="02323531"/>
    <w:rsid w:val="02CC411D"/>
    <w:rsid w:val="03273A86"/>
    <w:rsid w:val="03C54999"/>
    <w:rsid w:val="04926F71"/>
    <w:rsid w:val="04A47A5C"/>
    <w:rsid w:val="04EA6B1C"/>
    <w:rsid w:val="058F34B0"/>
    <w:rsid w:val="06094A1B"/>
    <w:rsid w:val="064125FF"/>
    <w:rsid w:val="073B42B8"/>
    <w:rsid w:val="079137CB"/>
    <w:rsid w:val="083C2ED5"/>
    <w:rsid w:val="08744F7A"/>
    <w:rsid w:val="08A059D4"/>
    <w:rsid w:val="091C06CF"/>
    <w:rsid w:val="09BF31B7"/>
    <w:rsid w:val="0A9F45E7"/>
    <w:rsid w:val="0AEF0DDC"/>
    <w:rsid w:val="0B7503AB"/>
    <w:rsid w:val="0BE01BDD"/>
    <w:rsid w:val="0BF901E0"/>
    <w:rsid w:val="0CDD473D"/>
    <w:rsid w:val="0D15610F"/>
    <w:rsid w:val="0D352C68"/>
    <w:rsid w:val="0DDC300B"/>
    <w:rsid w:val="0E08610B"/>
    <w:rsid w:val="0E230D15"/>
    <w:rsid w:val="0E2449B2"/>
    <w:rsid w:val="0E3D193D"/>
    <w:rsid w:val="0E76345F"/>
    <w:rsid w:val="0E797ADB"/>
    <w:rsid w:val="0E861CB7"/>
    <w:rsid w:val="0EA55C45"/>
    <w:rsid w:val="0EDF06EE"/>
    <w:rsid w:val="0FB436CB"/>
    <w:rsid w:val="10757746"/>
    <w:rsid w:val="10C83588"/>
    <w:rsid w:val="1103023A"/>
    <w:rsid w:val="113D0264"/>
    <w:rsid w:val="114354A0"/>
    <w:rsid w:val="11A344E4"/>
    <w:rsid w:val="11F14444"/>
    <w:rsid w:val="12151F99"/>
    <w:rsid w:val="12681311"/>
    <w:rsid w:val="13327BCA"/>
    <w:rsid w:val="135A334F"/>
    <w:rsid w:val="136A6CC2"/>
    <w:rsid w:val="13D604FC"/>
    <w:rsid w:val="13F6294C"/>
    <w:rsid w:val="143B1090"/>
    <w:rsid w:val="14A3275E"/>
    <w:rsid w:val="14D60AF2"/>
    <w:rsid w:val="14D82A95"/>
    <w:rsid w:val="14FC0436"/>
    <w:rsid w:val="158F171D"/>
    <w:rsid w:val="15BA68C6"/>
    <w:rsid w:val="15CC565E"/>
    <w:rsid w:val="15D01A67"/>
    <w:rsid w:val="16022697"/>
    <w:rsid w:val="16B31DA7"/>
    <w:rsid w:val="16DB6809"/>
    <w:rsid w:val="16E41FC1"/>
    <w:rsid w:val="170E3AEC"/>
    <w:rsid w:val="180737CD"/>
    <w:rsid w:val="18211DEB"/>
    <w:rsid w:val="184D6F90"/>
    <w:rsid w:val="18AB62FA"/>
    <w:rsid w:val="18D85C6A"/>
    <w:rsid w:val="19510D51"/>
    <w:rsid w:val="1A2C531A"/>
    <w:rsid w:val="1ABD7F1C"/>
    <w:rsid w:val="1AED5C6B"/>
    <w:rsid w:val="1B1D623E"/>
    <w:rsid w:val="1B2B156D"/>
    <w:rsid w:val="1B55264E"/>
    <w:rsid w:val="1BDD5CC2"/>
    <w:rsid w:val="1BE83125"/>
    <w:rsid w:val="1C41355E"/>
    <w:rsid w:val="1C9E5B64"/>
    <w:rsid w:val="1CD81789"/>
    <w:rsid w:val="1CEE2D5A"/>
    <w:rsid w:val="1DD831FD"/>
    <w:rsid w:val="1E0331B4"/>
    <w:rsid w:val="1E4741B6"/>
    <w:rsid w:val="1E5B5378"/>
    <w:rsid w:val="1E641526"/>
    <w:rsid w:val="1F262338"/>
    <w:rsid w:val="1F274302"/>
    <w:rsid w:val="1F3938C8"/>
    <w:rsid w:val="1F623A6A"/>
    <w:rsid w:val="1F681363"/>
    <w:rsid w:val="202F7912"/>
    <w:rsid w:val="20B32118"/>
    <w:rsid w:val="21357C43"/>
    <w:rsid w:val="217D46AD"/>
    <w:rsid w:val="21963EF8"/>
    <w:rsid w:val="21D36836"/>
    <w:rsid w:val="21D8332C"/>
    <w:rsid w:val="21FE57EE"/>
    <w:rsid w:val="220628F4"/>
    <w:rsid w:val="2302130E"/>
    <w:rsid w:val="232F15F4"/>
    <w:rsid w:val="23812232"/>
    <w:rsid w:val="23815BE5"/>
    <w:rsid w:val="247D5D84"/>
    <w:rsid w:val="25007ACF"/>
    <w:rsid w:val="25107680"/>
    <w:rsid w:val="25161906"/>
    <w:rsid w:val="252B4B4C"/>
    <w:rsid w:val="25B20DC9"/>
    <w:rsid w:val="25F820D0"/>
    <w:rsid w:val="267A7F87"/>
    <w:rsid w:val="26A27881"/>
    <w:rsid w:val="27135897"/>
    <w:rsid w:val="271B6F5F"/>
    <w:rsid w:val="2737786C"/>
    <w:rsid w:val="27A24E6D"/>
    <w:rsid w:val="286839C1"/>
    <w:rsid w:val="289018B9"/>
    <w:rsid w:val="28A8200F"/>
    <w:rsid w:val="293253E8"/>
    <w:rsid w:val="29492A99"/>
    <w:rsid w:val="298957BD"/>
    <w:rsid w:val="2A006F73"/>
    <w:rsid w:val="2AC44B65"/>
    <w:rsid w:val="2AE1128D"/>
    <w:rsid w:val="2B22254D"/>
    <w:rsid w:val="2B522706"/>
    <w:rsid w:val="2BE33F03"/>
    <w:rsid w:val="2C0F23A5"/>
    <w:rsid w:val="2D592B06"/>
    <w:rsid w:val="2D885912"/>
    <w:rsid w:val="2D9B2157"/>
    <w:rsid w:val="2E2111E7"/>
    <w:rsid w:val="2ECA516F"/>
    <w:rsid w:val="2F902C6A"/>
    <w:rsid w:val="2F996B56"/>
    <w:rsid w:val="2FC242FE"/>
    <w:rsid w:val="2FED3DE1"/>
    <w:rsid w:val="302D0B1F"/>
    <w:rsid w:val="3084391F"/>
    <w:rsid w:val="30C145B6"/>
    <w:rsid w:val="31553666"/>
    <w:rsid w:val="31655BCB"/>
    <w:rsid w:val="319C0B7F"/>
    <w:rsid w:val="31BD6B27"/>
    <w:rsid w:val="31F6028F"/>
    <w:rsid w:val="3251196A"/>
    <w:rsid w:val="32892B30"/>
    <w:rsid w:val="3299637A"/>
    <w:rsid w:val="33056AFF"/>
    <w:rsid w:val="33514373"/>
    <w:rsid w:val="335C6818"/>
    <w:rsid w:val="336819E3"/>
    <w:rsid w:val="33881F42"/>
    <w:rsid w:val="343A251A"/>
    <w:rsid w:val="349E175C"/>
    <w:rsid w:val="34EB7E53"/>
    <w:rsid w:val="35241716"/>
    <w:rsid w:val="358856A2"/>
    <w:rsid w:val="35B83942"/>
    <w:rsid w:val="35C948C7"/>
    <w:rsid w:val="35D13059"/>
    <w:rsid w:val="35FD6AEE"/>
    <w:rsid w:val="362A5E2D"/>
    <w:rsid w:val="36780B29"/>
    <w:rsid w:val="372B2789"/>
    <w:rsid w:val="374E46CA"/>
    <w:rsid w:val="378E2D18"/>
    <w:rsid w:val="37E636A1"/>
    <w:rsid w:val="38454AF6"/>
    <w:rsid w:val="384A4E91"/>
    <w:rsid w:val="38653A79"/>
    <w:rsid w:val="3936692B"/>
    <w:rsid w:val="3978732C"/>
    <w:rsid w:val="39A751FE"/>
    <w:rsid w:val="3A9219F6"/>
    <w:rsid w:val="3AE50EA1"/>
    <w:rsid w:val="3B192AA3"/>
    <w:rsid w:val="3B550E4B"/>
    <w:rsid w:val="3BCB453B"/>
    <w:rsid w:val="3BF33A92"/>
    <w:rsid w:val="3BF55CE1"/>
    <w:rsid w:val="3C326368"/>
    <w:rsid w:val="3C9806BD"/>
    <w:rsid w:val="3CC5749F"/>
    <w:rsid w:val="3D09401E"/>
    <w:rsid w:val="3D55147F"/>
    <w:rsid w:val="3D6F788E"/>
    <w:rsid w:val="3D763F43"/>
    <w:rsid w:val="3E060836"/>
    <w:rsid w:val="3E442382"/>
    <w:rsid w:val="3EA960A2"/>
    <w:rsid w:val="3ECA2888"/>
    <w:rsid w:val="3F2B0932"/>
    <w:rsid w:val="3F2C03A4"/>
    <w:rsid w:val="3F415E00"/>
    <w:rsid w:val="3F954807"/>
    <w:rsid w:val="3FD634AE"/>
    <w:rsid w:val="3FDF26C9"/>
    <w:rsid w:val="3FEC558C"/>
    <w:rsid w:val="40A82D20"/>
    <w:rsid w:val="40D519B8"/>
    <w:rsid w:val="40F557A3"/>
    <w:rsid w:val="41332DEE"/>
    <w:rsid w:val="415820EB"/>
    <w:rsid w:val="419159CB"/>
    <w:rsid w:val="41BB7C2F"/>
    <w:rsid w:val="41CC2DBB"/>
    <w:rsid w:val="41E45506"/>
    <w:rsid w:val="41F22941"/>
    <w:rsid w:val="42B15EED"/>
    <w:rsid w:val="43212C92"/>
    <w:rsid w:val="433B4453"/>
    <w:rsid w:val="43420821"/>
    <w:rsid w:val="435B4EA8"/>
    <w:rsid w:val="43675BC8"/>
    <w:rsid w:val="43880B36"/>
    <w:rsid w:val="43A54750"/>
    <w:rsid w:val="43A93B2E"/>
    <w:rsid w:val="44AB4049"/>
    <w:rsid w:val="44FA4FE8"/>
    <w:rsid w:val="45163349"/>
    <w:rsid w:val="45F76874"/>
    <w:rsid w:val="46512E13"/>
    <w:rsid w:val="467523B1"/>
    <w:rsid w:val="46853FF0"/>
    <w:rsid w:val="46B02CAB"/>
    <w:rsid w:val="473604B3"/>
    <w:rsid w:val="47CF41AB"/>
    <w:rsid w:val="491E2A22"/>
    <w:rsid w:val="495913D8"/>
    <w:rsid w:val="49A91C74"/>
    <w:rsid w:val="49BC54C3"/>
    <w:rsid w:val="4A314103"/>
    <w:rsid w:val="4A3635D8"/>
    <w:rsid w:val="4B507D72"/>
    <w:rsid w:val="4B7923CD"/>
    <w:rsid w:val="4BCA1FA1"/>
    <w:rsid w:val="4BCB40E3"/>
    <w:rsid w:val="4C596F02"/>
    <w:rsid w:val="4C706FA3"/>
    <w:rsid w:val="4CB94BBD"/>
    <w:rsid w:val="4CC16BE7"/>
    <w:rsid w:val="4D341BC9"/>
    <w:rsid w:val="4D4B392C"/>
    <w:rsid w:val="4DB017E2"/>
    <w:rsid w:val="4DDF79D2"/>
    <w:rsid w:val="4E281C84"/>
    <w:rsid w:val="4E5A43E4"/>
    <w:rsid w:val="4EFB083B"/>
    <w:rsid w:val="4F2C7344"/>
    <w:rsid w:val="4F8A5E33"/>
    <w:rsid w:val="4FD7020F"/>
    <w:rsid w:val="4FDE678B"/>
    <w:rsid w:val="4FFB40E9"/>
    <w:rsid w:val="502A758C"/>
    <w:rsid w:val="50377F08"/>
    <w:rsid w:val="50A475CC"/>
    <w:rsid w:val="50A82C0C"/>
    <w:rsid w:val="51E8624D"/>
    <w:rsid w:val="528A6DCB"/>
    <w:rsid w:val="52B14033"/>
    <w:rsid w:val="52D81169"/>
    <w:rsid w:val="52E16484"/>
    <w:rsid w:val="530A54F1"/>
    <w:rsid w:val="53B175E1"/>
    <w:rsid w:val="5456782F"/>
    <w:rsid w:val="546A18DF"/>
    <w:rsid w:val="54837309"/>
    <w:rsid w:val="552863E9"/>
    <w:rsid w:val="552F7858"/>
    <w:rsid w:val="55356F28"/>
    <w:rsid w:val="558E065B"/>
    <w:rsid w:val="55CB36CB"/>
    <w:rsid w:val="56222F62"/>
    <w:rsid w:val="563034C0"/>
    <w:rsid w:val="56574902"/>
    <w:rsid w:val="57B123DF"/>
    <w:rsid w:val="58BA52C3"/>
    <w:rsid w:val="59936BCE"/>
    <w:rsid w:val="5A0D113D"/>
    <w:rsid w:val="5A25418D"/>
    <w:rsid w:val="5B505546"/>
    <w:rsid w:val="5B591936"/>
    <w:rsid w:val="5B6339F0"/>
    <w:rsid w:val="5B671C9E"/>
    <w:rsid w:val="5B8A3673"/>
    <w:rsid w:val="5BFB631F"/>
    <w:rsid w:val="5C11433C"/>
    <w:rsid w:val="5C1B30EF"/>
    <w:rsid w:val="5C4671ED"/>
    <w:rsid w:val="5C614ACB"/>
    <w:rsid w:val="5C950521"/>
    <w:rsid w:val="5CB727D8"/>
    <w:rsid w:val="5D1A4582"/>
    <w:rsid w:val="5D703BF4"/>
    <w:rsid w:val="5D8C167C"/>
    <w:rsid w:val="5DAE75AB"/>
    <w:rsid w:val="5DBF512A"/>
    <w:rsid w:val="5E486030"/>
    <w:rsid w:val="5E5F0DE7"/>
    <w:rsid w:val="5EC556C6"/>
    <w:rsid w:val="5F2E3F3F"/>
    <w:rsid w:val="5F6393F5"/>
    <w:rsid w:val="5FBFFAC7"/>
    <w:rsid w:val="5FDD67C9"/>
    <w:rsid w:val="615220EC"/>
    <w:rsid w:val="6175345D"/>
    <w:rsid w:val="61BA6246"/>
    <w:rsid w:val="622C5484"/>
    <w:rsid w:val="62434B02"/>
    <w:rsid w:val="62A768B8"/>
    <w:rsid w:val="62B72874"/>
    <w:rsid w:val="62B75CBE"/>
    <w:rsid w:val="63770981"/>
    <w:rsid w:val="63974B7F"/>
    <w:rsid w:val="63FC7559"/>
    <w:rsid w:val="64216751"/>
    <w:rsid w:val="64EC051E"/>
    <w:rsid w:val="6511222E"/>
    <w:rsid w:val="65493C57"/>
    <w:rsid w:val="65857C9A"/>
    <w:rsid w:val="65FC2F05"/>
    <w:rsid w:val="6669742C"/>
    <w:rsid w:val="66DD085E"/>
    <w:rsid w:val="67041673"/>
    <w:rsid w:val="67281F92"/>
    <w:rsid w:val="673471AB"/>
    <w:rsid w:val="68261300"/>
    <w:rsid w:val="6842639B"/>
    <w:rsid w:val="68436F89"/>
    <w:rsid w:val="68F53861"/>
    <w:rsid w:val="697B79F5"/>
    <w:rsid w:val="6A154A4F"/>
    <w:rsid w:val="6A1B4F49"/>
    <w:rsid w:val="6A291EA8"/>
    <w:rsid w:val="6A964072"/>
    <w:rsid w:val="6AC76B59"/>
    <w:rsid w:val="6B1D005F"/>
    <w:rsid w:val="6B67126C"/>
    <w:rsid w:val="6B773FC3"/>
    <w:rsid w:val="6BCB6B4F"/>
    <w:rsid w:val="6BD050D2"/>
    <w:rsid w:val="6C0E3133"/>
    <w:rsid w:val="6C7B77F4"/>
    <w:rsid w:val="6C904861"/>
    <w:rsid w:val="6CF462F3"/>
    <w:rsid w:val="6DF3142C"/>
    <w:rsid w:val="6E3B4203"/>
    <w:rsid w:val="6E65215E"/>
    <w:rsid w:val="6E873A09"/>
    <w:rsid w:val="6E8E4DD0"/>
    <w:rsid w:val="6EA11A6A"/>
    <w:rsid w:val="6F286FD3"/>
    <w:rsid w:val="6F307F74"/>
    <w:rsid w:val="6F7D6B8A"/>
    <w:rsid w:val="6FBB7E47"/>
    <w:rsid w:val="6FDBCFA5"/>
    <w:rsid w:val="6FE17402"/>
    <w:rsid w:val="70432BAC"/>
    <w:rsid w:val="704B508B"/>
    <w:rsid w:val="70EB6D00"/>
    <w:rsid w:val="715D19E6"/>
    <w:rsid w:val="7270316B"/>
    <w:rsid w:val="7298446F"/>
    <w:rsid w:val="72A548E6"/>
    <w:rsid w:val="737C5B3F"/>
    <w:rsid w:val="73A90C56"/>
    <w:rsid w:val="73C54C34"/>
    <w:rsid w:val="73F55AB2"/>
    <w:rsid w:val="73F74910"/>
    <w:rsid w:val="74AA04C3"/>
    <w:rsid w:val="74B1646F"/>
    <w:rsid w:val="75154BF4"/>
    <w:rsid w:val="75E9791F"/>
    <w:rsid w:val="76121BAF"/>
    <w:rsid w:val="76372BD2"/>
    <w:rsid w:val="76766876"/>
    <w:rsid w:val="768D4F29"/>
    <w:rsid w:val="768D59DD"/>
    <w:rsid w:val="771C1E27"/>
    <w:rsid w:val="775766A7"/>
    <w:rsid w:val="776536D7"/>
    <w:rsid w:val="776677F3"/>
    <w:rsid w:val="77775DD5"/>
    <w:rsid w:val="778E7BEF"/>
    <w:rsid w:val="77A6318B"/>
    <w:rsid w:val="77CC6AEF"/>
    <w:rsid w:val="77ED2B68"/>
    <w:rsid w:val="782D11B6"/>
    <w:rsid w:val="78E93069"/>
    <w:rsid w:val="791660EE"/>
    <w:rsid w:val="79386064"/>
    <w:rsid w:val="79BF7459"/>
    <w:rsid w:val="79DD679D"/>
    <w:rsid w:val="79E354B7"/>
    <w:rsid w:val="7A2A0ED3"/>
    <w:rsid w:val="7A4D7EA7"/>
    <w:rsid w:val="7A735A72"/>
    <w:rsid w:val="7AD924E7"/>
    <w:rsid w:val="7B0A03B2"/>
    <w:rsid w:val="7BBF53E5"/>
    <w:rsid w:val="7BDF7CED"/>
    <w:rsid w:val="7CD146CD"/>
    <w:rsid w:val="7D410A0B"/>
    <w:rsid w:val="7D553154"/>
    <w:rsid w:val="7D62074B"/>
    <w:rsid w:val="7D8C2E23"/>
    <w:rsid w:val="7DB303AF"/>
    <w:rsid w:val="7DEE140B"/>
    <w:rsid w:val="7EDA0E39"/>
    <w:rsid w:val="7EE201C7"/>
    <w:rsid w:val="7EE352BF"/>
    <w:rsid w:val="7F185532"/>
    <w:rsid w:val="7F2C0D60"/>
    <w:rsid w:val="7FC5B69B"/>
    <w:rsid w:val="7FD80A42"/>
    <w:rsid w:val="7FF23FF7"/>
    <w:rsid w:val="7FF73843"/>
    <w:rsid w:val="BDFF91AD"/>
    <w:rsid w:val="BEEAA044"/>
    <w:rsid w:val="BFB7BAEB"/>
    <w:rsid w:val="BFFD85AB"/>
    <w:rsid w:val="CEFB413A"/>
    <w:rsid w:val="DBFFA8D0"/>
    <w:rsid w:val="E7FA1928"/>
    <w:rsid w:val="EFBFD670"/>
    <w:rsid w:val="F2B70823"/>
    <w:rsid w:val="F3BDF5A1"/>
    <w:rsid w:val="FB9D64B2"/>
    <w:rsid w:val="FF73F7F7"/>
    <w:rsid w:val="FF7F529F"/>
    <w:rsid w:val="FFE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仿宋_GB2312" w:cs="方正小标宋简体"/>
      <w:kern w:val="2"/>
      <w:sz w:val="32"/>
      <w:szCs w:val="8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3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标题 2 Char"/>
    <w:basedOn w:val="9"/>
    <w:link w:val="2"/>
    <w:qFormat/>
    <w:uiPriority w:val="9"/>
    <w:rPr>
      <w:rFonts w:ascii="等线 Light" w:hAnsi="等线 Light" w:eastAsia="等线 Light" w:cs="方正小标宋简体"/>
      <w:b/>
      <w:bCs/>
      <w:sz w:val="32"/>
      <w:szCs w:val="32"/>
    </w:rPr>
  </w:style>
  <w:style w:type="character" w:customStyle="1" w:styleId="12">
    <w:name w:val="标题 3 Char"/>
    <w:basedOn w:val="9"/>
    <w:link w:val="3"/>
    <w:qFormat/>
    <w:uiPriority w:val="9"/>
    <w:rPr>
      <w:rFonts w:ascii="等线" w:hAnsi="等线" w:eastAsia="仿宋_GB2312" w:cs="方正小标宋简体"/>
      <w:b/>
      <w:bCs/>
      <w:sz w:val="32"/>
      <w:szCs w:val="32"/>
    </w:rPr>
  </w:style>
  <w:style w:type="character" w:customStyle="1" w:styleId="13">
    <w:name w:val="页脚 Char"/>
    <w:basedOn w:val="9"/>
    <w:link w:val="4"/>
    <w:qFormat/>
    <w:uiPriority w:val="99"/>
    <w:rPr>
      <w:rFonts w:ascii="方正小标宋简体" w:hAnsi="方正小标宋简体" w:eastAsia="仿宋_GB2312" w:cs="方正小标宋简体"/>
      <w:sz w:val="32"/>
      <w:szCs w:val="84"/>
    </w:rPr>
  </w:style>
  <w:style w:type="character" w:customStyle="1" w:styleId="14">
    <w:name w:val="页眉 Char"/>
    <w:basedOn w:val="9"/>
    <w:link w:val="5"/>
    <w:qFormat/>
    <w:uiPriority w:val="99"/>
    <w:rPr>
      <w:rFonts w:ascii="方正小标宋简体" w:hAnsi="方正小标宋简体" w:eastAsia="仿宋_GB2312" w:cs="方正小标宋简体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12578</Words>
  <Characters>13257</Characters>
  <Lines>71</Lines>
  <Paragraphs>20</Paragraphs>
  <TotalTime>12</TotalTime>
  <ScaleCrop>false</ScaleCrop>
  <LinksUpToDate>false</LinksUpToDate>
  <CharactersWithSpaces>13271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2023-03-17T05:56:00Z</dcterms:created>
  <dc:creator>梁浩锋</dc:creator>
  <cp:lastModifiedBy>爆米花</cp:lastModifiedBy>
  <dcterms:modified xsi:type="dcterms:W3CDTF">2023-11-14T01:01:26Z</dcterms:modified>
  <cp:revision>1889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6B11025D63F64AE1BEB51D1766C676AD_13</vt:lpwstr>
  </property>
</Properties>
</file>