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密云区</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国有企业违规经营投资</w:t>
      </w: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责</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任追究</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实施办法（试行）</w:t>
      </w: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起草说明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000000" w:themeColor="text1"/>
          <w:sz w:val="44"/>
          <w:szCs w:val="44"/>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beforeLines="0" w:afterLines="0" w:line="560" w:lineRule="exact"/>
        <w:ind w:right="0" w:rightChars="0" w:firstLine="640" w:firstLineChars="200"/>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《办法》起草背景</w:t>
      </w:r>
    </w:p>
    <w:p>
      <w:pPr>
        <w:pStyle w:val="13"/>
        <w:keepNext w:val="0"/>
        <w:keepLines w:val="0"/>
        <w:pageBreakBefore w:val="0"/>
        <w:widowControl w:val="0"/>
        <w:shd w:val="clear" w:color="auto" w:fill="auto"/>
        <w:kinsoku/>
        <w:wordWrap/>
        <w:overflowPunct/>
        <w:topLinePunct w:val="0"/>
        <w:autoSpaceDE/>
        <w:autoSpaceDN/>
        <w:bidi w:val="0"/>
        <w:spacing w:beforeLines="0" w:afterLines="0" w:line="560" w:lineRule="exact"/>
        <w:ind w:left="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pacing w:val="0"/>
          <w:w w:val="100"/>
          <w:position w:val="0"/>
          <w:sz w:val="32"/>
          <w:szCs w:val="32"/>
          <w:highlight w:val="none"/>
        </w:rPr>
        <w:t>为</w:t>
      </w:r>
      <w:r>
        <w:rPr>
          <w:rFonts w:hint="eastAsia" w:ascii="仿宋_GB2312" w:hAnsi="仿宋_GB2312" w:eastAsia="仿宋_GB2312" w:cs="仿宋_GB2312"/>
          <w:color w:val="auto"/>
          <w:spacing w:val="0"/>
          <w:w w:val="100"/>
          <w:position w:val="0"/>
          <w:sz w:val="32"/>
          <w:szCs w:val="32"/>
          <w:highlight w:val="none"/>
          <w:lang w:eastAsia="zh-CN"/>
        </w:rPr>
        <w:t>进一步</w:t>
      </w:r>
      <w:r>
        <w:rPr>
          <w:rFonts w:hint="eastAsia" w:ascii="仿宋_GB2312" w:hAnsi="仿宋_GB2312" w:eastAsia="仿宋_GB2312" w:cs="仿宋_GB2312"/>
          <w:color w:val="auto"/>
          <w:spacing w:val="0"/>
          <w:w w:val="100"/>
          <w:position w:val="0"/>
          <w:sz w:val="32"/>
          <w:szCs w:val="32"/>
          <w:highlight w:val="none"/>
        </w:rPr>
        <w:t>健全国有企业违规经营投资责任追究制度，根据《中华人民共和国公司法》、《中华人民共和国企业国有资产法》、《企业国有资产监督管理暂行条例》、《国务院办公厅关于建立国有企业违规经营投资责任追究制度的意见》</w:t>
      </w:r>
      <w:r>
        <w:rPr>
          <w:rFonts w:hint="eastAsia" w:ascii="仿宋_GB2312" w:hAnsi="仿宋_GB2312" w:eastAsia="仿宋_GB2312" w:cs="仿宋_GB2312"/>
          <w:color w:val="auto"/>
          <w:spacing w:val="0"/>
          <w:w w:val="100"/>
          <w:position w:val="0"/>
          <w:sz w:val="32"/>
          <w:szCs w:val="32"/>
          <w:highlight w:val="none"/>
          <w:lang w:eastAsia="zh-CN"/>
        </w:rPr>
        <w:t>、</w:t>
      </w:r>
      <w:r>
        <w:rPr>
          <w:rFonts w:hint="eastAsia" w:ascii="仿宋_GB2312" w:hAnsi="仿宋_GB2312" w:eastAsia="仿宋_GB2312" w:cs="仿宋_GB2312"/>
          <w:color w:val="auto"/>
          <w:spacing w:val="0"/>
          <w:w w:val="100"/>
          <w:position w:val="0"/>
          <w:sz w:val="32"/>
          <w:szCs w:val="32"/>
        </w:rPr>
        <w:t>《中央企业违规经营投资责任追究实施办法（试行）》</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highlight w:val="none"/>
        </w:rPr>
        <w:t>《</w:t>
      </w:r>
      <w:r>
        <w:rPr>
          <w:rFonts w:hint="eastAsia" w:ascii="仿宋_GB2312" w:hAnsi="仿宋_GB2312" w:eastAsia="仿宋_GB2312" w:cs="仿宋_GB2312"/>
          <w:color w:val="auto"/>
          <w:spacing w:val="0"/>
          <w:w w:val="100"/>
          <w:position w:val="0"/>
          <w:sz w:val="32"/>
          <w:szCs w:val="32"/>
          <w:highlight w:val="none"/>
          <w:lang w:eastAsia="zh-CN"/>
        </w:rPr>
        <w:t>北京市国有</w:t>
      </w:r>
      <w:r>
        <w:rPr>
          <w:rFonts w:hint="eastAsia" w:ascii="仿宋_GB2312" w:hAnsi="仿宋_GB2312" w:eastAsia="仿宋_GB2312" w:cs="仿宋_GB2312"/>
          <w:color w:val="auto"/>
          <w:spacing w:val="0"/>
          <w:w w:val="100"/>
          <w:position w:val="0"/>
          <w:sz w:val="32"/>
          <w:szCs w:val="32"/>
          <w:highlight w:val="none"/>
        </w:rPr>
        <w:t>企业违规经营投资责任追究实施办法（试行）》等</w:t>
      </w:r>
      <w:r>
        <w:rPr>
          <w:rFonts w:hint="eastAsia" w:ascii="仿宋_GB2312" w:hAnsi="仿宋_GB2312" w:eastAsia="仿宋_GB2312" w:cs="仿宋_GB2312"/>
          <w:color w:val="auto"/>
          <w:spacing w:val="0"/>
          <w:w w:val="100"/>
          <w:position w:val="0"/>
          <w:sz w:val="32"/>
          <w:szCs w:val="32"/>
          <w:highlight w:val="none"/>
          <w:lang w:eastAsia="zh-CN"/>
        </w:rPr>
        <w:t>规章制度</w:t>
      </w:r>
      <w:r>
        <w:rPr>
          <w:rFonts w:hint="eastAsia" w:ascii="仿宋_GB2312" w:hAnsi="仿宋_GB2312" w:eastAsia="仿宋_GB2312" w:cs="仿宋_GB2312"/>
          <w:color w:val="auto"/>
          <w:spacing w:val="0"/>
          <w:w w:val="100"/>
          <w:position w:val="0"/>
          <w:sz w:val="32"/>
          <w:szCs w:val="32"/>
          <w:highlight w:val="none"/>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密云区国有</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b w:val="0"/>
          <w:bCs w:val="0"/>
          <w:color w:val="auto"/>
          <w:sz w:val="32"/>
          <w:szCs w:val="32"/>
          <w:lang w:eastAsia="zh-CN"/>
        </w:rPr>
        <w:t>实际情况</w:t>
      </w:r>
      <w:r>
        <w:rPr>
          <w:rFonts w:hint="eastAsia" w:ascii="仿宋_GB2312" w:hAnsi="仿宋_GB2312" w:eastAsia="仿宋_GB2312" w:cs="仿宋_GB2312"/>
          <w:color w:val="auto"/>
          <w:spacing w:val="0"/>
          <w:w w:val="100"/>
          <w:position w:val="0"/>
          <w:sz w:val="32"/>
          <w:szCs w:val="32"/>
          <w:highlight w:val="none"/>
        </w:rPr>
        <w:t>，制定</w:t>
      </w:r>
      <w:r>
        <w:rPr>
          <w:rFonts w:hint="eastAsia" w:ascii="仿宋_GB2312" w:hAnsi="仿宋_GB2312" w:eastAsia="仿宋_GB2312" w:cs="仿宋_GB2312"/>
          <w:color w:val="auto"/>
          <w:spacing w:val="0"/>
          <w:w w:val="100"/>
          <w:position w:val="0"/>
          <w:sz w:val="32"/>
          <w:szCs w:val="32"/>
          <w:highlight w:val="none"/>
          <w:lang w:eastAsia="zh-CN"/>
        </w:rPr>
        <w:t>了《密云区国有企业违规经营投资责任追究实施办法（试行）》（以下简称“《办法》”）</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beforeLines="0" w:afterLines="0" w:line="560" w:lineRule="exact"/>
        <w:ind w:right="0" w:rightChars="0" w:firstLine="640" w:firstLineChars="200"/>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二、《办法》起草过程</w:t>
      </w:r>
    </w:p>
    <w:p>
      <w:pPr>
        <w:keepNext w:val="0"/>
        <w:keepLines w:val="0"/>
        <w:pageBreakBefore w:val="0"/>
        <w:widowControl w:val="0"/>
        <w:kinsoku/>
        <w:wordWrap/>
        <w:overflowPunct/>
        <w:topLinePunct w:val="0"/>
        <w:autoSpaceDE/>
        <w:autoSpaceDN/>
        <w:bidi w:val="0"/>
        <w:spacing w:beforeLines="0" w:afterLines="0" w:line="560" w:lineRule="exact"/>
        <w:ind w:right="0" w:rightChars="0" w:firstLine="640" w:firstLineChars="200"/>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对照《北京市国有企业违规经营投资责任追究实施办法（试行）》（京政字</w:t>
      </w:r>
      <w:r>
        <w:rPr>
          <w:rFonts w:hint="eastAsia" w:ascii="方正隶书_GBK" w:hAnsi="方正隶书_GBK" w:eastAsia="方正隶书_GBK" w:cs="方正隶书_GBK"/>
          <w:color w:val="000000" w:themeColor="text1"/>
          <w:sz w:val="32"/>
          <w:szCs w:val="32"/>
          <w:shd w:val="clear" w:color="auto" w:fill="FFFFFF"/>
          <w:lang w:val="en-US" w:eastAsia="zh-CN" w:bidi="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2022</w:t>
      </w:r>
      <w:r>
        <w:rPr>
          <w:rFonts w:hint="eastAsia" w:ascii="方正书宋_GBK" w:hAnsi="方正书宋_GBK" w:eastAsia="方正书宋_GBK" w:cs="方正书宋_GBK"/>
          <w:color w:val="000000" w:themeColor="text1"/>
          <w:sz w:val="32"/>
          <w:szCs w:val="32"/>
          <w:shd w:val="clear" w:color="auto" w:fill="FFFFFF"/>
          <w:lang w:val="en-US" w:eastAsia="zh-CN" w:bidi="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25号），经与</w:t>
      </w:r>
      <w:r>
        <w:rPr>
          <w:rFonts w:hint="eastAsia" w:ascii="仿宋_GB2312" w:hAnsi="仿宋_GB2312" w:eastAsia="仿宋_GB2312" w:cs="仿宋_GB2312"/>
          <w:b w:val="0"/>
          <w:bCs w:val="0"/>
          <w:color w:val="auto"/>
          <w:sz w:val="32"/>
          <w:szCs w:val="32"/>
          <w:lang w:val="en-US" w:eastAsia="zh-CN"/>
        </w:rPr>
        <w:t>相关部门及区属企业充分沟通</w:t>
      </w:r>
      <w:r>
        <w:rPr>
          <w:rFonts w:hint="eastAsia" w:ascii="仿宋_GB2312" w:hAnsi="仿宋_GB2312" w:eastAsia="仿宋_GB2312" w:cs="仿宋_GB2312"/>
          <w:b w:val="0"/>
          <w:bCs w:val="0"/>
          <w:color w:val="auto"/>
          <w:sz w:val="32"/>
          <w:szCs w:val="32"/>
          <w:lang w:eastAsia="zh-CN"/>
        </w:rPr>
        <w:t>，在</w:t>
      </w: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《密云区国有企业违规经营投资责任追究暂行办法》（密政发</w:t>
      </w:r>
      <w:r>
        <w:rPr>
          <w:rFonts w:hint="eastAsia" w:ascii="方正隶书_GBK" w:hAnsi="方正隶书_GBK" w:eastAsia="方正隶书_GBK" w:cs="方正隶书_GBK"/>
          <w:color w:val="000000" w:themeColor="text1"/>
          <w:sz w:val="32"/>
          <w:szCs w:val="32"/>
          <w:shd w:val="clear" w:color="auto" w:fill="FFFFFF"/>
          <w:lang w:val="en-US" w:eastAsia="zh-CN" w:bidi="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2018</w:t>
      </w:r>
      <w:r>
        <w:rPr>
          <w:rFonts w:hint="eastAsia" w:ascii="方正书宋_GBK" w:hAnsi="方正书宋_GBK" w:eastAsia="方正书宋_GBK" w:cs="方正书宋_GBK"/>
          <w:color w:val="000000" w:themeColor="text1"/>
          <w:sz w:val="32"/>
          <w:szCs w:val="32"/>
          <w:shd w:val="clear" w:color="auto" w:fill="FFFFFF"/>
          <w:lang w:val="en-US" w:eastAsia="zh-CN" w:bidi="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17号）的基础上，</w:t>
      </w:r>
      <w:r>
        <w:rPr>
          <w:rFonts w:hint="eastAsia" w:ascii="仿宋_GB2312" w:hAnsi="仿宋_GB2312" w:eastAsia="仿宋_GB2312" w:cs="仿宋_GB2312"/>
          <w:b w:val="0"/>
          <w:bCs w:val="0"/>
          <w:color w:val="auto"/>
          <w:sz w:val="32"/>
          <w:szCs w:val="32"/>
        </w:rPr>
        <w:t>起草了</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征求意见稿</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beforeLines="0" w:afterLines="0" w:line="560" w:lineRule="exact"/>
        <w:ind w:right="0" w:rightChars="0" w:firstLine="640" w:firstLineChars="200"/>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eastAsia" w:ascii="仿宋_GB2312" w:hAnsi="仿宋_GB2312" w:eastAsia="仿宋_GB2312" w:cs="仿宋_GB2312"/>
          <w:b w:val="0"/>
          <w:bCs w:val="0"/>
          <w:color w:val="auto"/>
          <w:sz w:val="32"/>
          <w:szCs w:val="32"/>
        </w:rPr>
      </w:pPr>
      <w:bookmarkStart w:id="0" w:name="_GoBack"/>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共</w:t>
      </w:r>
      <w:r>
        <w:rPr>
          <w:rFonts w:hint="eastAsia" w:ascii="仿宋_GB2312" w:hAnsi="仿宋_GB2312" w:eastAsia="仿宋_GB2312" w:cs="仿宋_GB2312"/>
          <w:b w:val="0"/>
          <w:bCs w:val="0"/>
          <w:color w:val="auto"/>
          <w:sz w:val="32"/>
          <w:szCs w:val="32"/>
          <w:lang w:eastAsia="zh-CN"/>
        </w:rPr>
        <w:t>八章，</w:t>
      </w:r>
      <w:r>
        <w:rPr>
          <w:rFonts w:hint="eastAsia" w:ascii="仿宋_GB2312" w:hAnsi="仿宋_GB2312" w:eastAsia="仿宋_GB2312" w:cs="仿宋_GB2312"/>
          <w:b w:val="0"/>
          <w:bCs w:val="0"/>
          <w:color w:val="auto"/>
          <w:sz w:val="32"/>
          <w:szCs w:val="32"/>
          <w:lang w:val="en-US" w:eastAsia="zh-CN"/>
        </w:rPr>
        <w:t>65条。</w:t>
      </w:r>
      <w:r>
        <w:rPr>
          <w:rFonts w:hint="eastAsia" w:ascii="仿宋_GB2312" w:hAnsi="仿宋_GB2312" w:eastAsia="仿宋_GB2312" w:cs="仿宋_GB2312"/>
          <w:b w:val="0"/>
          <w:bCs w:val="0"/>
          <w:color w:val="auto"/>
          <w:sz w:val="32"/>
          <w:szCs w:val="32"/>
          <w:lang w:eastAsia="zh-CN"/>
        </w:rPr>
        <w:t>主要内容如下：</w:t>
      </w:r>
    </w:p>
    <w:p>
      <w:pPr>
        <w:pStyle w:val="13"/>
        <w:keepNext w:val="0"/>
        <w:keepLines w:val="0"/>
        <w:pageBreakBefore w:val="0"/>
        <w:widowControl w:val="0"/>
        <w:shd w:val="clear" w:color="auto" w:fill="auto"/>
        <w:kinsoku/>
        <w:wordWrap/>
        <w:overflowPunct/>
        <w:topLinePunct w:val="0"/>
        <w:autoSpaceDE/>
        <w:autoSpaceDN/>
        <w:bidi w:val="0"/>
        <w:adjustRightInd/>
        <w:snapToGrid/>
        <w:spacing w:line="560" w:lineRule="exact"/>
        <w:ind w:left="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（一）第一章总则，共</w:t>
      </w:r>
      <w:r>
        <w:rPr>
          <w:rFonts w:hint="eastAsia" w:ascii="楷体_GB2312" w:hAnsi="楷体_GB2312" w:eastAsia="楷体_GB2312" w:cs="楷体_GB2312"/>
          <w:b w:val="0"/>
          <w:bCs w:val="0"/>
          <w:color w:val="auto"/>
          <w:sz w:val="32"/>
          <w:szCs w:val="32"/>
          <w:lang w:val="en-US" w:eastAsia="zh-CN"/>
        </w:rPr>
        <w:t>6条。</w:t>
      </w:r>
      <w:r>
        <w:rPr>
          <w:rFonts w:hint="eastAsia" w:ascii="仿宋_GB2312" w:hAnsi="仿宋_GB2312" w:eastAsia="仿宋_GB2312" w:cs="仿宋_GB2312"/>
          <w:b w:val="0"/>
          <w:bCs w:val="0"/>
          <w:color w:val="auto"/>
          <w:sz w:val="32"/>
          <w:szCs w:val="32"/>
          <w:lang w:val="en-US" w:eastAsia="zh-CN"/>
        </w:rPr>
        <w:t>主要明确了《办法》的制定依据、适用范围，对</w:t>
      </w:r>
      <w:r>
        <w:rPr>
          <w:rFonts w:hint="eastAsia" w:ascii="仿宋_GB2312" w:hAnsi="仿宋_GB2312" w:eastAsia="仿宋_GB2312" w:cs="仿宋_GB2312"/>
          <w:color w:val="auto"/>
          <w:spacing w:val="0"/>
          <w:w w:val="100"/>
          <w:position w:val="0"/>
          <w:sz w:val="32"/>
          <w:szCs w:val="32"/>
          <w:highlight w:val="none"/>
        </w:rPr>
        <w:t>违规经营投资责任追究</w:t>
      </w:r>
      <w:r>
        <w:rPr>
          <w:rFonts w:hint="eastAsia" w:ascii="仿宋_GB2312" w:hAnsi="仿宋_GB2312" w:eastAsia="仿宋_GB2312" w:cs="仿宋_GB2312"/>
          <w:color w:val="auto"/>
          <w:spacing w:val="0"/>
          <w:w w:val="100"/>
          <w:position w:val="0"/>
          <w:sz w:val="32"/>
          <w:szCs w:val="32"/>
          <w:highlight w:val="none"/>
          <w:lang w:eastAsia="zh-CN"/>
        </w:rPr>
        <w:t>、</w:t>
      </w:r>
      <w:r>
        <w:rPr>
          <w:rFonts w:hint="eastAsia" w:ascii="仿宋_GB2312" w:hAnsi="仿宋_GB2312" w:eastAsia="仿宋_GB2312" w:cs="仿宋_GB2312"/>
          <w:color w:val="auto"/>
          <w:spacing w:val="0"/>
          <w:w w:val="100"/>
          <w:position w:val="0"/>
          <w:sz w:val="32"/>
          <w:szCs w:val="32"/>
          <w:highlight w:val="none"/>
        </w:rPr>
        <w:t>经营投资损失</w:t>
      </w:r>
      <w:r>
        <w:rPr>
          <w:rFonts w:hint="eastAsia" w:ascii="仿宋_GB2312" w:hAnsi="仿宋_GB2312" w:eastAsia="仿宋_GB2312" w:cs="仿宋_GB2312"/>
          <w:color w:val="auto"/>
          <w:spacing w:val="0"/>
          <w:w w:val="100"/>
          <w:position w:val="0"/>
          <w:sz w:val="32"/>
          <w:szCs w:val="32"/>
          <w:highlight w:val="none"/>
          <w:lang w:val="en-US" w:eastAsia="zh-CN"/>
        </w:rPr>
        <w:t>进行了名词解释</w:t>
      </w:r>
      <w:r>
        <w:rPr>
          <w:rFonts w:hint="eastAsia" w:ascii="仿宋_GB2312" w:hAnsi="仿宋_GB2312" w:eastAsia="仿宋_GB2312" w:cs="仿宋_GB2312"/>
          <w:color w:val="auto"/>
          <w:spacing w:val="0"/>
          <w:w w:val="100"/>
          <w:position w:val="0"/>
          <w:sz w:val="32"/>
          <w:szCs w:val="32"/>
          <w:highlight w:val="none"/>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楷体_GB2312" w:hAnsi="楷体_GB2312" w:eastAsia="仿宋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）第二章责任追究范围，共</w:t>
      </w:r>
      <w:r>
        <w:rPr>
          <w:rFonts w:hint="eastAsia" w:ascii="楷体_GB2312" w:hAnsi="楷体_GB2312" w:eastAsia="楷体_GB2312" w:cs="楷体_GB2312"/>
          <w:b w:val="0"/>
          <w:bCs w:val="0"/>
          <w:color w:val="auto"/>
          <w:sz w:val="32"/>
          <w:szCs w:val="32"/>
          <w:lang w:val="en-US" w:eastAsia="zh-CN"/>
        </w:rPr>
        <w:t>14条。</w:t>
      </w:r>
      <w:r>
        <w:rPr>
          <w:rFonts w:hint="eastAsia" w:ascii="仿宋_GB2312" w:hAnsi="仿宋_GB2312" w:eastAsia="仿宋_GB2312" w:cs="仿宋_GB2312"/>
          <w:color w:val="auto"/>
          <w:sz w:val="32"/>
          <w:szCs w:val="32"/>
          <w:highlight w:val="none"/>
        </w:rPr>
        <w:t>列举了企业相关人员违反规定，未履行或未正确履行职责造成损失或其他不良后果的责任追究情形</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jc w:val="both"/>
        <w:rPr>
          <w:rFonts w:hint="eastAsia" w:ascii="楷体_GB2312" w:hAnsi="楷体_GB2312" w:eastAsia="仿宋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（三）第三章损失认定，共</w:t>
      </w:r>
      <w:r>
        <w:rPr>
          <w:rFonts w:hint="eastAsia" w:ascii="楷体_GB2312" w:hAnsi="楷体_GB2312" w:eastAsia="楷体_GB2312" w:cs="楷体_GB2312"/>
          <w:color w:val="auto"/>
          <w:sz w:val="32"/>
          <w:szCs w:val="32"/>
          <w:lang w:val="en-US" w:eastAsia="zh-CN"/>
        </w:rPr>
        <w:t>4条。</w:t>
      </w:r>
      <w:r>
        <w:rPr>
          <w:rFonts w:hint="eastAsia" w:ascii="仿宋_GB2312" w:hAnsi="仿宋_GB2312" w:eastAsia="仿宋_GB2312" w:cs="仿宋_GB2312"/>
          <w:color w:val="auto"/>
          <w:sz w:val="32"/>
          <w:szCs w:val="32"/>
        </w:rPr>
        <w:t>明确了认定损失金额</w:t>
      </w:r>
      <w:r>
        <w:rPr>
          <w:rFonts w:hint="eastAsia" w:ascii="仿宋_GB2312" w:hAnsi="仿宋_GB2312" w:eastAsia="仿宋_GB2312" w:cs="仿宋_GB2312"/>
          <w:color w:val="auto"/>
          <w:sz w:val="32"/>
          <w:szCs w:val="32"/>
          <w:lang w:val="en-US" w:eastAsia="zh-CN"/>
        </w:rPr>
        <w:t>分类为</w:t>
      </w:r>
      <w:r>
        <w:rPr>
          <w:rFonts w:hint="eastAsia" w:ascii="仿宋_GB2312" w:hAnsi="仿宋_GB2312" w:eastAsia="仿宋_GB2312" w:cs="仿宋_GB2312"/>
          <w:color w:val="auto"/>
          <w:spacing w:val="0"/>
          <w:w w:val="100"/>
          <w:position w:val="0"/>
          <w:sz w:val="32"/>
          <w:szCs w:val="32"/>
          <w:highlight w:val="none"/>
        </w:rPr>
        <w:t>直接损失金额和间接损失金额。损失</w:t>
      </w:r>
      <w:r>
        <w:rPr>
          <w:rFonts w:hint="eastAsia" w:ascii="仿宋_GB2312" w:hAnsi="仿宋_GB2312" w:eastAsia="仿宋_GB2312" w:cs="仿宋_GB2312"/>
          <w:color w:val="auto"/>
          <w:sz w:val="32"/>
          <w:szCs w:val="32"/>
        </w:rPr>
        <w:t>的划分</w:t>
      </w:r>
      <w:r>
        <w:rPr>
          <w:rFonts w:hint="eastAsia" w:ascii="仿宋_GB2312" w:hAnsi="仿宋_GB2312" w:eastAsia="仿宋_GB2312" w:cs="仿宋_GB2312"/>
          <w:color w:val="auto"/>
          <w:sz w:val="32"/>
          <w:szCs w:val="32"/>
          <w:lang w:val="en-US" w:eastAsia="zh-CN"/>
        </w:rPr>
        <w:t>程度为一般、较大、重大资产损失，对认定损失</w:t>
      </w:r>
      <w:r>
        <w:rPr>
          <w:rFonts w:hint="eastAsia" w:ascii="仿宋_GB2312" w:hAnsi="仿宋_GB2312" w:eastAsia="仿宋_GB2312" w:cs="仿宋_GB2312"/>
          <w:color w:val="auto"/>
          <w:sz w:val="32"/>
          <w:szCs w:val="32"/>
        </w:rPr>
        <w:t>标准、认定依据等</w:t>
      </w:r>
      <w:r>
        <w:rPr>
          <w:rFonts w:hint="eastAsia" w:ascii="仿宋_GB2312" w:hAnsi="仿宋_GB2312" w:eastAsia="仿宋_GB2312" w:cs="仿宋_GB2312"/>
          <w:color w:val="auto"/>
          <w:sz w:val="32"/>
          <w:szCs w:val="32"/>
          <w:lang w:val="en-US" w:eastAsia="zh-CN"/>
        </w:rPr>
        <w:t>进行详细规定</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（四）第四章责任</w:t>
      </w:r>
      <w:r>
        <w:rPr>
          <w:rFonts w:hint="eastAsia" w:ascii="楷体_GB2312" w:hAnsi="楷体_GB2312" w:eastAsia="楷体_GB2312" w:cs="楷体_GB2312"/>
          <w:color w:val="auto"/>
          <w:sz w:val="32"/>
          <w:szCs w:val="32"/>
          <w:lang w:val="en-US" w:eastAsia="zh-CN"/>
        </w:rPr>
        <w:t>划分</w:t>
      </w:r>
      <w:r>
        <w:rPr>
          <w:rFonts w:hint="eastAsia" w:ascii="楷体_GB2312" w:hAnsi="楷体_GB2312" w:eastAsia="楷体_GB2312" w:cs="楷体_GB2312"/>
          <w:color w:val="auto"/>
          <w:sz w:val="32"/>
          <w:szCs w:val="32"/>
          <w:lang w:eastAsia="zh-CN"/>
        </w:rPr>
        <w:t>，共</w:t>
      </w:r>
      <w:r>
        <w:rPr>
          <w:rFonts w:hint="eastAsia" w:ascii="楷体_GB2312" w:hAnsi="楷体_GB2312" w:eastAsia="楷体_GB2312" w:cs="楷体_GB2312"/>
          <w:color w:val="auto"/>
          <w:sz w:val="32"/>
          <w:szCs w:val="32"/>
          <w:lang w:val="en-US" w:eastAsia="zh-CN"/>
        </w:rPr>
        <w:t>7条。</w:t>
      </w:r>
      <w:r>
        <w:rPr>
          <w:rFonts w:hint="eastAsia" w:ascii="仿宋_GB2312" w:hAnsi="仿宋_GB2312" w:eastAsia="仿宋_GB2312" w:cs="仿宋_GB2312"/>
          <w:color w:val="auto"/>
          <w:sz w:val="32"/>
          <w:szCs w:val="32"/>
          <w:shd w:val="clear" w:color="auto" w:fill="auto"/>
        </w:rPr>
        <w:t>明确了根据工作职责将违规经营投资责任划分为直接责任、主管责任和领导责任，</w:t>
      </w:r>
      <w:r>
        <w:rPr>
          <w:rFonts w:hint="eastAsia" w:ascii="仿宋_GB2312" w:hAnsi="仿宋_GB2312" w:eastAsia="仿宋_GB2312" w:cs="仿宋_GB2312"/>
          <w:color w:val="auto"/>
          <w:sz w:val="32"/>
          <w:szCs w:val="32"/>
          <w:shd w:val="clear" w:color="auto" w:fill="auto"/>
          <w:lang w:val="en-US" w:eastAsia="zh-CN"/>
        </w:rPr>
        <w:t>并</w:t>
      </w:r>
      <w:r>
        <w:rPr>
          <w:rFonts w:hint="eastAsia" w:ascii="仿宋_GB2312" w:hAnsi="仿宋_GB2312" w:eastAsia="仿宋_GB2312" w:cs="仿宋_GB2312"/>
          <w:color w:val="auto"/>
          <w:sz w:val="32"/>
          <w:szCs w:val="32"/>
          <w:shd w:val="clear" w:color="auto" w:fill="auto"/>
        </w:rPr>
        <w:t>列举</w:t>
      </w:r>
      <w:r>
        <w:rPr>
          <w:rFonts w:hint="eastAsia" w:ascii="仿宋_GB2312" w:hAnsi="仿宋_GB2312" w:eastAsia="仿宋_GB2312" w:cs="仿宋_GB2312"/>
          <w:color w:val="auto"/>
          <w:sz w:val="32"/>
          <w:szCs w:val="32"/>
          <w:shd w:val="clear" w:color="auto" w:fill="auto"/>
          <w:lang w:eastAsia="zh-CN"/>
        </w:rPr>
        <w:t>6</w:t>
      </w:r>
      <w:r>
        <w:rPr>
          <w:rFonts w:hint="eastAsia" w:ascii="仿宋_GB2312" w:hAnsi="仿宋_GB2312" w:eastAsia="仿宋_GB2312" w:cs="仿宋_GB2312"/>
          <w:color w:val="auto"/>
          <w:sz w:val="32"/>
          <w:szCs w:val="32"/>
          <w:shd w:val="clear" w:color="auto" w:fill="auto"/>
          <w:lang w:val="en-US" w:eastAsia="zh-CN"/>
        </w:rPr>
        <w:t>种</w:t>
      </w:r>
      <w:r>
        <w:rPr>
          <w:rFonts w:hint="eastAsia" w:ascii="仿宋_GB2312" w:hAnsi="仿宋_GB2312" w:eastAsia="仿宋_GB2312" w:cs="仿宋_GB2312"/>
          <w:color w:val="auto"/>
          <w:sz w:val="32"/>
          <w:szCs w:val="32"/>
          <w:shd w:val="clear" w:color="auto" w:fill="auto"/>
        </w:rPr>
        <w:t>承担相应责任的情形。</w:t>
      </w:r>
    </w:p>
    <w:p>
      <w:pPr>
        <w:pStyle w:val="2"/>
        <w:keepNext w:val="0"/>
        <w:keepLines w:val="0"/>
        <w:pageBreakBefore w:val="0"/>
        <w:numPr>
          <w:ilvl w:val="-1"/>
          <w:numId w:val="0"/>
        </w:numPr>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eastAsia="zh-CN"/>
        </w:rPr>
        <w:t>（五）第五章责任处理，共</w:t>
      </w:r>
      <w:r>
        <w:rPr>
          <w:rFonts w:hint="eastAsia" w:ascii="楷体_GB2312" w:hAnsi="楷体_GB2312" w:eastAsia="楷体_GB2312" w:cs="楷体_GB2312"/>
          <w:color w:val="auto"/>
          <w:sz w:val="32"/>
          <w:szCs w:val="32"/>
          <w:lang w:val="en-US" w:eastAsia="zh-CN"/>
        </w:rPr>
        <w:t>8条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明确了对责任人的</w:t>
      </w:r>
      <w:r>
        <w:rPr>
          <w:rFonts w:hint="eastAsia" w:ascii="仿宋_GB2312" w:hAnsi="仿宋_GB2312" w:eastAsia="仿宋_GB2312" w:cs="仿宋_GB2312"/>
          <w:color w:val="auto"/>
          <w:sz w:val="32"/>
          <w:szCs w:val="32"/>
          <w:highlight w:val="none"/>
          <w:lang w:val="en-US" w:eastAsia="zh-CN"/>
        </w:rPr>
        <w:t>6种</w:t>
      </w:r>
      <w:r>
        <w:rPr>
          <w:rFonts w:hint="eastAsia" w:ascii="仿宋_GB2312" w:hAnsi="仿宋_GB2312" w:eastAsia="仿宋_GB2312" w:cs="仿宋_GB2312"/>
          <w:color w:val="auto"/>
          <w:sz w:val="32"/>
          <w:szCs w:val="32"/>
          <w:highlight w:val="none"/>
        </w:rPr>
        <w:t>处理方式；列举了发生一般、较大和重大资产损失时对企业各类责任人给予的处理方式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对从轻或减轻处理的情形进行了明确。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bottom"/>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lang w:eastAsia="zh-CN"/>
        </w:rPr>
        <w:t>（六）第六章工作职责，共</w:t>
      </w:r>
      <w:r>
        <w:rPr>
          <w:rFonts w:hint="eastAsia" w:ascii="楷体_GB2312" w:hAnsi="楷体_GB2312" w:eastAsia="楷体_GB2312" w:cs="楷体_GB2312"/>
          <w:color w:val="auto"/>
          <w:sz w:val="32"/>
          <w:szCs w:val="32"/>
          <w:lang w:val="en-US" w:eastAsia="zh-CN"/>
        </w:rPr>
        <w:t>7条。</w:t>
      </w:r>
      <w:r>
        <w:rPr>
          <w:rFonts w:hint="eastAsia" w:ascii="仿宋_GB2312" w:hAnsi="仿宋_GB2312" w:eastAsia="仿宋_GB2312" w:cs="仿宋_GB2312"/>
          <w:color w:val="auto"/>
          <w:sz w:val="32"/>
          <w:szCs w:val="32"/>
          <w:highlight w:val="none"/>
          <w:lang w:val="en-US" w:eastAsia="zh-CN"/>
        </w:rPr>
        <w:t>明确工作开展有关部门的</w:t>
      </w:r>
      <w:r>
        <w:rPr>
          <w:rFonts w:hint="eastAsia" w:ascii="仿宋_GB2312" w:hAnsi="仿宋_GB2312" w:eastAsia="仿宋_GB2312" w:cs="仿宋_GB2312"/>
          <w:color w:val="auto"/>
          <w:sz w:val="32"/>
          <w:szCs w:val="32"/>
          <w:highlight w:val="none"/>
        </w:rPr>
        <w:t>工作职责。</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position w:val="0"/>
          <w:sz w:val="32"/>
          <w:szCs w:val="32"/>
          <w:highlight w:val="none"/>
          <w:lang w:eastAsia="zh-CN"/>
        </w:rPr>
      </w:pPr>
      <w:r>
        <w:rPr>
          <w:rFonts w:hint="eastAsia" w:ascii="楷体_GB2312" w:hAnsi="楷体_GB2312" w:eastAsia="楷体_GB2312" w:cs="楷体_GB2312"/>
          <w:color w:val="auto"/>
          <w:sz w:val="32"/>
          <w:szCs w:val="32"/>
          <w:lang w:eastAsia="zh-CN"/>
        </w:rPr>
        <w:t>（七）第七章工作程序，共</w:t>
      </w:r>
      <w:r>
        <w:rPr>
          <w:rFonts w:hint="eastAsia" w:ascii="楷体_GB2312" w:hAnsi="楷体_GB2312" w:eastAsia="楷体_GB2312" w:cs="楷体_GB2312"/>
          <w:color w:val="auto"/>
          <w:sz w:val="32"/>
          <w:szCs w:val="32"/>
          <w:lang w:val="en-US" w:eastAsia="zh-CN"/>
        </w:rPr>
        <w:t>15条。</w:t>
      </w:r>
      <w:r>
        <w:rPr>
          <w:rFonts w:hint="eastAsia" w:ascii="仿宋_GB2312" w:hAnsi="仿宋_GB2312" w:eastAsia="仿宋_GB2312" w:cs="仿宋_GB2312"/>
          <w:color w:val="auto"/>
          <w:spacing w:val="0"/>
          <w:w w:val="100"/>
          <w:position w:val="0"/>
          <w:sz w:val="32"/>
          <w:szCs w:val="32"/>
          <w:highlight w:val="none"/>
          <w:lang w:val="en-US" w:eastAsia="zh-CN"/>
        </w:rPr>
        <w:t>明确了</w:t>
      </w:r>
      <w:r>
        <w:rPr>
          <w:rFonts w:hint="eastAsia" w:ascii="仿宋_GB2312" w:hAnsi="仿宋_GB2312" w:eastAsia="仿宋_GB2312" w:cs="仿宋_GB2312"/>
          <w:color w:val="auto"/>
          <w:spacing w:val="0"/>
          <w:w w:val="100"/>
          <w:position w:val="0"/>
          <w:sz w:val="32"/>
          <w:szCs w:val="32"/>
          <w:highlight w:val="none"/>
        </w:rPr>
        <w:t>开展企业违规经营投资责任追究工作程序</w:t>
      </w:r>
      <w:r>
        <w:rPr>
          <w:rFonts w:hint="eastAsia" w:ascii="仿宋_GB2312" w:hAnsi="仿宋_GB2312" w:eastAsia="仿宋_GB2312" w:cs="仿宋_GB2312"/>
          <w:color w:val="auto"/>
          <w:spacing w:val="0"/>
          <w:w w:val="100"/>
          <w:position w:val="0"/>
          <w:sz w:val="32"/>
          <w:szCs w:val="32"/>
          <w:highlight w:val="none"/>
          <w:lang w:eastAsia="zh-CN"/>
        </w:rPr>
        <w:t>，</w:t>
      </w:r>
      <w:r>
        <w:rPr>
          <w:rFonts w:hint="eastAsia" w:ascii="仿宋_GB2312" w:hAnsi="仿宋_GB2312" w:eastAsia="仿宋_GB2312" w:cs="仿宋_GB2312"/>
          <w:color w:val="auto"/>
          <w:spacing w:val="0"/>
          <w:w w:val="100"/>
          <w:position w:val="0"/>
          <w:sz w:val="32"/>
          <w:szCs w:val="32"/>
          <w:highlight w:val="none"/>
        </w:rPr>
        <w:t>一般按照受理、初步核实、分类处置、核查、处理和整改等程序进行</w:t>
      </w:r>
      <w:r>
        <w:rPr>
          <w:rFonts w:hint="eastAsia" w:ascii="仿宋_GB2312" w:hAnsi="仿宋_GB2312" w:eastAsia="仿宋_GB2312" w:cs="仿宋_GB2312"/>
          <w:color w:val="auto"/>
          <w:spacing w:val="0"/>
          <w:w w:val="100"/>
          <w:position w:val="0"/>
          <w:sz w:val="32"/>
          <w:szCs w:val="32"/>
          <w:highlight w:val="none"/>
          <w:lang w:eastAsia="zh-CN"/>
        </w:rPr>
        <w:t>。</w:t>
      </w:r>
      <w:r>
        <w:rPr>
          <w:rFonts w:hint="eastAsia" w:ascii="仿宋_GB2312" w:hAnsi="仿宋_GB2312" w:eastAsia="仿宋_GB2312" w:cs="仿宋_GB2312"/>
          <w:color w:val="auto"/>
          <w:spacing w:val="0"/>
          <w:w w:val="100"/>
          <w:position w:val="0"/>
          <w:sz w:val="32"/>
          <w:szCs w:val="32"/>
          <w:highlight w:val="none"/>
          <w:lang w:val="en-US" w:eastAsia="zh-CN"/>
        </w:rPr>
        <w:t>明确处理异议程序，适时</w:t>
      </w:r>
      <w:r>
        <w:rPr>
          <w:rFonts w:hint="eastAsia" w:ascii="仿宋_GB2312" w:hAnsi="仿宋_GB2312" w:eastAsia="仿宋_GB2312" w:cs="仿宋_GB2312"/>
          <w:color w:val="auto"/>
          <w:spacing w:val="0"/>
          <w:w w:val="100"/>
          <w:position w:val="0"/>
          <w:sz w:val="32"/>
          <w:szCs w:val="32"/>
          <w:highlight w:val="none"/>
        </w:rPr>
        <w:t>建立违规经营投资责任追究工作信息报送系统</w:t>
      </w:r>
      <w:r>
        <w:rPr>
          <w:rFonts w:hint="eastAsia" w:ascii="仿宋_GB2312" w:hAnsi="仿宋_GB2312" w:eastAsia="仿宋_GB2312" w:cs="仿宋_GB2312"/>
          <w:color w:val="auto"/>
          <w:spacing w:val="0"/>
          <w:w w:val="100"/>
          <w:positio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pPr>
      <w:r>
        <w:rPr>
          <w:rFonts w:hint="eastAsia" w:ascii="楷体_GB2312" w:hAnsi="楷体_GB2312" w:eastAsia="楷体_GB2312" w:cs="楷体_GB2312"/>
          <w:color w:val="auto"/>
          <w:sz w:val="32"/>
          <w:szCs w:val="32"/>
          <w:lang w:eastAsia="zh-CN"/>
        </w:rPr>
        <w:t>（八）第八章附则，共</w:t>
      </w:r>
      <w:r>
        <w:rPr>
          <w:rFonts w:hint="eastAsia" w:ascii="楷体_GB2312" w:hAnsi="楷体_GB2312" w:eastAsia="楷体_GB2312" w:cs="楷体_GB2312"/>
          <w:color w:val="auto"/>
          <w:sz w:val="32"/>
          <w:szCs w:val="32"/>
          <w:lang w:val="en-US" w:eastAsia="zh-CN"/>
        </w:rPr>
        <w:t>4条。</w:t>
      </w:r>
      <w:r>
        <w:rPr>
          <w:rFonts w:hint="eastAsia" w:ascii="仿宋_GB2312" w:hAnsi="仿宋_GB2312" w:eastAsia="仿宋_GB2312" w:cs="仿宋_GB2312"/>
          <w:color w:val="auto"/>
          <w:sz w:val="32"/>
          <w:szCs w:val="32"/>
          <w:u w:val="none"/>
          <w:shd w:val="clear" w:color="auto" w:fill="auto"/>
          <w:lang w:val="zh-TW" w:eastAsia="zh-TW" w:bidi="zh-TW"/>
        </w:rPr>
        <w:t>主要明确了区属企业要制定子企业违规经营投资责任追究具体工作规范</w:t>
      </w:r>
      <w:r>
        <w:rPr>
          <w:rFonts w:hint="eastAsia" w:ascii="仿宋_GB2312" w:hAnsi="仿宋_GB2312" w:eastAsia="仿宋_GB2312" w:cs="仿宋_GB2312"/>
          <w:color w:val="auto"/>
          <w:sz w:val="32"/>
          <w:szCs w:val="32"/>
          <w:u w:val="none"/>
          <w:shd w:val="clear" w:color="auto" w:fill="auto"/>
          <w:lang w:val="zh-TW" w:eastAsia="zh-CN" w:bidi="zh-TW"/>
        </w:rPr>
        <w:t>，</w:t>
      </w:r>
      <w:r>
        <w:rPr>
          <w:rFonts w:hint="eastAsia" w:ascii="仿宋_GB2312" w:hAnsi="仿宋_GB2312" w:eastAsia="仿宋_GB2312" w:cs="仿宋_GB2312"/>
          <w:color w:val="auto"/>
          <w:spacing w:val="0"/>
          <w:w w:val="100"/>
          <w:position w:val="0"/>
          <w:sz w:val="32"/>
          <w:szCs w:val="32"/>
          <w:highlight w:val="none"/>
        </w:rPr>
        <w:t>损失金额划分标准原则上不高于本办法规定的标准</w:t>
      </w:r>
      <w:r>
        <w:rPr>
          <w:rFonts w:hint="eastAsia" w:ascii="仿宋_GB2312" w:hAnsi="仿宋_GB2312" w:eastAsia="仿宋_GB2312" w:cs="仿宋_GB2312"/>
          <w:color w:val="auto"/>
          <w:sz w:val="32"/>
          <w:szCs w:val="32"/>
          <w:u w:val="none"/>
          <w:shd w:val="clear" w:color="auto" w:fill="auto"/>
          <w:lang w:val="zh-TW" w:eastAsia="zh-TW" w:bidi="zh-TW"/>
        </w:rPr>
        <w:t>；明确了</w:t>
      </w:r>
      <w:r>
        <w:rPr>
          <w:rFonts w:hint="eastAsia" w:ascii="仿宋_GB2312" w:hAnsi="仿宋_GB2312" w:eastAsia="仿宋_GB2312" w:cs="仿宋_GB2312"/>
          <w:color w:val="auto"/>
          <w:sz w:val="32"/>
          <w:szCs w:val="32"/>
          <w:u w:val="none"/>
          <w:shd w:val="clear" w:color="auto" w:fill="auto"/>
          <w:lang w:val="en-US" w:eastAsia="zh-CN" w:bidi="zh-TW"/>
        </w:rPr>
        <w:t>其他</w:t>
      </w:r>
      <w:r>
        <w:rPr>
          <w:rFonts w:hint="eastAsia" w:ascii="仿宋_GB2312" w:hAnsi="仿宋_GB2312" w:eastAsia="仿宋_GB2312" w:cs="仿宋_GB2312"/>
          <w:color w:val="auto"/>
          <w:sz w:val="32"/>
          <w:szCs w:val="32"/>
          <w:u w:val="none"/>
          <w:shd w:val="clear" w:color="auto" w:fill="auto"/>
          <w:lang w:val="zh-TW" w:eastAsia="zh-TW" w:bidi="zh-TW"/>
        </w:rPr>
        <w:t>可参照本办法执行的相关</w:t>
      </w:r>
      <w:r>
        <w:rPr>
          <w:rFonts w:hint="eastAsia" w:ascii="仿宋_GB2312" w:hAnsi="仿宋_GB2312" w:eastAsia="仿宋_GB2312" w:cs="仿宋_GB2312"/>
          <w:color w:val="auto"/>
          <w:sz w:val="32"/>
          <w:szCs w:val="32"/>
          <w:u w:val="none"/>
          <w:shd w:val="clear" w:color="auto" w:fill="auto"/>
          <w:lang w:val="en-US" w:eastAsia="zh-CN" w:bidi="zh-TW"/>
        </w:rPr>
        <w:t>部门、</w:t>
      </w:r>
      <w:r>
        <w:rPr>
          <w:rFonts w:hint="eastAsia" w:ascii="仿宋_GB2312" w:hAnsi="仿宋_GB2312" w:eastAsia="仿宋_GB2312" w:cs="仿宋_GB2312"/>
          <w:color w:val="auto"/>
          <w:sz w:val="32"/>
          <w:szCs w:val="32"/>
          <w:u w:val="none"/>
          <w:shd w:val="clear" w:color="auto" w:fill="auto"/>
          <w:lang w:val="zh-TW" w:eastAsia="zh-TW" w:bidi="zh-TW"/>
        </w:rPr>
        <w:t>企业等。</w:t>
      </w: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并明确</w:t>
      </w:r>
      <w:r>
        <w:rPr>
          <w:rFonts w:hint="default"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原</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密云</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区国有企业违规经营投资责任追究暂行办法》（</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密</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政发〔20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shd w:val="clear" w:color="auto" w:fill="FFFFFF"/>
          <w:lang w:val="en-US"/>
          <w14:textFill>
            <w14:solidFill>
              <w14:schemeClr w14:val="tx1"/>
            </w14:solidFill>
          </w14:textFill>
        </w:rPr>
        <w:t>号）同时废止</w:t>
      </w:r>
      <w:r>
        <w:rPr>
          <w:rFonts w:hint="eastAsia" w:ascii="仿宋_GB2312" w:hAnsi="仿宋_GB2312" w:eastAsia="仿宋_GB2312" w:cs="仿宋_GB2312"/>
          <w:color w:val="000000" w:themeColor="text1"/>
          <w:sz w:val="32"/>
          <w:szCs w:val="32"/>
          <w:shd w:val="clear" w:color="auto" w:fill="FFFFFF"/>
          <w:lang w:val="en-US" w:eastAsia="zh-CN" w:bidi="zh-CN"/>
          <w14:textFill>
            <w14:solidFill>
              <w14:schemeClr w14:val="tx1"/>
            </w14:solidFill>
          </w14:textFill>
        </w:rPr>
        <w:t>。</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rPr>
          <w:rFonts w:hint="eastAsia" w:eastAsia="宋体"/>
          <w:color w:val="auto"/>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仿宋_GB2312"/>
          <w:color w:val="000000" w:themeColor="text1"/>
          <w:sz w:val="32"/>
          <w:szCs w:val="32"/>
          <w:shd w:val="clear" w:color="auto"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shd w:val="clear" w:color="auto" w:fill="FFFFFF"/>
          <w:lang w:val="en" w:eastAsia="zh-CN" w:bidi="zh-CN"/>
          <w14:textFill>
            <w14:solidFill>
              <w14:schemeClr w14:val="tx1"/>
            </w14:solidFill>
          </w14:textFill>
        </w:rPr>
      </w:pPr>
    </w:p>
    <w:bookmarkEnd w:id="0"/>
    <w:sectPr>
      <w:footerReference r:id="rId3" w:type="default"/>
      <w:footerReference r:id="rId4" w:type="even"/>
      <w:pgSz w:w="11900" w:h="16840"/>
      <w:pgMar w:top="1440" w:right="1800" w:bottom="1440" w:left="1800"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Light">
    <w:altName w:val="方正细黑一_GBK"/>
    <w:panose1 w:val="00000000000000000000"/>
    <w:charset w:val="86"/>
    <w:family w:val="auto"/>
    <w:pitch w:val="default"/>
    <w:sig w:usb0="00000000" w:usb1="00000000" w:usb2="00000000" w:usb3="00000000" w:csb0="00000000" w:csb1="00000000"/>
  </w:font>
  <w:font w:name="MingLiU">
    <w:altName w:val="方正书宋_GBK"/>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480" w:lineRule="atLeast"/>
      <w:jc w:val="center"/>
      <w:rPr>
        <w:rFonts w:ascii="黑体" w:hAnsi="黑体" w:eastAsia="黑体" w:cs="黑体"/>
        <w:color w:val="404040"/>
        <w:sz w:val="32"/>
        <w:szCs w:val="32"/>
        <w:shd w:val="clear" w:color="auto" w:fill="FFFFFF"/>
        <w:lang w:eastAsia="zh-CN"/>
      </w:rPr>
    </w:pPr>
    <w:r>
      <w:rPr>
        <w:rFonts w:ascii="黑体" w:hAnsi="黑体" w:eastAsia="黑体" w:cs="黑体"/>
        <w:color w:val="404040"/>
        <w:sz w:val="32"/>
        <w:szCs w:val="32"/>
        <w:shd w:val="clear" w:color="auto" w:fill="FFFFFF"/>
        <w:lang w:eastAsia="zh-CN"/>
      </w:rPr>
      <mc:AlternateContent>
        <mc:Choice Requires="wps">
          <w:drawing>
            <wp:anchor distT="0" distB="0" distL="114300" distR="114300" simplePos="0" relativeHeight="251659264" behindDoc="1" locked="0" layoutInCell="1" allowOverlap="1">
              <wp:simplePos x="0" y="0"/>
              <wp:positionH relativeFrom="page">
                <wp:posOffset>6145530</wp:posOffset>
              </wp:positionH>
              <wp:positionV relativeFrom="page">
                <wp:posOffset>10145395</wp:posOffset>
              </wp:positionV>
              <wp:extent cx="450850" cy="137160"/>
              <wp:effectExtent l="0" t="0" r="0" b="0"/>
              <wp:wrapNone/>
              <wp:docPr id="46" name="Shape 46"/>
              <wp:cNvGraphicFramePr/>
              <a:graphic xmlns:a="http://schemas.openxmlformats.org/drawingml/2006/main">
                <a:graphicData uri="http://schemas.microsoft.com/office/word/2010/wordprocessingShape">
                  <wps:wsp>
                    <wps:cNvSpPr txBox="true"/>
                    <wps:spPr>
                      <a:xfrm>
                        <a:off x="0" y="0"/>
                        <a:ext cx="450850" cy="137160"/>
                      </a:xfrm>
                      <a:prstGeom prst="rect">
                        <a:avLst/>
                      </a:prstGeom>
                      <a:noFill/>
                      <a:ln>
                        <a:noFill/>
                      </a:ln>
                      <a:effectLst/>
                    </wps:spPr>
                    <wps:txbx>
                      <w:txbxContent>
                        <w:p>
                          <w:pPr>
                            <w:pStyle w:val="12"/>
                            <w:shd w:val="clear" w:color="auto" w:fill="auto"/>
                            <w:rPr>
                              <w:sz w:val="24"/>
                              <w:szCs w:val="24"/>
                            </w:rPr>
                          </w:pPr>
                          <w:r>
                            <w:rPr>
                              <w:color w:val="232629"/>
                              <w:sz w:val="24"/>
                              <w:szCs w:val="24"/>
                            </w:rPr>
                            <w:t>-</w:t>
                          </w:r>
                          <w:r>
                            <w:fldChar w:fldCharType="begin"/>
                          </w:r>
                          <w:r>
                            <w:instrText xml:space="preserve"> PAGE \* MERGEFORMAT </w:instrText>
                          </w:r>
                          <w:r>
                            <w:fldChar w:fldCharType="separate"/>
                          </w:r>
                          <w:r>
                            <w:rPr>
                              <w:color w:val="232629"/>
                              <w:sz w:val="24"/>
                              <w:szCs w:val="24"/>
                            </w:rPr>
                            <w:t>24</w:t>
                          </w:r>
                          <w:r>
                            <w:rPr>
                              <w:color w:val="232629"/>
                              <w:sz w:val="24"/>
                              <w:szCs w:val="24"/>
                            </w:rPr>
                            <w:fldChar w:fldCharType="end"/>
                          </w:r>
                          <w:r>
                            <w:rPr>
                              <w:color w:val="232629"/>
                              <w:sz w:val="24"/>
                              <w:szCs w:val="24"/>
                            </w:rPr>
                            <w:t xml:space="preserve"> </w:t>
                          </w:r>
                          <w:r>
                            <w:rPr>
                              <w:color w:val="232629"/>
                              <w:sz w:val="24"/>
                              <w:szCs w:val="24"/>
                              <w:lang w:val="zh-CN" w:eastAsia="zh-CN" w:bidi="zh-CN"/>
                            </w:rPr>
                            <w:t>-</w:t>
                          </w:r>
                        </w:p>
                      </w:txbxContent>
                    </wps:txbx>
                    <wps:bodyPr wrap="none" lIns="0" tIns="0" rIns="0" bIns="0">
                      <a:spAutoFit/>
                    </wps:bodyPr>
                  </wps:wsp>
                </a:graphicData>
              </a:graphic>
            </wp:anchor>
          </w:drawing>
        </mc:Choice>
        <mc:Fallback>
          <w:pict>
            <v:shape id="Shape 46" o:spid="_x0000_s1026" o:spt="202" type="#_x0000_t202" style="position:absolute;left:0pt;margin-left:483.9pt;margin-top:798.85pt;height:10.8pt;width:35.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Xw04JtgAAAAOAQAADwAAAAAAAAABACAAAAA4AAAAZHJzL2Rvd25yZXYueG1sUEsBAhQA&#10;FAAAAAgAh07iQIpqhaejAQAATAMAAA4AAAAAAAAAAQAgAAAAPQEAAGRycy9lMm9Eb2MueG1sUEsF&#10;BgAAAAAGAAYAWQEAAFIFAAAAAA==&#10;">
              <v:fill on="f" focussize="0,0"/>
              <v:stroke on="f"/>
              <v:imagedata o:title=""/>
              <o:lock v:ext="edit" aspectratio="f"/>
              <v:textbox inset="0mm,0mm,0mm,0mm" style="mso-fit-shape-to-text:t;">
                <w:txbxContent>
                  <w:p>
                    <w:pPr>
                      <w:pStyle w:val="12"/>
                      <w:shd w:val="clear" w:color="auto" w:fill="auto"/>
                      <w:rPr>
                        <w:sz w:val="24"/>
                        <w:szCs w:val="24"/>
                      </w:rPr>
                    </w:pPr>
                    <w:r>
                      <w:rPr>
                        <w:color w:val="232629"/>
                        <w:sz w:val="24"/>
                        <w:szCs w:val="24"/>
                      </w:rPr>
                      <w:t>-</w:t>
                    </w:r>
                    <w:r>
                      <w:fldChar w:fldCharType="begin"/>
                    </w:r>
                    <w:r>
                      <w:instrText xml:space="preserve"> PAGE \* MERGEFORMAT </w:instrText>
                    </w:r>
                    <w:r>
                      <w:fldChar w:fldCharType="separate"/>
                    </w:r>
                    <w:r>
                      <w:rPr>
                        <w:color w:val="232629"/>
                        <w:sz w:val="24"/>
                        <w:szCs w:val="24"/>
                      </w:rPr>
                      <w:t>24</w:t>
                    </w:r>
                    <w:r>
                      <w:rPr>
                        <w:color w:val="232629"/>
                        <w:sz w:val="24"/>
                        <w:szCs w:val="24"/>
                      </w:rPr>
                      <w:fldChar w:fldCharType="end"/>
                    </w:r>
                    <w:r>
                      <w:rPr>
                        <w:color w:val="232629"/>
                        <w:sz w:val="24"/>
                        <w:szCs w:val="24"/>
                      </w:rPr>
                      <w:t xml:space="preserve"> </w:t>
                    </w:r>
                    <w:r>
                      <w:rPr>
                        <w:color w:val="232629"/>
                        <w:sz w:val="24"/>
                        <w:szCs w:val="24"/>
                        <w:lang w:val="zh-CN" w:eastAsia="zh-CN" w:bidi="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1003300</wp:posOffset>
              </wp:positionH>
              <wp:positionV relativeFrom="page">
                <wp:posOffset>10075545</wp:posOffset>
              </wp:positionV>
              <wp:extent cx="454025" cy="130810"/>
              <wp:effectExtent l="0" t="0" r="0" b="0"/>
              <wp:wrapNone/>
              <wp:docPr id="48" name="Shape 48"/>
              <wp:cNvGraphicFramePr/>
              <a:graphic xmlns:a="http://schemas.openxmlformats.org/drawingml/2006/main">
                <a:graphicData uri="http://schemas.microsoft.com/office/word/2010/wordprocessingShape">
                  <wps:wsp>
                    <wps:cNvSpPr txBox="true"/>
                    <wps:spPr>
                      <a:xfrm>
                        <a:off x="0" y="0"/>
                        <a:ext cx="454025" cy="130810"/>
                      </a:xfrm>
                      <a:prstGeom prst="rect">
                        <a:avLst/>
                      </a:prstGeom>
                      <a:noFill/>
                      <a:ln>
                        <a:noFill/>
                      </a:ln>
                      <a:effectLst/>
                    </wps:spPr>
                    <wps:txbx>
                      <w:txbxContent>
                        <w:p>
                          <w:pPr>
                            <w:pStyle w:val="12"/>
                            <w:shd w:val="clear" w:color="auto" w:fill="auto"/>
                            <w:rPr>
                              <w:sz w:val="24"/>
                              <w:szCs w:val="24"/>
                            </w:rPr>
                          </w:pPr>
                          <w:r>
                            <w:rPr>
                              <w:color w:val="232629"/>
                              <w:sz w:val="24"/>
                              <w:szCs w:val="24"/>
                            </w:rPr>
                            <w:t>-</w:t>
                          </w:r>
                          <w:r>
                            <w:fldChar w:fldCharType="begin"/>
                          </w:r>
                          <w:r>
                            <w:instrText xml:space="preserve"> PAGE \* MERGEFORMAT </w:instrText>
                          </w:r>
                          <w:r>
                            <w:fldChar w:fldCharType="separate"/>
                          </w:r>
                          <w:r>
                            <w:rPr>
                              <w:color w:val="232629"/>
                              <w:sz w:val="24"/>
                              <w:szCs w:val="24"/>
                            </w:rPr>
                            <w:t>#</w:t>
                          </w:r>
                          <w:r>
                            <w:rPr>
                              <w:color w:val="232629"/>
                              <w:sz w:val="24"/>
                              <w:szCs w:val="24"/>
                            </w:rPr>
                            <w:fldChar w:fldCharType="end"/>
                          </w:r>
                          <w:r>
                            <w:rPr>
                              <w:color w:val="232629"/>
                              <w:sz w:val="24"/>
                              <w:szCs w:val="24"/>
                            </w:rPr>
                            <w:t xml:space="preserve"> </w:t>
                          </w:r>
                          <w:r>
                            <w:rPr>
                              <w:color w:val="5D5C62"/>
                              <w:sz w:val="24"/>
                              <w:szCs w:val="24"/>
                              <w:lang w:val="zh-CN" w:eastAsia="zh-CN" w:bidi="zh-CN"/>
                            </w:rPr>
                            <w:t>-</w:t>
                          </w:r>
                        </w:p>
                      </w:txbxContent>
                    </wps:txbx>
                    <wps:bodyPr wrap="none" lIns="0" tIns="0" rIns="0" bIns="0">
                      <a:spAutoFit/>
                    </wps:bodyPr>
                  </wps:wsp>
                </a:graphicData>
              </a:graphic>
            </wp:anchor>
          </w:drawing>
        </mc:Choice>
        <mc:Fallback>
          <w:pict>
            <v:shape id="Shape 48" o:spid="_x0000_s1026" o:spt="202" type="#_x0000_t202" style="position:absolute;left:0pt;margin-left:79pt;margin-top:793.35pt;height:10.3pt;width:35.75pt;mso-position-horizontal-relative:page;mso-position-vertical-relative:page;mso-wrap-style:none;z-index:-251656192;mso-width-relative:page;mso-height-relative:page;" filled="f" stroked="f" coordsize="21600,21600" o:gfxdata="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B0iS6jYAAAADQEAAA8AAAAAAAAAAQAgAAAAOAAAAGRycy9kb3ducmV2LnhtbFBLAQIU&#10;ABQAAAAIAIdO4kBQSbadpAEAAEwDAAAOAAAAAAAAAAEAIAAAAD0BAABkcnMvZTJvRG9jLnhtbFBL&#10;BQYAAAAABgAGAFkBAABTBQAAAAA=&#10;">
              <v:fill on="f" focussize="0,0"/>
              <v:stroke on="f"/>
              <v:imagedata o:title=""/>
              <o:lock v:ext="edit" aspectratio="f"/>
              <v:textbox inset="0mm,0mm,0mm,0mm" style="mso-fit-shape-to-text:t;">
                <w:txbxContent>
                  <w:p>
                    <w:pPr>
                      <w:pStyle w:val="12"/>
                      <w:shd w:val="clear" w:color="auto" w:fill="auto"/>
                      <w:rPr>
                        <w:sz w:val="24"/>
                        <w:szCs w:val="24"/>
                      </w:rPr>
                    </w:pPr>
                    <w:r>
                      <w:rPr>
                        <w:color w:val="232629"/>
                        <w:sz w:val="24"/>
                        <w:szCs w:val="24"/>
                      </w:rPr>
                      <w:t>-</w:t>
                    </w:r>
                    <w:r>
                      <w:fldChar w:fldCharType="begin"/>
                    </w:r>
                    <w:r>
                      <w:instrText xml:space="preserve"> PAGE \* MERGEFORMAT </w:instrText>
                    </w:r>
                    <w:r>
                      <w:fldChar w:fldCharType="separate"/>
                    </w:r>
                    <w:r>
                      <w:rPr>
                        <w:color w:val="232629"/>
                        <w:sz w:val="24"/>
                        <w:szCs w:val="24"/>
                      </w:rPr>
                      <w:t>#</w:t>
                    </w:r>
                    <w:r>
                      <w:rPr>
                        <w:color w:val="232629"/>
                        <w:sz w:val="24"/>
                        <w:szCs w:val="24"/>
                      </w:rPr>
                      <w:fldChar w:fldCharType="end"/>
                    </w:r>
                    <w:r>
                      <w:rPr>
                        <w:color w:val="232629"/>
                        <w:sz w:val="24"/>
                        <w:szCs w:val="24"/>
                      </w:rPr>
                      <w:t xml:space="preserve"> </w:t>
                    </w:r>
                    <w:r>
                      <w:rPr>
                        <w:color w:val="5D5C62"/>
                        <w:sz w:val="24"/>
                        <w:szCs w:val="24"/>
                        <w:lang w:val="zh-CN" w:eastAsia="zh-CN" w:bidi="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62"/>
    <w:rsid w:val="000A03F0"/>
    <w:rsid w:val="000A21DA"/>
    <w:rsid w:val="000B0F1B"/>
    <w:rsid w:val="00172E20"/>
    <w:rsid w:val="00213E9B"/>
    <w:rsid w:val="003433F0"/>
    <w:rsid w:val="003757DC"/>
    <w:rsid w:val="00485611"/>
    <w:rsid w:val="00515E45"/>
    <w:rsid w:val="00594BD8"/>
    <w:rsid w:val="005F5462"/>
    <w:rsid w:val="008E6310"/>
    <w:rsid w:val="00B334CD"/>
    <w:rsid w:val="00BF7BFE"/>
    <w:rsid w:val="00C25D12"/>
    <w:rsid w:val="00CA055C"/>
    <w:rsid w:val="00D30313"/>
    <w:rsid w:val="00D816DA"/>
    <w:rsid w:val="00DC48D0"/>
    <w:rsid w:val="00E06842"/>
    <w:rsid w:val="00E75218"/>
    <w:rsid w:val="00E96E43"/>
    <w:rsid w:val="00FC45FC"/>
    <w:rsid w:val="08307FB5"/>
    <w:rsid w:val="0E5E6DE0"/>
    <w:rsid w:val="143751A8"/>
    <w:rsid w:val="1DEE3C58"/>
    <w:rsid w:val="1E243E79"/>
    <w:rsid w:val="21C36B8C"/>
    <w:rsid w:val="332C02E7"/>
    <w:rsid w:val="36F47F8B"/>
    <w:rsid w:val="3DD7F6BC"/>
    <w:rsid w:val="3FF1C46C"/>
    <w:rsid w:val="4C2D4E45"/>
    <w:rsid w:val="53D9C654"/>
    <w:rsid w:val="5A727ED0"/>
    <w:rsid w:val="5E00320D"/>
    <w:rsid w:val="5FF6AFD4"/>
    <w:rsid w:val="5FFBB119"/>
    <w:rsid w:val="70056D5C"/>
    <w:rsid w:val="779D5518"/>
    <w:rsid w:val="7BA01B24"/>
    <w:rsid w:val="7F9305E7"/>
    <w:rsid w:val="7FE9858A"/>
    <w:rsid w:val="B8DF6B26"/>
    <w:rsid w:val="B979A1A1"/>
    <w:rsid w:val="BCFD16E3"/>
    <w:rsid w:val="BEEB7D47"/>
    <w:rsid w:val="EC2F069A"/>
    <w:rsid w:val="FFC9E5EC"/>
    <w:rsid w:val="FFDAF10E"/>
    <w:rsid w:val="FFE7D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Plain Text"/>
    <w:basedOn w:val="1"/>
    <w:qFormat/>
    <w:uiPriority w:val="0"/>
    <w:rPr>
      <w:rFonts w:ascii="宋体" w:hAnsi="Courier New" w:cs="Courier New"/>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spacing w:beforeAutospacing="1" w:afterAutospacing="1"/>
    </w:pPr>
    <w:rPr>
      <w:rFonts w:cs="Times New Roman"/>
      <w:lang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2"/>
    <w:basedOn w:val="1"/>
    <w:qFormat/>
    <w:uiPriority w:val="0"/>
    <w:pPr>
      <w:shd w:val="clear" w:color="auto" w:fill="FFFFFF"/>
      <w:spacing w:after="430" w:line="710" w:lineRule="exact"/>
      <w:jc w:val="center"/>
      <w:outlineLvl w:val="1"/>
    </w:pPr>
    <w:rPr>
      <w:rFonts w:ascii="MingLiU" w:hAnsi="MingLiU" w:eastAsia="MingLiU" w:cs="MingLiU"/>
      <w:sz w:val="42"/>
      <w:szCs w:val="42"/>
      <w:lang w:val="zh-CN" w:eastAsia="zh-CN" w:bidi="zh-CN"/>
    </w:rPr>
  </w:style>
  <w:style w:type="paragraph" w:customStyle="1" w:styleId="10">
    <w:name w:val="标题 #3"/>
    <w:basedOn w:val="1"/>
    <w:qFormat/>
    <w:uiPriority w:val="0"/>
    <w:pPr>
      <w:shd w:val="clear" w:color="auto" w:fill="FFFFFF"/>
      <w:spacing w:line="568" w:lineRule="exact"/>
      <w:jc w:val="center"/>
      <w:outlineLvl w:val="2"/>
    </w:pPr>
    <w:rPr>
      <w:rFonts w:ascii="MingLiU" w:hAnsi="MingLiU" w:eastAsia="MingLiU" w:cs="MingLiU"/>
      <w:b/>
      <w:bCs/>
      <w:color w:val="101115"/>
      <w:sz w:val="28"/>
      <w:szCs w:val="28"/>
      <w:lang w:val="zh-CN" w:eastAsia="zh-CN" w:bidi="zh-CN"/>
    </w:rPr>
  </w:style>
  <w:style w:type="paragraph" w:customStyle="1" w:styleId="11">
    <w:name w:val="正文文本1"/>
    <w:basedOn w:val="1"/>
    <w:qFormat/>
    <w:uiPriority w:val="0"/>
    <w:pPr>
      <w:shd w:val="clear" w:color="auto" w:fill="FFFFFF"/>
      <w:spacing w:line="403" w:lineRule="auto"/>
      <w:ind w:firstLine="400"/>
    </w:pPr>
    <w:rPr>
      <w:rFonts w:ascii="MingLiU" w:hAnsi="MingLiU" w:eastAsia="MingLiU" w:cs="MingLiU"/>
      <w:color w:val="101115"/>
      <w:sz w:val="28"/>
      <w:szCs w:val="28"/>
      <w:lang w:val="zh-CN" w:eastAsia="zh-CN" w:bidi="zh-CN"/>
    </w:rPr>
  </w:style>
  <w:style w:type="paragraph" w:customStyle="1" w:styleId="12">
    <w:name w:val="页眉或页脚 (2)"/>
    <w:basedOn w:val="1"/>
    <w:qFormat/>
    <w:uiPriority w:val="0"/>
    <w:pPr>
      <w:shd w:val="clear" w:color="auto" w:fill="FFFFFF"/>
    </w:pPr>
    <w:rPr>
      <w:rFonts w:ascii="Times New Roman" w:hAnsi="Times New Roman" w:eastAsia="Times New Roman" w:cs="Times New Roman"/>
      <w:sz w:val="20"/>
      <w:szCs w:val="20"/>
    </w:rPr>
  </w:style>
  <w:style w:type="paragraph" w:customStyle="1" w:styleId="13">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http://bbs.buyitx.com</Company>
  <Pages>24</Pages>
  <Words>10638</Words>
  <Characters>528</Characters>
  <Lines>4</Lines>
  <Paragraphs>22</Paragraphs>
  <TotalTime>1</TotalTime>
  <ScaleCrop>false</ScaleCrop>
  <LinksUpToDate>false</LinksUpToDate>
  <CharactersWithSpaces>11144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john</dc:creator>
  <cp:lastModifiedBy>user</cp:lastModifiedBy>
  <cp:lastPrinted>2023-05-29T22:24:00Z</cp:lastPrinted>
  <dcterms:modified xsi:type="dcterms:W3CDTF">2023-06-02T14:34:25Z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82F5FF520ADD4D1084CC96888237B22B</vt:lpwstr>
  </property>
</Properties>
</file>