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val="en-US" w:eastAsia="en-US"/>
        </w:rPr>
      </w:pPr>
      <w:r>
        <w:rPr>
          <w:rFonts w:hint="eastAsia" w:ascii="方正小标宋_GBK" w:hAnsi="方正小标宋_GBK" w:eastAsia="方正小标宋_GBK" w:cs="方正小标宋_GBK"/>
          <w:color w:val="auto"/>
          <w:sz w:val="44"/>
          <w:szCs w:val="44"/>
          <w:highlight w:val="none"/>
          <w:lang w:val="en-US" w:eastAsia="en-US"/>
        </w:rPr>
        <w:t>北京市密云区深入打好污染防治</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lang w:val="en-US" w:eastAsia="en-US"/>
        </w:rPr>
        <w:t>攻坚战202</w:t>
      </w:r>
      <w:r>
        <w:rPr>
          <w:rFonts w:hint="eastAsia" w:ascii="方正小标宋_GBK" w:hAnsi="方正小标宋_GBK" w:eastAsia="方正小标宋_GBK" w:cs="方正小标宋_GBK"/>
          <w:color w:val="auto"/>
          <w:sz w:val="44"/>
          <w:szCs w:val="44"/>
          <w:highlight w:val="none"/>
          <w:lang w:val="en-US" w:eastAsia="zh-CN"/>
        </w:rPr>
        <w:t>3</w:t>
      </w:r>
      <w:r>
        <w:rPr>
          <w:rFonts w:hint="eastAsia" w:ascii="方正小标宋_GBK" w:hAnsi="方正小标宋_GBK" w:eastAsia="方正小标宋_GBK" w:cs="方正小标宋_GBK"/>
          <w:color w:val="auto"/>
          <w:sz w:val="44"/>
          <w:szCs w:val="44"/>
          <w:highlight w:val="none"/>
          <w:lang w:val="en-US" w:eastAsia="en-US"/>
        </w:rPr>
        <w:t>年</w:t>
      </w:r>
      <w:r>
        <w:rPr>
          <w:rFonts w:hint="eastAsia" w:ascii="方正小标宋_GBK" w:hAnsi="方正小标宋_GBK" w:eastAsia="方正小标宋_GBK" w:cs="方正小标宋_GBK"/>
          <w:color w:val="auto"/>
          <w:sz w:val="44"/>
          <w:szCs w:val="44"/>
          <w:highlight w:val="none"/>
          <w:lang w:val="en-US" w:eastAsia="zh-CN"/>
        </w:rPr>
        <w:t>系列行动计划</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（征求意见稿）</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为全面贯彻落实《北京市深入打好污染防治攻坚战202</w:t>
      </w:r>
      <w:r>
        <w:rPr>
          <w:rFonts w:hint="eastAsia"/>
          <w:color w:val="auto"/>
          <w:sz w:val="32"/>
          <w:szCs w:val="32"/>
          <w:highlight w:val="none"/>
          <w:lang w:val="en-US" w:eastAsia="zh-CN"/>
        </w:rPr>
        <w:t>3</w:t>
      </w:r>
      <w:r>
        <w:rPr>
          <w:color w:val="auto"/>
          <w:sz w:val="32"/>
          <w:szCs w:val="32"/>
          <w:highlight w:val="none"/>
        </w:rPr>
        <w:t>年行动计划》和《密云区十四五生态环境保护规划》有关要求，进一步巩固提升密云区生态环境质量，现制定《北京市密云区深入打好污染防治攻坚战202</w:t>
      </w:r>
      <w:r>
        <w:rPr>
          <w:rFonts w:hint="eastAsia"/>
          <w:color w:val="auto"/>
          <w:sz w:val="32"/>
          <w:szCs w:val="32"/>
          <w:highlight w:val="none"/>
          <w:lang w:val="en-US" w:eastAsia="zh-CN"/>
        </w:rPr>
        <w:t>3</w:t>
      </w:r>
      <w:r>
        <w:rPr>
          <w:color w:val="auto"/>
          <w:sz w:val="32"/>
          <w:szCs w:val="32"/>
          <w:highlight w:val="none"/>
        </w:rPr>
        <w:t>年系列行动计划》。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以习近平新时代中国特色社会主义思想为指导，全面贯彻</w:t>
      </w:r>
      <w:r>
        <w:rPr>
          <w:rFonts w:hint="eastAsia"/>
          <w:color w:val="auto"/>
          <w:sz w:val="32"/>
          <w:szCs w:val="32"/>
          <w:highlight w:val="none"/>
          <w:lang w:val="en-US" w:eastAsia="zh-CN"/>
        </w:rPr>
        <w:t>落实</w:t>
      </w:r>
      <w:r>
        <w:rPr>
          <w:color w:val="auto"/>
          <w:sz w:val="32"/>
          <w:szCs w:val="32"/>
          <w:highlight w:val="none"/>
        </w:rPr>
        <w:t>党的</w:t>
      </w:r>
      <w:r>
        <w:rPr>
          <w:rFonts w:hint="eastAsia"/>
          <w:color w:val="auto"/>
          <w:sz w:val="32"/>
          <w:szCs w:val="32"/>
          <w:highlight w:val="none"/>
          <w:lang w:val="en-US" w:eastAsia="zh-CN"/>
        </w:rPr>
        <w:t>二十大</w:t>
      </w:r>
      <w:r>
        <w:rPr>
          <w:color w:val="auto"/>
          <w:sz w:val="32"/>
          <w:szCs w:val="32"/>
          <w:highlight w:val="none"/>
        </w:rPr>
        <w:t>精神，深入贯彻习近平生态文明思想和习近平总书记对北京重要讲话精神，以习近平总书记关于保护好密云水库指示精神和重要回信精神为统领，全面落实“保水、护山、守规、兴城”总体要求，把握新发展阶段、贯彻新发展理念、融入新发展格局，推动绿色高质量发展，坚持生态优先、保水富民、绿色发展、特色一流，有序推进环境治理体系和环境治理能力现代化，为建设美丽北京、谱写现代化建设密云篇章而努力奋斗。</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二、工作目标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按照巩固成效、科学可达的原则，确定202</w:t>
      </w:r>
      <w:r>
        <w:rPr>
          <w:rFonts w:hint="eastAsia"/>
          <w:color w:val="auto"/>
          <w:sz w:val="32"/>
          <w:szCs w:val="32"/>
          <w:highlight w:val="none"/>
          <w:lang w:val="en-US" w:eastAsia="zh-CN"/>
        </w:rPr>
        <w:t>3</w:t>
      </w:r>
      <w:r>
        <w:rPr>
          <w:color w:val="auto"/>
          <w:sz w:val="32"/>
          <w:szCs w:val="32"/>
          <w:highlight w:val="none"/>
        </w:rPr>
        <w:t>年主要目标为: 碳排放强度下降达到</w:t>
      </w:r>
      <w:r>
        <w:rPr>
          <w:rFonts w:hint="eastAsia"/>
          <w:color w:val="auto"/>
          <w:sz w:val="32"/>
          <w:szCs w:val="32"/>
          <w:highlight w:val="none"/>
          <w:lang w:val="en-US" w:eastAsia="zh-CN"/>
        </w:rPr>
        <w:t>2.5</w:t>
      </w:r>
      <w:r>
        <w:rPr>
          <w:color w:val="auto"/>
          <w:sz w:val="32"/>
          <w:szCs w:val="32"/>
          <w:highlight w:val="none"/>
        </w:rPr>
        <w:t>%，碳排放总量</w:t>
      </w:r>
      <w:r>
        <w:rPr>
          <w:rFonts w:hint="eastAsia"/>
          <w:color w:val="auto"/>
          <w:sz w:val="32"/>
          <w:szCs w:val="32"/>
          <w:highlight w:val="none"/>
          <w:lang w:val="en-US" w:eastAsia="zh-CN"/>
        </w:rPr>
        <w:t>得到有效控制</w:t>
      </w:r>
      <w:r>
        <w:rPr>
          <w:color w:val="auto"/>
          <w:sz w:val="32"/>
          <w:szCs w:val="32"/>
          <w:highlight w:val="none"/>
        </w:rPr>
        <w:t>；全区及各镇街（地区）、中关村密云园尽最大努力巩固空气质量改善成效，区级细颗粒物浓度控制在</w:t>
      </w:r>
      <w:r>
        <w:rPr>
          <w:rFonts w:hint="eastAsia"/>
          <w:color w:val="auto"/>
          <w:sz w:val="32"/>
          <w:szCs w:val="32"/>
          <w:highlight w:val="none"/>
          <w:lang w:val="en-US" w:eastAsia="zh-CN"/>
        </w:rPr>
        <w:t>27</w:t>
      </w:r>
      <w:r>
        <w:rPr>
          <w:color w:val="auto"/>
          <w:sz w:val="32"/>
          <w:szCs w:val="32"/>
          <w:highlight w:val="none"/>
        </w:rPr>
        <w:t>微克每立方米，优良天数比率达到7</w:t>
      </w:r>
      <w:r>
        <w:rPr>
          <w:rFonts w:hint="eastAsia"/>
          <w:color w:val="auto"/>
          <w:sz w:val="32"/>
          <w:szCs w:val="32"/>
          <w:highlight w:val="none"/>
          <w:lang w:val="en-US" w:eastAsia="zh-CN"/>
        </w:rPr>
        <w:t>6</w:t>
      </w:r>
      <w:r>
        <w:rPr>
          <w:color w:val="auto"/>
          <w:sz w:val="32"/>
          <w:szCs w:val="32"/>
          <w:highlight w:val="none"/>
        </w:rPr>
        <w:t>%以上，重污染天数控制在</w:t>
      </w:r>
      <w:r>
        <w:rPr>
          <w:rFonts w:hint="eastAsia"/>
          <w:color w:val="auto"/>
          <w:sz w:val="32"/>
          <w:szCs w:val="32"/>
          <w:highlight w:val="none"/>
          <w:lang w:val="en-US" w:eastAsia="zh-CN"/>
        </w:rPr>
        <w:t>6</w:t>
      </w:r>
      <w:r>
        <w:rPr>
          <w:color w:val="auto"/>
          <w:sz w:val="32"/>
          <w:szCs w:val="32"/>
          <w:highlight w:val="none"/>
        </w:rPr>
        <w:t>天以内；地表水国考断面达到或优于Ⅲ类水体比例不低于83.3%,消除劣Ⅴ类水体断面；农用地及重点建设用地安全利用得到有效</w:t>
      </w:r>
      <w:r>
        <w:rPr>
          <w:rFonts w:hint="eastAsia"/>
          <w:color w:val="auto"/>
          <w:sz w:val="32"/>
          <w:szCs w:val="32"/>
          <w:highlight w:val="none"/>
          <w:lang w:val="en-US" w:eastAsia="zh-CN"/>
        </w:rPr>
        <w:t>管控</w:t>
      </w:r>
      <w:r>
        <w:rPr>
          <w:color w:val="auto"/>
          <w:sz w:val="32"/>
          <w:szCs w:val="32"/>
          <w:highlight w:val="none"/>
        </w:rPr>
        <w:t>；生态环境质量状况指数（EI）力争稳</w:t>
      </w:r>
      <w:r>
        <w:rPr>
          <w:rFonts w:hint="eastAsia"/>
          <w:color w:val="auto"/>
          <w:sz w:val="32"/>
          <w:szCs w:val="32"/>
          <w:highlight w:val="none"/>
          <w:lang w:val="en-US" w:eastAsia="zh-CN"/>
        </w:rPr>
        <w:t>中</w:t>
      </w:r>
      <w:r>
        <w:rPr>
          <w:color w:val="auto"/>
          <w:sz w:val="32"/>
          <w:szCs w:val="32"/>
          <w:highlight w:val="none"/>
        </w:rPr>
        <w:t>向好。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三、主要措施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包括五部分</w:t>
      </w:r>
      <w:r>
        <w:rPr>
          <w:rFonts w:hint="eastAsia"/>
          <w:color w:val="auto"/>
          <w:sz w:val="32"/>
          <w:szCs w:val="32"/>
          <w:highlight w:val="none"/>
          <w:lang w:val="en-US" w:eastAsia="zh-CN"/>
        </w:rPr>
        <w:t>106</w:t>
      </w:r>
      <w:r>
        <w:rPr>
          <w:color w:val="auto"/>
          <w:sz w:val="32"/>
          <w:szCs w:val="32"/>
          <w:highlight w:val="none"/>
        </w:rPr>
        <w:t>项重点任务。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（一）应对气候变化202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color w:val="auto"/>
          <w:sz w:val="32"/>
          <w:szCs w:val="32"/>
          <w:highlight w:val="none"/>
        </w:rPr>
        <w:t>应对气候变化共2</w:t>
      </w:r>
      <w:r>
        <w:rPr>
          <w:rFonts w:hint="eastAsia"/>
          <w:color w:val="auto"/>
          <w:sz w:val="32"/>
          <w:szCs w:val="32"/>
          <w:highlight w:val="none"/>
          <w:lang w:val="en-US" w:eastAsia="zh-CN"/>
        </w:rPr>
        <w:t>5</w:t>
      </w:r>
      <w:r>
        <w:rPr>
          <w:rFonts w:hint="eastAsia"/>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以推动经济社会全面绿色转型发展为引领，开展应对气候变化工作。</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完善应对气候变化综合管理制度。编制印发区级碳达峰1+N系列文件，明确各重点领域减碳目标。</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推动重点领域实施减碳行动。推进国家气候投融资试点建设，引导更多资金投入应对气候变化领域。优化能源结构，大力开展能源节约和能效提升，开展数据中心低碳改造，推动可再生能源在各领域应用；大力发展循环经济，推广超低能耗建筑，实施既有建筑绿色改造长效机制；创建绿色智能供热体系，推进既有燃气供热系统“零碳”改造示范；推进运输结构调整，大力推进机动车“油换电”和氢燃料汽车规模化应用；控制农业和其他温室气体排放。</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加强气候适应建设。坚持全域多层次增绿固碳，推进海绵城市建设，配合开展气候脆弱性风险识别与灾害评估，提升城市极端气候应急处置能力。</w:t>
      </w:r>
      <w:r>
        <w:rPr>
          <w:rFonts w:hint="eastAsia" w:ascii="仿宋_GB2312" w:eastAsia="仿宋_GB2312"/>
          <w:b/>
          <w:bCs w:val="0"/>
          <w:color w:val="auto"/>
          <w:sz w:val="32"/>
          <w:szCs w:val="32"/>
          <w:highlight w:val="none"/>
          <w:shd w:val="clear" w:color="auto" w:fill="auto"/>
          <w:lang w:val="en-US" w:eastAsia="zh-CN"/>
        </w:rPr>
        <w:t>四是</w:t>
      </w:r>
      <w:r>
        <w:rPr>
          <w:rFonts w:hint="eastAsia" w:ascii="仿宋_GB2312" w:eastAsia="仿宋_GB2312"/>
          <w:b w:val="0"/>
          <w:bCs/>
          <w:color w:val="auto"/>
          <w:sz w:val="32"/>
          <w:szCs w:val="32"/>
          <w:highlight w:val="none"/>
          <w:shd w:val="clear" w:color="auto" w:fill="auto"/>
          <w:lang w:val="en-US" w:eastAsia="zh-CN"/>
        </w:rPr>
        <w:t>强化应对气候变化能力建设。加强区级统筹调度，扎实推动重点任务落实；加大科技支撑，加强宣传交流，强化资金政策支持，营造良好政策环境。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eastAsia="楷体_GB2312"/>
          <w:color w:val="auto"/>
          <w:sz w:val="32"/>
          <w:szCs w:val="32"/>
          <w:highlight w:val="none"/>
          <w:lang w:eastAsia="zh-CN"/>
        </w:rPr>
        <w:t>（</w:t>
      </w:r>
      <w:r>
        <w:rPr>
          <w:rFonts w:hint="eastAsia" w:eastAsia="楷体_GB2312"/>
          <w:color w:val="auto"/>
          <w:sz w:val="32"/>
          <w:szCs w:val="32"/>
          <w:highlight w:val="none"/>
          <w:lang w:val="en-US" w:eastAsia="zh-CN"/>
        </w:rPr>
        <w:t>二</w:t>
      </w:r>
      <w:r>
        <w:rPr>
          <w:rFonts w:hint="eastAsia" w:eastAsia="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大气污染防治202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大气污染防治共</w:t>
      </w:r>
      <w:r>
        <w:rPr>
          <w:rFonts w:hint="eastAsia"/>
          <w:color w:val="auto"/>
          <w:sz w:val="32"/>
          <w:szCs w:val="32"/>
          <w:highlight w:val="none"/>
          <w:lang w:val="en-US" w:eastAsia="zh-CN"/>
        </w:rPr>
        <w:t>29</w:t>
      </w:r>
      <w:r>
        <w:rPr>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按照PM</w:t>
      </w:r>
      <w:r>
        <w:rPr>
          <w:rFonts w:hint="eastAsia" w:ascii="仿宋_GB2312" w:eastAsia="仿宋_GB2312"/>
          <w:b w:val="0"/>
          <w:bCs/>
          <w:color w:val="auto"/>
          <w:sz w:val="32"/>
          <w:szCs w:val="32"/>
          <w:highlight w:val="none"/>
          <w:shd w:val="clear" w:color="auto" w:fill="auto"/>
          <w:vertAlign w:val="subscript"/>
          <w:lang w:val="en-US" w:eastAsia="zh-CN"/>
        </w:rPr>
        <w:t>2.5</w:t>
      </w:r>
      <w:r>
        <w:rPr>
          <w:rFonts w:hint="eastAsia" w:ascii="仿宋_GB2312" w:eastAsia="仿宋_GB2312"/>
          <w:b w:val="0"/>
          <w:bCs/>
          <w:color w:val="auto"/>
          <w:sz w:val="32"/>
          <w:szCs w:val="32"/>
          <w:highlight w:val="none"/>
          <w:shd w:val="clear" w:color="auto" w:fill="auto"/>
          <w:lang w:val="en-US" w:eastAsia="zh-CN"/>
        </w:rPr>
        <w:t>和O</w:t>
      </w:r>
      <w:r>
        <w:rPr>
          <w:rFonts w:hint="eastAsia" w:ascii="仿宋_GB2312" w:eastAsia="仿宋_GB2312"/>
          <w:b w:val="0"/>
          <w:bCs/>
          <w:color w:val="auto"/>
          <w:sz w:val="32"/>
          <w:szCs w:val="32"/>
          <w:highlight w:val="none"/>
          <w:shd w:val="clear" w:color="auto" w:fill="auto"/>
          <w:vertAlign w:val="subscript"/>
          <w:lang w:val="en-US" w:eastAsia="zh-CN"/>
        </w:rPr>
        <w:t>3</w:t>
      </w:r>
      <w:r>
        <w:rPr>
          <w:rFonts w:hint="eastAsia" w:ascii="仿宋_GB2312" w:eastAsia="仿宋_GB2312"/>
          <w:b w:val="0"/>
          <w:bCs/>
          <w:color w:val="auto"/>
          <w:sz w:val="32"/>
          <w:szCs w:val="32"/>
          <w:highlight w:val="none"/>
          <w:shd w:val="clear" w:color="auto" w:fill="auto"/>
          <w:lang w:val="en-US" w:eastAsia="zh-CN"/>
        </w:rPr>
        <w:t>协同控制的思路，持续深化大气污染防治“一微克”行动。</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坚持源头替代、过程控制“双向发力”，深化挥发性有机物综合治理。积极推广新能源车使用，加强重点行业VOCs全流程管控。</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坚持移动源、固定源“两手抓”，实施氮氧化物减排行动。优化车辆结构，强化车辆排放监管，全年在进京路口和</w:t>
      </w:r>
      <w:r>
        <w:rPr>
          <w:rFonts w:hint="eastAsia"/>
          <w:b w:val="0"/>
          <w:bCs/>
          <w:color w:val="auto"/>
          <w:sz w:val="32"/>
          <w:szCs w:val="32"/>
          <w:highlight w:val="none"/>
          <w:shd w:val="clear" w:color="auto" w:fill="auto"/>
          <w:lang w:val="en-US" w:eastAsia="zh-CN"/>
        </w:rPr>
        <w:t>区</w:t>
      </w:r>
      <w:r>
        <w:rPr>
          <w:rFonts w:hint="eastAsia" w:ascii="仿宋_GB2312" w:eastAsia="仿宋_GB2312"/>
          <w:b w:val="0"/>
          <w:bCs/>
          <w:color w:val="auto"/>
          <w:sz w:val="32"/>
          <w:szCs w:val="32"/>
          <w:highlight w:val="none"/>
          <w:shd w:val="clear" w:color="auto" w:fill="auto"/>
          <w:lang w:val="en-US" w:eastAsia="zh-CN"/>
        </w:rPr>
        <w:t>内主要道路至少完成24.5万辆次重型柴油车检查任务；推进无煤区建设，有序推进40个山区村庄煤改清洁能源工作。</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坚持提升裸地、道路、施工等领域扬尘分类管控。持续推进“基本无裸露区”建设，提升精细化管理水平，全年降尘量控制在5吨/平方公里·月左右（扣除沙尘影响）。</w:t>
      </w:r>
      <w:r>
        <w:rPr>
          <w:rFonts w:hint="eastAsia" w:ascii="仿宋_GB2312" w:eastAsia="仿宋_GB2312"/>
          <w:b/>
          <w:bCs w:val="0"/>
          <w:color w:val="auto"/>
          <w:sz w:val="32"/>
          <w:szCs w:val="32"/>
          <w:highlight w:val="none"/>
          <w:shd w:val="clear" w:color="auto" w:fill="auto"/>
          <w:lang w:val="en-US" w:eastAsia="zh-CN"/>
        </w:rPr>
        <w:t>四是</w:t>
      </w:r>
      <w:r>
        <w:rPr>
          <w:rFonts w:hint="eastAsia" w:ascii="仿宋_GB2312" w:eastAsia="仿宋_GB2312"/>
          <w:b w:val="0"/>
          <w:bCs/>
          <w:color w:val="auto"/>
          <w:sz w:val="32"/>
          <w:szCs w:val="32"/>
          <w:highlight w:val="none"/>
          <w:shd w:val="clear" w:color="auto" w:fill="auto"/>
          <w:lang w:val="en-US" w:eastAsia="zh-CN"/>
        </w:rPr>
        <w:t>坚持关键时段、重点领域“双管齐下”，加强联防联控。强化污染应对，落实应急预案，更新完善应急减排清单，实施分类、分级差异化管理。</w:t>
      </w:r>
      <w:r>
        <w:rPr>
          <w:rFonts w:hint="eastAsia" w:ascii="仿宋_GB2312" w:eastAsia="仿宋_GB2312"/>
          <w:b/>
          <w:bCs w:val="0"/>
          <w:color w:val="auto"/>
          <w:sz w:val="32"/>
          <w:szCs w:val="32"/>
          <w:highlight w:val="none"/>
          <w:shd w:val="clear" w:color="auto" w:fill="auto"/>
          <w:lang w:val="en-US" w:eastAsia="zh-CN"/>
        </w:rPr>
        <w:t>五是</w:t>
      </w:r>
      <w:r>
        <w:rPr>
          <w:rFonts w:hint="eastAsia" w:ascii="仿宋_GB2312" w:eastAsia="仿宋_GB2312"/>
          <w:b w:val="0"/>
          <w:bCs/>
          <w:color w:val="auto"/>
          <w:sz w:val="32"/>
          <w:szCs w:val="32"/>
          <w:highlight w:val="none"/>
          <w:shd w:val="clear" w:color="auto" w:fill="auto"/>
          <w:lang w:val="en-US" w:eastAsia="zh-CN"/>
        </w:rPr>
        <w:t>坚持提升科技水平，推进大气环境治理体系治理能力现代化。组织开展贯穿全年的环境问题专项执法检查，充分应用“一微克”精细化管理平台，形成问题快速发现、快速处置、快速督办、快速解决的工作闭环。</w:t>
      </w:r>
      <w:r>
        <w:rPr>
          <w:rFonts w:hint="eastAsia" w:ascii="仿宋_GB2312" w:eastAsia="仿宋_GB2312"/>
          <w:b/>
          <w:bCs w:val="0"/>
          <w:color w:val="auto"/>
          <w:sz w:val="32"/>
          <w:szCs w:val="32"/>
          <w:highlight w:val="none"/>
          <w:shd w:val="clear" w:color="auto" w:fill="auto"/>
          <w:lang w:val="en-US" w:eastAsia="zh-CN"/>
        </w:rPr>
        <w:t>六是</w:t>
      </w:r>
      <w:r>
        <w:rPr>
          <w:rFonts w:hint="eastAsia" w:ascii="仿宋_GB2312" w:eastAsia="仿宋_GB2312"/>
          <w:b w:val="0"/>
          <w:bCs/>
          <w:color w:val="auto"/>
          <w:sz w:val="32"/>
          <w:szCs w:val="32"/>
          <w:highlight w:val="none"/>
          <w:shd w:val="clear" w:color="auto" w:fill="auto"/>
          <w:lang w:val="en-US" w:eastAsia="zh-CN"/>
        </w:rPr>
        <w:t>坚持噪声综合整治，提升防治能力。完成声环境功能区划分情况评估；加大工业、商业、服务业、交通等领域噪声综合整治。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）水污染防治202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水污染防治共</w:t>
      </w:r>
      <w:r>
        <w:rPr>
          <w:rFonts w:hint="eastAsia"/>
          <w:color w:val="auto"/>
          <w:sz w:val="32"/>
          <w:szCs w:val="32"/>
          <w:highlight w:val="none"/>
          <w:lang w:val="en-US" w:eastAsia="zh-CN"/>
        </w:rPr>
        <w:t>19</w:t>
      </w:r>
      <w:r>
        <w:rPr>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按照“三水统筹”思路，全面推进水污染防治工作。</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加强区域协同治理。落实《北京市密云水库流域水生态保护与发展规划（2020 年-2035 年）》《北京市密云水库</w:t>
      </w:r>
      <w:r>
        <w:rPr>
          <w:rFonts w:hint="eastAsia"/>
          <w:b w:val="0"/>
          <w:bCs/>
          <w:color w:val="auto"/>
          <w:sz w:val="32"/>
          <w:szCs w:val="32"/>
          <w:highlight w:val="none"/>
          <w:shd w:val="clear" w:color="auto" w:fill="auto"/>
          <w:lang w:val="en-US" w:eastAsia="zh-CN"/>
        </w:rPr>
        <w:t>上游</w:t>
      </w:r>
      <w:r>
        <w:rPr>
          <w:rFonts w:hint="eastAsia" w:ascii="仿宋_GB2312" w:eastAsia="仿宋_GB2312"/>
          <w:b w:val="0"/>
          <w:bCs/>
          <w:color w:val="auto"/>
          <w:sz w:val="32"/>
          <w:szCs w:val="32"/>
          <w:highlight w:val="none"/>
          <w:shd w:val="clear" w:color="auto" w:fill="auto"/>
          <w:lang w:val="en-US" w:eastAsia="zh-CN"/>
        </w:rPr>
        <w:t>地区空间保护规划( 2021-2035 年)》《密云水库上游流域“两市三区”生态环境联建联防联治合作协议》要求，推进生态保护和绿色发展、生态空间管控等重点工作，持续深化联建联防联治合作机制；继续实施潮河流域生态环境综合规划，加快编制实施白河流域综合规划；落实《密云区密云水库总氮治理工作方案（2022年-2025年）》，科学、精准管</w:t>
      </w:r>
      <w:r>
        <w:rPr>
          <w:rFonts w:hint="eastAsia"/>
          <w:b w:val="0"/>
          <w:bCs/>
          <w:color w:val="auto"/>
          <w:sz w:val="32"/>
          <w:szCs w:val="32"/>
          <w:highlight w:val="none"/>
          <w:shd w:val="clear" w:color="auto" w:fill="auto"/>
          <w:lang w:val="en-US" w:eastAsia="zh-CN"/>
        </w:rPr>
        <w:t>控</w:t>
      </w:r>
      <w:r>
        <w:rPr>
          <w:rFonts w:hint="eastAsia" w:ascii="仿宋_GB2312" w:eastAsia="仿宋_GB2312"/>
          <w:b w:val="0"/>
          <w:bCs/>
          <w:color w:val="auto"/>
          <w:sz w:val="32"/>
          <w:szCs w:val="32"/>
          <w:highlight w:val="none"/>
          <w:shd w:val="clear" w:color="auto" w:fill="auto"/>
          <w:lang w:val="en-US" w:eastAsia="zh-CN"/>
        </w:rPr>
        <w:t>总氮；实施全市最严的水环境跨界断面考核补偿，促进水环境质量持续改善。</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加强水资源保护。开展全区饮用水水源地环境状况调查评估，组织水源地专项执法和日常监管，落实地下水水质保持方案，定期开展环境质量监测和监督性监测，实施用水总量管控。</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加强水环境治理。实施第四个三年城市水环境治理三年行动方案，加大雨污混接错接排查整治力度，持续开展“清管行动”“清河行动”，推进农村环境整治，防</w:t>
      </w:r>
      <w:r>
        <w:rPr>
          <w:rFonts w:hint="eastAsia"/>
          <w:b w:val="0"/>
          <w:bCs/>
          <w:color w:val="auto"/>
          <w:sz w:val="32"/>
          <w:szCs w:val="32"/>
          <w:highlight w:val="none"/>
          <w:shd w:val="clear" w:color="auto" w:fill="auto"/>
          <w:lang w:val="en-US" w:eastAsia="zh-CN"/>
        </w:rPr>
        <w:t>止</w:t>
      </w:r>
      <w:r>
        <w:rPr>
          <w:rFonts w:hint="eastAsia" w:ascii="仿宋_GB2312" w:eastAsia="仿宋_GB2312"/>
          <w:b w:val="0"/>
          <w:bCs/>
          <w:color w:val="auto"/>
          <w:sz w:val="32"/>
          <w:szCs w:val="32"/>
          <w:highlight w:val="none"/>
          <w:shd w:val="clear" w:color="auto" w:fill="auto"/>
          <w:lang w:val="en-US" w:eastAsia="zh-CN"/>
        </w:rPr>
        <w:t>工业污染，监管入河排污口，落实医疗机构污水监管，加强污染减排与生态扩容。</w:t>
      </w:r>
      <w:r>
        <w:rPr>
          <w:rFonts w:hint="eastAsia" w:ascii="仿宋_GB2312" w:eastAsia="仿宋_GB2312"/>
          <w:b/>
          <w:bCs w:val="0"/>
          <w:color w:val="auto"/>
          <w:sz w:val="32"/>
          <w:szCs w:val="32"/>
          <w:highlight w:val="none"/>
          <w:shd w:val="clear" w:color="auto" w:fill="auto"/>
          <w:lang w:val="en-US" w:eastAsia="zh-CN"/>
        </w:rPr>
        <w:t>四是</w:t>
      </w:r>
      <w:r>
        <w:rPr>
          <w:rFonts w:hint="eastAsia" w:ascii="仿宋_GB2312" w:eastAsia="仿宋_GB2312"/>
          <w:b w:val="0"/>
          <w:bCs/>
          <w:color w:val="auto"/>
          <w:sz w:val="32"/>
          <w:szCs w:val="32"/>
          <w:highlight w:val="none"/>
          <w:shd w:val="clear" w:color="auto" w:fill="auto"/>
          <w:lang w:val="en-US" w:eastAsia="zh-CN"/>
        </w:rPr>
        <w:t>加强水生态修复。逐步恢复河道生态基流，继续实施潮白河流域生态补水；推进区域再生水循环利用，鼓励再生水用于河湖生态补水；提升水生态系统健康，推进白马关河等生态修复项目建设；开展水生态监测评估，完善水生态监测及综合评价体系，开展水生态环境状况监测评价</w:t>
      </w:r>
      <w:r>
        <w:rPr>
          <w:rFonts w:hint="eastAsia"/>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）土壤污染防治202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rFonts w:hint="eastAsia"/>
          <w:color w:val="auto"/>
          <w:sz w:val="32"/>
          <w:szCs w:val="32"/>
          <w:highlight w:val="none"/>
        </w:rPr>
        <w:t>土壤污染防治共17项重点任务，</w:t>
      </w:r>
      <w:r>
        <w:rPr>
          <w:rFonts w:hint="eastAsia" w:ascii="仿宋_GB2312" w:eastAsia="仿宋_GB2312"/>
          <w:b w:val="0"/>
          <w:bCs/>
          <w:color w:val="auto"/>
          <w:sz w:val="32"/>
          <w:szCs w:val="32"/>
          <w:highlight w:val="none"/>
          <w:shd w:val="clear" w:color="auto" w:fill="auto"/>
          <w:lang w:val="en-US" w:eastAsia="zh-CN"/>
        </w:rPr>
        <w:t>按照“严预防、控风险、强基础”的思路，加强“三地”管控。</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持续加强建设用地风险防控。预防新建工业企业土壤污染，规范土壤重点监管单位管理，防控涉重金属重点行业污染，开展关停企业原址用地筛查，推进“无废城市”建设，依法督促“一住两公”用地开展土壤污染状况调查，确保重点建设用地安全利用率达到100%。</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持续推进农用地安全利用。强化种养殖业土壤污染源头防控，开展化肥农药减量行动，调查监测农膜及农药包装废弃物回收情况，完善畜禽粪污还田利用管理机制。细化农用地分类管理，食用农产品“产出一季，检测一季”，确保受污染耕地安全利用率达到95%以上。</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持续强化未利用地保护。防控未利用地土壤污染，加强巡查检查。强化尾矿库和尾矿砂堆安全管理，按照“一库一策”落实安全管理措施。</w:t>
      </w:r>
      <w:r>
        <w:rPr>
          <w:rFonts w:hint="eastAsia" w:ascii="仿宋_GB2312" w:eastAsia="仿宋_GB2312"/>
          <w:b/>
          <w:bCs w:val="0"/>
          <w:color w:val="auto"/>
          <w:sz w:val="32"/>
          <w:szCs w:val="32"/>
          <w:highlight w:val="none"/>
          <w:shd w:val="clear" w:color="auto" w:fill="auto"/>
          <w:lang w:val="en-US" w:eastAsia="zh-CN"/>
        </w:rPr>
        <w:t>四是</w:t>
      </w:r>
      <w:r>
        <w:rPr>
          <w:rFonts w:hint="eastAsia" w:ascii="仿宋_GB2312" w:eastAsia="仿宋_GB2312"/>
          <w:b w:val="0"/>
          <w:bCs/>
          <w:color w:val="auto"/>
          <w:sz w:val="32"/>
          <w:szCs w:val="32"/>
          <w:highlight w:val="none"/>
          <w:shd w:val="clear" w:color="auto" w:fill="auto"/>
          <w:lang w:val="en-US" w:eastAsia="zh-CN"/>
        </w:rPr>
        <w:t>持续提升现代化治理能力。落实疫情防控要求，加强重点生活垃圾管控，健全小微医疗机构医废收运体系。开展工业污染源头及农业面源监测。强化执法监管，加强土壤污染防治执法检查</w:t>
      </w:r>
      <w:r>
        <w:rPr>
          <w:rFonts w:hint="eastAsia"/>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（五）生态保护202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eastAsia="仿宋_GB2312"/>
          <w:color w:val="auto"/>
          <w:sz w:val="32"/>
          <w:szCs w:val="32"/>
          <w:highlight w:val="none"/>
          <w:lang w:eastAsia="zh-CN"/>
        </w:rPr>
      </w:pPr>
      <w:r>
        <w:rPr>
          <w:rFonts w:hint="eastAsia"/>
          <w:color w:val="auto"/>
          <w:sz w:val="32"/>
          <w:szCs w:val="32"/>
          <w:highlight w:val="none"/>
        </w:rPr>
        <w:t>生态保护共 16 项重点任务，</w:t>
      </w:r>
      <w:r>
        <w:rPr>
          <w:rFonts w:hint="eastAsia" w:ascii="仿宋_GB2312" w:eastAsia="仿宋_GB2312"/>
          <w:b w:val="0"/>
          <w:bCs/>
          <w:color w:val="auto"/>
          <w:sz w:val="32"/>
          <w:szCs w:val="32"/>
          <w:highlight w:val="none"/>
          <w:shd w:val="clear" w:color="auto" w:fill="auto"/>
          <w:lang w:val="en-US" w:eastAsia="zh-CN"/>
        </w:rPr>
        <w:t>以提升生态系统多样性、稳定性、持续性为目标，全面加强生态保护。</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强化生物多样性保护。建立部门会商和信息共享等工作机制；编制密云区生物多样性保护规划，构建生态廊道；强化外来入侵物种防控，保护重点生物遗传资源；加强监测评估和执法检查，开展生物多样性本底调查。</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维护生态空间格局稳定性。深化生态保护红线划定成果应用；提升自然保护地监督管理水平，推进我区风景名胜区整合优化，加强自然保护地监督管理；加强资源开发利用活动监督；统筹推进实施生态保护修复。</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促进生态保护可持续发展。探索开展生态产品总值核算；巩固“国家生态文明建设示范区”和“两山”实践创新基地创建成果；加强国家重点生态功能区域生态环境质量监测与评价工作；持续深化和巩固国家森林城市建设成果；持续推进“国家环境保护模范城市”创建工作</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color w:val="auto"/>
          <w:sz w:val="32"/>
          <w:szCs w:val="32"/>
          <w:highlight w:val="none"/>
        </w:rPr>
      </w:pPr>
    </w:p>
    <w:p>
      <w:pPr>
        <w:spacing w:line="560" w:lineRule="exact"/>
        <w:ind w:firstLine="640" w:firstLineChars="200"/>
        <w:rPr>
          <w:rFonts w:hint="eastAsia" w:eastAsia="仿宋_GB2312"/>
          <w:color w:val="auto"/>
          <w:w w:val="90"/>
          <w:sz w:val="32"/>
          <w:szCs w:val="32"/>
          <w:highlight w:val="none"/>
          <w:lang w:eastAsia="zh-CN"/>
        </w:rPr>
      </w:pPr>
      <w:r>
        <w:rPr>
          <w:color w:val="auto"/>
          <w:sz w:val="32"/>
          <w:szCs w:val="32"/>
          <w:highlight w:val="none"/>
        </w:rPr>
        <w:t>附件</w:t>
      </w:r>
      <w:r>
        <w:rPr>
          <w:rFonts w:hint="eastAsia"/>
          <w:color w:val="auto"/>
          <w:w w:val="90"/>
          <w:sz w:val="32"/>
          <w:szCs w:val="32"/>
          <w:highlight w:val="none"/>
          <w:lang w:eastAsia="zh-CN"/>
        </w:rPr>
        <w:t>：</w:t>
      </w:r>
      <w:r>
        <w:rPr>
          <w:rFonts w:hint="eastAsia"/>
          <w:color w:val="auto"/>
          <w:w w:val="90"/>
          <w:sz w:val="32"/>
          <w:szCs w:val="32"/>
          <w:highlight w:val="none"/>
          <w:lang w:val="en-US" w:eastAsia="zh-CN"/>
        </w:rPr>
        <w:t xml:space="preserve"> </w:t>
      </w:r>
      <w:r>
        <w:rPr>
          <w:rFonts w:hint="eastAsia"/>
          <w:color w:val="auto"/>
          <w:spacing w:val="-23"/>
          <w:w w:val="90"/>
          <w:sz w:val="32"/>
          <w:szCs w:val="32"/>
          <w:highlight w:val="none"/>
          <w:lang w:val="en-US" w:eastAsia="zh-CN"/>
        </w:rPr>
        <w:t>1.</w:t>
      </w:r>
      <w:r>
        <w:rPr>
          <w:color w:val="auto"/>
          <w:spacing w:val="-23"/>
          <w:w w:val="90"/>
          <w:sz w:val="32"/>
          <w:szCs w:val="32"/>
          <w:highlight w:val="none"/>
        </w:rPr>
        <w:t>北京市密云区应对气候变化202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spacing w:line="560" w:lineRule="exact"/>
        <w:ind w:firstLine="1694" w:firstLineChars="700"/>
        <w:rPr>
          <w:color w:val="auto"/>
          <w:w w:val="90"/>
          <w:sz w:val="32"/>
          <w:szCs w:val="32"/>
          <w:highlight w:val="none"/>
        </w:rPr>
      </w:pPr>
      <w:r>
        <w:rPr>
          <w:rFonts w:hint="eastAsia"/>
          <w:color w:val="auto"/>
          <w:spacing w:val="-23"/>
          <w:w w:val="90"/>
          <w:sz w:val="32"/>
          <w:szCs w:val="32"/>
          <w:highlight w:val="none"/>
          <w:lang w:val="en-US" w:eastAsia="zh-CN"/>
        </w:rPr>
        <w:t>2.</w:t>
      </w:r>
      <w:r>
        <w:rPr>
          <w:color w:val="auto"/>
          <w:spacing w:val="-23"/>
          <w:w w:val="90"/>
          <w:sz w:val="32"/>
          <w:szCs w:val="32"/>
          <w:highlight w:val="none"/>
        </w:rPr>
        <w:t>北京市密云区大气污染防治202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spacing w:line="560" w:lineRule="exact"/>
        <w:ind w:firstLine="1694" w:firstLineChars="700"/>
        <w:rPr>
          <w:color w:val="auto"/>
          <w:w w:val="90"/>
          <w:sz w:val="32"/>
          <w:szCs w:val="32"/>
          <w:highlight w:val="none"/>
        </w:rPr>
      </w:pPr>
      <w:r>
        <w:rPr>
          <w:rFonts w:hint="eastAsia"/>
          <w:color w:val="auto"/>
          <w:spacing w:val="-23"/>
          <w:w w:val="90"/>
          <w:sz w:val="32"/>
          <w:szCs w:val="32"/>
          <w:highlight w:val="none"/>
          <w:lang w:val="en-US" w:eastAsia="zh-CN"/>
        </w:rPr>
        <w:t>3.</w:t>
      </w:r>
      <w:r>
        <w:rPr>
          <w:color w:val="auto"/>
          <w:spacing w:val="-23"/>
          <w:w w:val="90"/>
          <w:sz w:val="32"/>
          <w:szCs w:val="32"/>
          <w:highlight w:val="none"/>
        </w:rPr>
        <w:t>北京市密云区水污染防治202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spacing w:line="560" w:lineRule="exact"/>
        <w:ind w:firstLine="1694" w:firstLineChars="700"/>
        <w:rPr>
          <w:color w:val="auto"/>
          <w:w w:val="90"/>
          <w:sz w:val="32"/>
          <w:szCs w:val="32"/>
          <w:highlight w:val="none"/>
        </w:rPr>
      </w:pPr>
      <w:r>
        <w:rPr>
          <w:rFonts w:hint="eastAsia"/>
          <w:color w:val="auto"/>
          <w:spacing w:val="-23"/>
          <w:w w:val="90"/>
          <w:sz w:val="32"/>
          <w:szCs w:val="32"/>
          <w:highlight w:val="none"/>
          <w:lang w:val="en-US" w:eastAsia="zh-CN"/>
        </w:rPr>
        <w:t>4.</w:t>
      </w:r>
      <w:r>
        <w:rPr>
          <w:color w:val="auto"/>
          <w:spacing w:val="-23"/>
          <w:w w:val="90"/>
          <w:sz w:val="32"/>
          <w:szCs w:val="32"/>
          <w:highlight w:val="none"/>
        </w:rPr>
        <w:t>北京市密云区土壤污染防治202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spacing w:line="560" w:lineRule="exact"/>
        <w:ind w:firstLine="1694" w:firstLineChars="700"/>
        <w:rPr>
          <w:rFonts w:hint="eastAsia" w:ascii="仿宋_GB2312" w:eastAsia="仿宋_GB2312"/>
          <w:color w:val="auto"/>
          <w:spacing w:val="-12"/>
          <w:sz w:val="32"/>
          <w:szCs w:val="32"/>
          <w:highlight w:val="none"/>
        </w:rPr>
      </w:pPr>
      <w:r>
        <w:rPr>
          <w:rFonts w:hint="eastAsia"/>
          <w:color w:val="auto"/>
          <w:spacing w:val="-23"/>
          <w:w w:val="90"/>
          <w:sz w:val="32"/>
          <w:szCs w:val="32"/>
          <w:highlight w:val="none"/>
          <w:lang w:val="en-US" w:eastAsia="zh-CN"/>
        </w:rPr>
        <w:t>5.</w:t>
      </w:r>
      <w:r>
        <w:rPr>
          <w:color w:val="auto"/>
          <w:spacing w:val="-23"/>
          <w:w w:val="90"/>
          <w:sz w:val="32"/>
          <w:szCs w:val="32"/>
          <w:highlight w:val="none"/>
        </w:rPr>
        <w:t>北京市密云区生态保护202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sectPr>
          <w:footerReference r:id="rId5" w:type="default"/>
          <w:pgSz w:w="11906" w:h="16838"/>
          <w:pgMar w:top="1984" w:right="1474" w:bottom="2098" w:left="1587" w:header="851" w:footer="992" w:gutter="0"/>
          <w:pgNumType w:fmt="numberInDash"/>
          <w:cols w:space="0" w:num="1"/>
          <w:rtlGutter w:val="0"/>
          <w:docGrid w:type="lines" w:linePitch="312" w:charSpace="0"/>
        </w:sectPr>
      </w:pPr>
    </w:p>
    <w:p>
      <w:pPr>
        <w:pStyle w:val="3"/>
        <w:ind w:left="0" w:leftChars="0" w:firstLine="0" w:firstLineChars="0"/>
        <w:rPr>
          <w:rFonts w:hint="eastAsia"/>
          <w:color w:val="auto"/>
          <w:sz w:val="32"/>
          <w:szCs w:val="32"/>
          <w:highlight w:val="none"/>
          <w:lang w:val="en-US"/>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黑体" w:hAnsi="黑体" w:eastAsia="方正小标宋_GBK" w:cs="黑体"/>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rPr>
        <w:t>北京市密云区应对气候变化2023年行动计划</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tbl>
      <w:tblPr>
        <w:tblStyle w:val="13"/>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14"/>
        <w:gridCol w:w="5880"/>
        <w:gridCol w:w="1191"/>
        <w:gridCol w:w="2263"/>
        <w:gridCol w:w="8"/>
        <w:gridCol w:w="3"/>
        <w:gridCol w:w="12"/>
        <w:gridCol w:w="228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6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序号</w:t>
            </w:r>
          </w:p>
        </w:tc>
        <w:tc>
          <w:tcPr>
            <w:tcW w:w="914" w:type="dxa"/>
            <w:tcBorders>
              <w:top w:val="single" w:color="auto" w:sz="4" w:space="0"/>
              <w:left w:val="nil"/>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重点任务</w:t>
            </w:r>
          </w:p>
        </w:tc>
        <w:tc>
          <w:tcPr>
            <w:tcW w:w="5880" w:type="dxa"/>
            <w:tcBorders>
              <w:top w:val="single" w:color="auto" w:sz="4" w:space="0"/>
              <w:left w:val="nil"/>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工作措施</w:t>
            </w:r>
          </w:p>
        </w:tc>
        <w:tc>
          <w:tcPr>
            <w:tcW w:w="1191"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完成时限</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牵头部门</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主责单位</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b/>
                <w:bCs/>
                <w:color w:val="auto"/>
                <w:kern w:val="0"/>
                <w:sz w:val="28"/>
                <w:szCs w:val="28"/>
                <w:highlight w:val="none"/>
              </w:rPr>
            </w:pPr>
            <w:r>
              <w:rPr>
                <w:rFonts w:hint="eastAsia" w:ascii="黑体" w:hAnsi="黑体" w:eastAsia="黑体"/>
                <w:color w:val="auto"/>
                <w:kern w:val="0"/>
                <w:sz w:val="28"/>
                <w:szCs w:val="28"/>
                <w:highlight w:val="none"/>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1</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温室气体排放控制目标</w:t>
            </w:r>
          </w:p>
        </w:tc>
        <w:tc>
          <w:tcPr>
            <w:tcW w:w="5880" w:type="dxa"/>
            <w:tcBorders>
              <w:top w:val="single" w:color="auto" w:sz="4" w:space="0"/>
              <w:left w:val="nil"/>
              <w:bottom w:val="single" w:color="auto" w:sz="4" w:space="0"/>
              <w:right w:val="single" w:color="auto" w:sz="4" w:space="0"/>
            </w:tcBorders>
            <w:vAlign w:val="center"/>
          </w:tcPr>
          <w:p>
            <w:pPr>
              <w:spacing w:line="360" w:lineRule="exact"/>
              <w:jc w:val="both"/>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切实控制温室气体排放,碳排放总量得到有效控制。</w:t>
            </w:r>
            <w:r>
              <w:rPr>
                <w:rFonts w:hint="eastAsia" w:ascii="仿宋_GB2312" w:eastAsia="仿宋_GB2312"/>
                <w:color w:val="auto"/>
                <w:kern w:val="0"/>
                <w:sz w:val="28"/>
                <w:szCs w:val="28"/>
                <w:highlight w:val="none"/>
                <w:lang w:eastAsia="zh-CN"/>
              </w:rPr>
              <w:t>完成市级下达全区</w:t>
            </w:r>
            <w:r>
              <w:rPr>
                <w:rFonts w:hint="eastAsia" w:ascii="仿宋_GB2312" w:eastAsia="仿宋_GB2312"/>
                <w:color w:val="auto"/>
                <w:kern w:val="0"/>
                <w:sz w:val="28"/>
                <w:szCs w:val="28"/>
                <w:highlight w:val="none"/>
              </w:rPr>
              <w:t>碳排放强度同比</w:t>
            </w:r>
            <w:r>
              <w:rPr>
                <w:rFonts w:hint="eastAsia"/>
                <w:color w:val="auto"/>
                <w:kern w:val="0"/>
                <w:sz w:val="28"/>
                <w:szCs w:val="28"/>
                <w:highlight w:val="none"/>
                <w:lang w:eastAsia="zh-CN"/>
              </w:rPr>
              <w:t>下降</w:t>
            </w:r>
            <w:r>
              <w:rPr>
                <w:rFonts w:hint="eastAsia" w:ascii="仿宋_GB2312" w:eastAsia="仿宋_GB2312"/>
                <w:color w:val="auto"/>
                <w:kern w:val="0"/>
                <w:sz w:val="28"/>
                <w:szCs w:val="28"/>
                <w:highlight w:val="none"/>
                <w:lang w:val="en-US" w:eastAsia="zh-CN"/>
              </w:rPr>
              <w:t>目标，</w:t>
            </w:r>
            <w:r>
              <w:rPr>
                <w:rFonts w:hint="eastAsia" w:ascii="仿宋_GB2312" w:eastAsia="仿宋_GB2312"/>
                <w:color w:val="auto"/>
                <w:kern w:val="0"/>
                <w:sz w:val="28"/>
                <w:szCs w:val="28"/>
                <w:highlight w:val="none"/>
              </w:rPr>
              <w:t>碳排放总量得到有效控制。</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区发改委</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黑体" w:hAnsi="黑体" w:eastAsia="黑体"/>
                <w:color w:val="auto"/>
                <w:kern w:val="0"/>
                <w:sz w:val="28"/>
                <w:szCs w:val="28"/>
                <w:highlight w:val="none"/>
              </w:rPr>
              <w:t>二、完善应对气候变化综合管理制度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2</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构建碳达峰碳中和政策体系</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spacing w:val="-6"/>
                <w:kern w:val="0"/>
                <w:sz w:val="28"/>
                <w:szCs w:val="28"/>
                <w:highlight w:val="none"/>
              </w:rPr>
            </w:pPr>
            <w:r>
              <w:rPr>
                <w:rFonts w:hint="eastAsia" w:ascii="仿宋_GB2312" w:eastAsia="仿宋_GB2312"/>
                <w:color w:val="auto"/>
                <w:kern w:val="0"/>
                <w:sz w:val="28"/>
                <w:szCs w:val="28"/>
                <w:highlight w:val="none"/>
              </w:rPr>
              <w:t>编制</w:t>
            </w:r>
            <w:r>
              <w:rPr>
                <w:rFonts w:hint="eastAsia" w:ascii="仿宋_GB2312" w:eastAsia="仿宋_GB2312"/>
                <w:color w:val="auto"/>
                <w:kern w:val="0"/>
                <w:sz w:val="28"/>
                <w:szCs w:val="28"/>
                <w:highlight w:val="none"/>
                <w:lang w:eastAsia="zh-CN"/>
              </w:rPr>
              <w:t>印发</w:t>
            </w:r>
            <w:r>
              <w:rPr>
                <w:rFonts w:hint="eastAsia" w:ascii="仿宋_GB2312" w:eastAsia="仿宋_GB2312"/>
                <w:color w:val="auto"/>
                <w:kern w:val="0"/>
                <w:sz w:val="28"/>
                <w:szCs w:val="28"/>
                <w:highlight w:val="none"/>
              </w:rPr>
              <w:t>《密云区碳达峰实施方案》</w:t>
            </w:r>
            <w:r>
              <w:rPr>
                <w:rFonts w:hint="eastAsia" w:ascii="仿宋_GB2312" w:eastAsia="仿宋_GB2312"/>
                <w:color w:val="auto"/>
                <w:kern w:val="0"/>
                <w:sz w:val="28"/>
                <w:szCs w:val="28"/>
                <w:highlight w:val="none"/>
                <w:lang w:eastAsia="zh-CN"/>
              </w:rPr>
              <w:t>。明确</w:t>
            </w:r>
            <w:r>
              <w:rPr>
                <w:rFonts w:hint="eastAsia" w:ascii="仿宋_GB2312" w:eastAsia="仿宋_GB2312"/>
                <w:color w:val="auto"/>
                <w:kern w:val="0"/>
                <w:sz w:val="28"/>
                <w:szCs w:val="28"/>
                <w:highlight w:val="none"/>
              </w:rPr>
              <w:t>能效碳效、能源绿色低碳发展、科技创新、</w:t>
            </w:r>
            <w:r>
              <w:rPr>
                <w:rFonts w:hint="eastAsia" w:ascii="仿宋_GB2312" w:eastAsia="仿宋_GB2312"/>
                <w:color w:val="auto"/>
                <w:spacing w:val="-6"/>
                <w:kern w:val="0"/>
                <w:sz w:val="28"/>
                <w:szCs w:val="28"/>
                <w:highlight w:val="none"/>
              </w:rPr>
              <w:t>机制创新、重点领域、生活理念等方面重点事项清单。</w:t>
            </w:r>
          </w:p>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制定能源、建筑、交通、</w:t>
            </w:r>
            <w:r>
              <w:rPr>
                <w:rFonts w:hint="eastAsia" w:ascii="仿宋_GB2312" w:eastAsia="仿宋_GB2312"/>
                <w:color w:val="auto"/>
                <w:kern w:val="0"/>
                <w:sz w:val="28"/>
                <w:szCs w:val="28"/>
                <w:highlight w:val="none"/>
                <w:lang w:eastAsia="zh-CN"/>
              </w:rPr>
              <w:t>工业、</w:t>
            </w:r>
            <w:r>
              <w:rPr>
                <w:rFonts w:hint="eastAsia" w:ascii="仿宋_GB2312" w:eastAsia="仿宋_GB2312"/>
                <w:color w:val="auto"/>
                <w:kern w:val="0"/>
                <w:sz w:val="28"/>
                <w:szCs w:val="28"/>
                <w:highlight w:val="none"/>
              </w:rPr>
              <w:t>科技等重点领域工作方案</w:t>
            </w:r>
            <w:r>
              <w:rPr>
                <w:rFonts w:hint="eastAsia" w:ascii="仿宋_GB2312" w:eastAsia="仿宋_GB2312"/>
                <w:color w:val="auto"/>
                <w:kern w:val="0"/>
                <w:sz w:val="28"/>
                <w:szCs w:val="28"/>
                <w:highlight w:val="none"/>
                <w:lang w:eastAsia="zh-CN"/>
              </w:rPr>
              <w:t>，明确各领域减碳目标任务，切实控制温室气体排放</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年</w:t>
            </w:r>
            <w:r>
              <w:rPr>
                <w:rFonts w:hint="eastAsia" w:ascii="仿宋_GB2312" w:eastAsia="仿宋_GB2312"/>
                <w:color w:val="auto"/>
                <w:kern w:val="0"/>
                <w:sz w:val="28"/>
                <w:szCs w:val="28"/>
                <w:highlight w:val="none"/>
              </w:rPr>
              <w:t>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区发改委</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区科委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其他各相关委办局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3</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强化碳排放“双控”制度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强化碳排放控制目标约束作用，研究推进将能耗“双控”向碳排放总量和强度“双控”转变。</w:t>
            </w:r>
          </w:p>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逐步推进在建设项目环境影响评价中开展碳排放评价。</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4</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积极推进碳排放权交易市场建设</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配合市局</w:t>
            </w:r>
            <w:r>
              <w:rPr>
                <w:rFonts w:hint="eastAsia" w:ascii="仿宋_GB2312" w:eastAsia="仿宋_GB2312"/>
                <w:color w:val="auto"/>
                <w:kern w:val="0"/>
                <w:sz w:val="28"/>
                <w:szCs w:val="28"/>
                <w:highlight w:val="none"/>
              </w:rPr>
              <w:t>开展2023年度碳排放权交易工作，</w:t>
            </w:r>
            <w:r>
              <w:rPr>
                <w:rFonts w:hint="eastAsia" w:ascii="仿宋_GB2312" w:eastAsia="仿宋_GB2312"/>
                <w:color w:val="auto"/>
                <w:kern w:val="0"/>
                <w:sz w:val="28"/>
                <w:szCs w:val="28"/>
                <w:highlight w:val="none"/>
                <w:lang w:eastAsia="zh-CN"/>
              </w:rPr>
              <w:t>组织重点碳排放单位和一般报告单位业务培训，并督促其完成数据报送和核查工作、按时足额履约</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区文旅局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5</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完善重点单位碳排放管理制度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强化企业减排主体责任，引导重点排放单位以节能减碳为目标，建立碳排放管理制度、加强技术更新改造、提升智能化管理水平、扩大新能源技术应用等，提升企业减排能力。</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74" w:type="dxa"/>
            <w:gridSpan w:val="3"/>
            <w:tcBorders>
              <w:top w:val="single" w:color="auto" w:sz="4" w:space="0"/>
              <w:left w:val="nil"/>
              <w:bottom w:val="single" w:color="auto" w:sz="4" w:space="0"/>
              <w:right w:val="single" w:color="auto" w:sz="4" w:space="0"/>
            </w:tcBorders>
            <w:vAlign w:val="center"/>
          </w:tcPr>
          <w:p>
            <w:pPr>
              <w:rPr>
                <w:color w:val="auto"/>
                <w:highlight w:val="none"/>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区卫健委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区文旅局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三、深入推进重点领域和重点区域温室气体排放控制工作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622" w:type="dxa"/>
            <w:tcBorders>
              <w:top w:val="nil"/>
              <w:left w:val="single" w:color="auto" w:sz="4" w:space="0"/>
              <w:right w:val="single" w:color="auto" w:sz="4" w:space="0"/>
            </w:tcBorders>
            <w:vAlign w:val="center"/>
          </w:tcPr>
          <w:p>
            <w:pPr>
              <w:widowControl/>
              <w:jc w:val="left"/>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6</w:t>
            </w:r>
          </w:p>
        </w:tc>
        <w:tc>
          <w:tcPr>
            <w:tcW w:w="914"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outlineLvl w:val="9"/>
              <w:rPr>
                <w:rFonts w:ascii="仿宋_GB2312" w:eastAsia="仿宋_GB2312"/>
                <w:color w:val="auto"/>
                <w:kern w:val="0"/>
                <w:sz w:val="28"/>
                <w:szCs w:val="28"/>
                <w:highlight w:val="none"/>
              </w:rPr>
            </w:pPr>
            <w:r>
              <w:rPr>
                <w:rFonts w:hint="eastAsia"/>
                <w:color w:val="auto"/>
                <w:sz w:val="28"/>
                <w:szCs w:val="28"/>
                <w:highlight w:val="none"/>
              </w:rPr>
              <w:t>推进能源低碳化发展</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lang w:eastAsia="zh-CN"/>
              </w:rPr>
            </w:pPr>
            <w:r>
              <w:rPr>
                <w:rFonts w:hint="eastAsia"/>
                <w:color w:val="auto"/>
                <w:sz w:val="28"/>
                <w:szCs w:val="28"/>
                <w:highlight w:val="none"/>
              </w:rPr>
              <w:t>大力开展能源节约和能效提升，万元GDP能耗</w:t>
            </w:r>
            <w:r>
              <w:rPr>
                <w:rFonts w:hint="eastAsia"/>
                <w:color w:val="auto"/>
                <w:sz w:val="28"/>
                <w:szCs w:val="28"/>
                <w:highlight w:val="none"/>
                <w:lang w:eastAsia="zh-CN"/>
              </w:rPr>
              <w:t>持续下降</w:t>
            </w:r>
            <w:r>
              <w:rPr>
                <w:rFonts w:hint="eastAsia"/>
                <w:color w:val="auto"/>
                <w:sz w:val="28"/>
                <w:szCs w:val="28"/>
                <w:highlight w:val="none"/>
                <w:lang w:val="en-US" w:eastAsia="zh-CN"/>
              </w:rPr>
              <w:t>;</w:t>
            </w:r>
            <w:r>
              <w:rPr>
                <w:rFonts w:hint="eastAsia"/>
                <w:color w:val="auto"/>
                <w:sz w:val="28"/>
                <w:szCs w:val="28"/>
                <w:highlight w:val="none"/>
              </w:rPr>
              <w:t>严控化石能源消费总量</w:t>
            </w:r>
            <w:r>
              <w:rPr>
                <w:rFonts w:hint="eastAsia"/>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rPr>
            </w:pPr>
            <w:r>
              <w:rPr>
                <w:rFonts w:hint="eastAsia"/>
                <w:color w:val="auto"/>
                <w:sz w:val="28"/>
                <w:szCs w:val="28"/>
                <w:highlight w:val="none"/>
              </w:rPr>
              <w:t>落实本市可再生能源替代方案，新增能源消费优先由可再生能源提供，可再生能源消费占比持续提升，</w:t>
            </w:r>
            <w:r>
              <w:rPr>
                <w:rFonts w:hint="eastAsia"/>
                <w:color w:val="auto"/>
                <w:sz w:val="28"/>
                <w:szCs w:val="28"/>
                <w:highlight w:val="none"/>
                <w:lang w:val="en-US" w:eastAsia="zh-CN"/>
              </w:rPr>
              <w:t>完成市级部门要求</w:t>
            </w:r>
            <w:r>
              <w:rPr>
                <w:rFonts w:hint="eastAsia"/>
                <w:color w:val="auto"/>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推动可再生能源规模化利用，大力发展本地热泵、光伏系统，科学开发利用中深层地热供暖，有序发展生物质能利用。</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sz w:val="28"/>
                <w:szCs w:val="28"/>
                <w:highlight w:val="none"/>
                <w:lang w:val="en-US" w:eastAsia="zh-CN"/>
              </w:rPr>
            </w:pPr>
            <w:r>
              <w:rPr>
                <w:rFonts w:hint="eastAsia"/>
                <w:color w:val="auto"/>
                <w:sz w:val="28"/>
                <w:szCs w:val="28"/>
                <w:highlight w:val="none"/>
              </w:rPr>
              <w:t>天然气消费规模控制在</w:t>
            </w:r>
            <w:r>
              <w:rPr>
                <w:rFonts w:hint="eastAsia"/>
                <w:color w:val="auto"/>
                <w:sz w:val="28"/>
                <w:szCs w:val="28"/>
                <w:highlight w:val="none"/>
                <w:lang w:val="en-US" w:eastAsia="zh-CN"/>
              </w:rPr>
              <w:t>2.08</w:t>
            </w:r>
            <w:r>
              <w:rPr>
                <w:rFonts w:hint="eastAsia"/>
                <w:color w:val="auto"/>
                <w:sz w:val="28"/>
                <w:szCs w:val="28"/>
                <w:highlight w:val="none"/>
              </w:rPr>
              <w:t>亿立方米左右。提高绿色电力应用规模，外调绿电达到</w:t>
            </w:r>
            <w:r>
              <w:rPr>
                <w:rFonts w:hint="eastAsia"/>
                <w:color w:val="auto"/>
                <w:sz w:val="28"/>
                <w:szCs w:val="28"/>
                <w:highlight w:val="none"/>
                <w:lang w:val="en-US" w:eastAsia="zh-CN"/>
              </w:rPr>
              <w:t>*</w:t>
            </w:r>
            <w:r>
              <w:rPr>
                <w:rFonts w:hint="eastAsia"/>
                <w:color w:val="auto"/>
                <w:sz w:val="28"/>
                <w:szCs w:val="28"/>
                <w:highlight w:val="none"/>
              </w:rPr>
              <w:t>亿千瓦时。</w:t>
            </w:r>
            <w:r>
              <w:rPr>
                <w:rFonts w:hint="eastAsia"/>
                <w:color w:val="auto"/>
                <w:sz w:val="28"/>
                <w:szCs w:val="28"/>
                <w:highlight w:val="none"/>
                <w:lang w:eastAsia="zh-CN"/>
              </w:rPr>
              <w:t>探索市场化绿电交易。</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区城管委</w:t>
            </w:r>
          </w:p>
          <w:p>
            <w:pPr>
              <w:widowControl/>
              <w:snapToGrid w:val="0"/>
              <w:jc w:val="center"/>
              <w:rPr>
                <w:rFonts w:hint="default"/>
                <w:color w:val="auto"/>
                <w:highlight w:val="none"/>
                <w:lang w:val="en-US" w:eastAsia="zh-CN"/>
              </w:rPr>
            </w:pPr>
            <w:r>
              <w:rPr>
                <w:rFonts w:hint="eastAsia" w:ascii="仿宋_GB2312"/>
                <w:color w:val="auto"/>
                <w:kern w:val="0"/>
                <w:sz w:val="28"/>
                <w:szCs w:val="28"/>
                <w:highlight w:val="none"/>
                <w:lang w:val="en-US" w:eastAsia="zh-CN"/>
              </w:rPr>
              <w:t>区发改委</w:t>
            </w:r>
          </w:p>
        </w:tc>
        <w:tc>
          <w:tcPr>
            <w:tcW w:w="2309" w:type="dxa"/>
            <w:gridSpan w:val="4"/>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区城管委</w:t>
            </w:r>
          </w:p>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区发改委</w:t>
            </w:r>
          </w:p>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国家电网密云供电公司</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widowControl/>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kern w:val="0"/>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7</w:t>
            </w:r>
          </w:p>
        </w:tc>
        <w:tc>
          <w:tcPr>
            <w:tcW w:w="91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构建绿色低碳产业体系</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推进传统行业的低碳化改造，依托工艺更新、重大节能装备等手段</w:t>
            </w:r>
            <w:r>
              <w:rPr>
                <w:rFonts w:ascii="仿宋_GB2312" w:eastAsia="仿宋_GB2312"/>
                <w:color w:val="auto"/>
                <w:kern w:val="0"/>
                <w:sz w:val="28"/>
                <w:szCs w:val="28"/>
                <w:highlight w:val="none"/>
                <w:lang w:val="en"/>
              </w:rPr>
              <w:t>,</w:t>
            </w:r>
            <w:r>
              <w:rPr>
                <w:rFonts w:hint="eastAsia" w:ascii="仿宋_GB2312" w:eastAsia="仿宋_GB2312"/>
                <w:color w:val="auto"/>
                <w:kern w:val="0"/>
                <w:sz w:val="28"/>
                <w:szCs w:val="28"/>
                <w:highlight w:val="none"/>
              </w:rPr>
              <w:t>推动汽车、医药等行业进行全生命周期绿色低碳化发展。</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落实数据中心减碳要求，强化数据中心绿色技术应用和改造，推进氢能、液体冷却、可再生能源等应用。鼓励数据中心采用余热回收利用措施为周边建筑提供热源。</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区经信局</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区发改委</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区科委</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区经信局</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区发改委</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中关村密云园</w:t>
            </w:r>
          </w:p>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pacing w:val="0"/>
                <w:kern w:val="0"/>
                <w:sz w:val="28"/>
                <w:szCs w:val="28"/>
                <w:highlight w:val="none"/>
                <w:lang w:eastAsia="zh-CN"/>
              </w:rPr>
              <w:t>区国资委</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8</w:t>
            </w:r>
          </w:p>
        </w:tc>
        <w:tc>
          <w:tcPr>
            <w:tcW w:w="914" w:type="dxa"/>
            <w:vMerge w:val="restart"/>
            <w:tcBorders>
              <w:top w:val="single" w:color="auto" w:sz="4" w:space="0"/>
              <w:left w:val="nil"/>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大力发展循环经济</w:t>
            </w: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推动园区开展绿色低碳循环化改造升级，强化园区资源梯级利用和系统优化。</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22" w:type="dxa"/>
            <w:vMerge w:val="continue"/>
            <w:tcBorders>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推进城市废弃物低碳协同处置，提升资源综合利用能力，提高再生资源回收率，加强建筑垃圾源头减量和分类回收，生活垃圾资源化利用率提升至</w:t>
            </w:r>
            <w:r>
              <w:rPr>
                <w:rFonts w:hint="eastAsia" w:ascii="仿宋_GB2312" w:eastAsia="仿宋_GB2312"/>
                <w:color w:val="auto"/>
                <w:kern w:val="0"/>
                <w:sz w:val="28"/>
                <w:szCs w:val="28"/>
                <w:highlight w:val="none"/>
                <w:lang w:val="en-US" w:eastAsia="zh-CN"/>
              </w:rPr>
              <w:t>78</w:t>
            </w:r>
            <w:r>
              <w:rPr>
                <w:rFonts w:hint="eastAsia" w:ascii="仿宋_GB2312" w:eastAsia="仿宋_GB2312"/>
                <w:color w:val="auto"/>
                <w:kern w:val="0"/>
                <w:sz w:val="28"/>
                <w:szCs w:val="28"/>
                <w:highlight w:val="none"/>
              </w:rPr>
              <w:t>%</w:t>
            </w:r>
            <w:r>
              <w:rPr>
                <w:rFonts w:hint="eastAsia" w:ascii="仿宋_GB2312" w:eastAsia="仿宋_GB2312"/>
                <w:color w:val="auto"/>
                <w:kern w:val="0"/>
                <w:sz w:val="28"/>
                <w:szCs w:val="28"/>
                <w:highlight w:val="none"/>
                <w:lang w:eastAsia="zh-CN"/>
              </w:rPr>
              <w:t>及</w:t>
            </w:r>
            <w:r>
              <w:rPr>
                <w:rFonts w:hint="eastAsia" w:ascii="仿宋_GB2312" w:eastAsia="仿宋_GB2312"/>
                <w:color w:val="auto"/>
                <w:kern w:val="0"/>
                <w:sz w:val="28"/>
                <w:szCs w:val="28"/>
                <w:highlight w:val="none"/>
              </w:rPr>
              <w:t>以上。</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2271"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1"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构建资源循环型产业体系，全面推行绿色设计和清洁生产。</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widowControl w:val="0"/>
              <w:autoSpaceDE w:val="0"/>
              <w:snapToGrid w:val="0"/>
              <w:jc w:val="center"/>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区生态环境局</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区经信局</w:t>
            </w:r>
          </w:p>
          <w:p>
            <w:pPr>
              <w:widowControl w:val="0"/>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区发改委</w:t>
            </w:r>
          </w:p>
          <w:p>
            <w:pPr>
              <w:snapToGrid w:val="0"/>
              <w:jc w:val="center"/>
              <w:rPr>
                <w:rFonts w:hint="default"/>
                <w:color w:val="auto"/>
                <w:highlight w:val="none"/>
                <w:lang w:val="en-US" w:eastAsia="zh-CN"/>
              </w:rPr>
            </w:pPr>
            <w:r>
              <w:rPr>
                <w:rFonts w:hint="eastAsia" w:ascii="仿宋_GB2312"/>
                <w:color w:val="auto"/>
                <w:kern w:val="0"/>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9</w:t>
            </w:r>
          </w:p>
        </w:tc>
        <w:tc>
          <w:tcPr>
            <w:tcW w:w="91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推进建筑领域低碳化</w:t>
            </w: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新建政府投资和公共建筑执行绿色建筑二星级及以上标准。</w:t>
            </w:r>
          </w:p>
          <w:p>
            <w:pPr>
              <w:snapToGrid w:val="0"/>
              <w:spacing w:line="340" w:lineRule="exact"/>
              <w:rPr>
                <w:rFonts w:hint="eastAsia" w:ascii="仿宋_GB2312" w:eastAsia="仿宋_GB2312"/>
                <w:b/>
                <w:bCs/>
                <w:color w:val="auto"/>
                <w:kern w:val="0"/>
                <w:sz w:val="28"/>
                <w:szCs w:val="28"/>
                <w:highlight w:val="none"/>
                <w:lang w:eastAsia="zh-CN"/>
              </w:rPr>
            </w:pPr>
            <w:r>
              <w:rPr>
                <w:rFonts w:hint="eastAsia" w:ascii="仿宋_GB2312" w:eastAsia="仿宋_GB2312"/>
                <w:color w:val="auto"/>
                <w:kern w:val="0"/>
                <w:sz w:val="28"/>
                <w:szCs w:val="28"/>
                <w:highlight w:val="none"/>
              </w:rPr>
              <w:t>大力推广超低能耗建筑，新增超低能耗建筑面积持续增长。非节能公共建筑节能绿色改造</w:t>
            </w:r>
            <w:r>
              <w:rPr>
                <w:rFonts w:hint="eastAsia"/>
                <w:color w:val="auto"/>
                <w:kern w:val="0"/>
                <w:sz w:val="28"/>
                <w:szCs w:val="28"/>
                <w:highlight w:val="none"/>
                <w:lang w:val="en-US" w:eastAsia="zh-CN"/>
              </w:rPr>
              <w:t>面积达到市级要求</w:t>
            </w:r>
            <w:r>
              <w:rPr>
                <w:rFonts w:hint="eastAsia" w:ascii="仿宋_GB2312" w:eastAsia="仿宋_GB2312"/>
                <w:color w:val="auto"/>
                <w:kern w:val="0"/>
                <w:sz w:val="28"/>
                <w:szCs w:val="28"/>
                <w:highlight w:val="none"/>
              </w:rPr>
              <w:t>、装配式建筑占新建建筑面积的比例达到45%，建筑领域碳排放持续下降。</w:t>
            </w:r>
          </w:p>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推广绿色低碳建材以及太阳能光伏、光热和热泵技术应用，开展产能建筑试点，建立既有建筑绿色改造长效机制。</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autoSpaceDE w:val="0"/>
              <w:snapToGrid w:val="0"/>
              <w:jc w:val="center"/>
              <w:rPr>
                <w:rFonts w:hint="eastAsia" w:ascii="仿宋_GB2312" w:eastAsia="仿宋_GB2312"/>
                <w:color w:val="auto"/>
                <w:spacing w:val="-24"/>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tc>
        <w:tc>
          <w:tcPr>
            <w:tcW w:w="2309" w:type="dxa"/>
            <w:gridSpan w:val="4"/>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区住建委</w:t>
            </w:r>
          </w:p>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区发改委</w:t>
            </w:r>
          </w:p>
          <w:p>
            <w:pPr>
              <w:autoSpaceDE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区规自分局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10</w:t>
            </w:r>
          </w:p>
        </w:tc>
        <w:tc>
          <w:tcPr>
            <w:tcW w:w="914" w:type="dxa"/>
            <w:vMerge w:val="restart"/>
            <w:tcBorders>
              <w:top w:val="nil"/>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创建绿色智能供热体系</w:t>
            </w: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分步骤实施供热系统重构，全面布局新能源和可再生能源分布式供热，禁止新建和扩建燃气独立供暖系统，全</w:t>
            </w: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单位建筑面积供热能耗下降</w:t>
            </w:r>
            <w:r>
              <w:rPr>
                <w:rFonts w:hint="eastAsia"/>
                <w:color w:val="auto"/>
                <w:kern w:val="0"/>
                <w:sz w:val="28"/>
                <w:szCs w:val="28"/>
                <w:highlight w:val="none"/>
                <w:lang w:val="en-US" w:eastAsia="zh-CN"/>
              </w:rPr>
              <w:t>达到市级要求</w:t>
            </w:r>
            <w:r>
              <w:rPr>
                <w:rFonts w:hint="eastAsia" w:ascii="仿宋_GB2312" w:eastAsia="仿宋_GB2312"/>
                <w:color w:val="auto"/>
                <w:kern w:val="0"/>
                <w:sz w:val="28"/>
                <w:szCs w:val="28"/>
                <w:highlight w:val="none"/>
              </w:rPr>
              <w:t>。建立再生水源热泵、地源热泵和余热回收等绿色低碳热源结构，大力推进供热系统节能改造。</w:t>
            </w:r>
          </w:p>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按市级部署，</w:t>
            </w:r>
            <w:r>
              <w:rPr>
                <w:rFonts w:hint="eastAsia" w:ascii="仿宋_GB2312" w:eastAsia="仿宋_GB2312"/>
                <w:color w:val="auto"/>
                <w:kern w:val="0"/>
                <w:sz w:val="28"/>
                <w:szCs w:val="28"/>
                <w:highlight w:val="none"/>
              </w:rPr>
              <w:t>统筹实施供热智能化控制、热网系统重组等，有序推进散小热源整合联网及新能源和可再生能源耦合供热替代，优化热电联产热源布局。</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区城管委</w:t>
            </w:r>
          </w:p>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新建建筑供暖采用电力、可再生能源等多能耦合供热占比不低于60%。推进既有燃气供热系统“零碳”改造示范。完成</w:t>
            </w:r>
            <w:r>
              <w:rPr>
                <w:rFonts w:hint="eastAsia"/>
                <w:color w:val="auto"/>
                <w:kern w:val="0"/>
                <w:sz w:val="28"/>
                <w:szCs w:val="28"/>
                <w:highlight w:val="none"/>
                <w:lang w:val="en-US" w:eastAsia="zh-CN"/>
              </w:rPr>
              <w:t>5</w:t>
            </w:r>
            <w:r>
              <w:rPr>
                <w:rFonts w:hint="eastAsia" w:ascii="仿宋_GB2312" w:eastAsia="仿宋_GB2312"/>
                <w:color w:val="auto"/>
                <w:kern w:val="0"/>
                <w:sz w:val="28"/>
                <w:szCs w:val="28"/>
                <w:highlight w:val="none"/>
              </w:rPr>
              <w:t>万平方米既有建筑智能化供热改造，</w:t>
            </w:r>
            <w:r>
              <w:rPr>
                <w:rFonts w:hint="eastAsia" w:ascii="仿宋_GB2312" w:hAnsi="仿宋_GB2312" w:eastAsia="仿宋_GB2312" w:cs="仿宋_GB2312"/>
                <w:color w:val="auto"/>
                <w:sz w:val="28"/>
                <w:szCs w:val="28"/>
                <w:highlight w:val="none"/>
              </w:rPr>
              <w:t>大力推动可再生能源供热规模化应用，</w:t>
            </w:r>
            <w:r>
              <w:rPr>
                <w:rFonts w:hint="eastAsia" w:ascii="仿宋_GB2312" w:eastAsia="仿宋_GB2312"/>
                <w:color w:val="auto"/>
                <w:kern w:val="0"/>
                <w:sz w:val="28"/>
                <w:szCs w:val="28"/>
                <w:highlight w:val="none"/>
              </w:rPr>
              <w:t>新增再生能源供热面积持续增长。</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22"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11</w:t>
            </w:r>
          </w:p>
        </w:tc>
        <w:tc>
          <w:tcPr>
            <w:tcW w:w="914" w:type="dxa"/>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加强城市绿色交通体系建设</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扎实推进慢行优先、公交优先、绿色优先</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大力推进机动车</w:t>
            </w:r>
            <w:r>
              <w:rPr>
                <w:rFonts w:hint="eastAsia" w:eastAsia="仿宋_GB2312"/>
                <w:color w:val="auto"/>
                <w:kern w:val="0"/>
                <w:sz w:val="28"/>
                <w:szCs w:val="28"/>
                <w:highlight w:val="none"/>
              </w:rPr>
              <w:t>“</w:t>
            </w:r>
            <w:r>
              <w:rPr>
                <w:rFonts w:hint="eastAsia" w:ascii="仿宋_GB2312" w:eastAsia="仿宋_GB2312"/>
                <w:color w:val="auto"/>
                <w:kern w:val="0"/>
                <w:sz w:val="28"/>
                <w:szCs w:val="28"/>
                <w:highlight w:val="none"/>
              </w:rPr>
              <w:t>油换电</w:t>
            </w:r>
            <w:r>
              <w:rPr>
                <w:rFonts w:hint="eastAsia" w:eastAsia="仿宋_GB2312"/>
                <w:color w:val="auto"/>
                <w:kern w:val="0"/>
                <w:sz w:val="28"/>
                <w:szCs w:val="28"/>
                <w:highlight w:val="none"/>
              </w:rPr>
              <w:t>”</w:t>
            </w:r>
            <w:r>
              <w:rPr>
                <w:rFonts w:hint="eastAsia" w:ascii="仿宋_GB2312" w:eastAsia="仿宋_GB2312"/>
                <w:color w:val="auto"/>
                <w:kern w:val="0"/>
                <w:sz w:val="28"/>
                <w:szCs w:val="28"/>
                <w:highlight w:val="none"/>
              </w:rPr>
              <w:t>和氢燃料汽车规模化应用、充换电设施和加氢站建设，公共领域用车电动化程度大幅提升。</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区经信局</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区城管委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622" w:type="dxa"/>
            <w:vMerge w:val="restart"/>
            <w:tcBorders>
              <w:top w:val="nil"/>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12</w:t>
            </w:r>
          </w:p>
        </w:tc>
        <w:tc>
          <w:tcPr>
            <w:tcW w:w="914" w:type="dxa"/>
            <w:vMerge w:val="restart"/>
            <w:tcBorders>
              <w:top w:val="nil"/>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强化低碳试点示范</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开展2023年低碳试点</w:t>
            </w:r>
            <w:r>
              <w:rPr>
                <w:rFonts w:hint="eastAsia" w:ascii="仿宋_GB2312" w:eastAsia="仿宋_GB2312"/>
                <w:color w:val="auto"/>
                <w:kern w:val="0"/>
                <w:sz w:val="28"/>
                <w:szCs w:val="28"/>
                <w:highlight w:val="none"/>
                <w:lang w:eastAsia="zh-CN"/>
              </w:rPr>
              <w:t>申报</w:t>
            </w:r>
            <w:r>
              <w:rPr>
                <w:rFonts w:hint="eastAsia" w:ascii="仿宋_GB2312" w:eastAsia="仿宋_GB2312"/>
                <w:color w:val="auto"/>
                <w:kern w:val="0"/>
                <w:sz w:val="28"/>
                <w:szCs w:val="28"/>
                <w:highlight w:val="none"/>
              </w:rPr>
              <w:t>工作。</w:t>
            </w:r>
            <w:r>
              <w:rPr>
                <w:rFonts w:hint="eastAsia" w:ascii="仿宋_GB2312" w:eastAsia="仿宋_GB2312"/>
                <w:color w:val="auto"/>
                <w:kern w:val="0"/>
                <w:sz w:val="28"/>
                <w:szCs w:val="28"/>
                <w:highlight w:val="none"/>
                <w:lang w:eastAsia="zh-CN"/>
              </w:rPr>
              <w:t>继续开展区级碳排放单位减污降碳研究。</w:t>
            </w:r>
            <w:r>
              <w:rPr>
                <w:rFonts w:hint="eastAsia" w:ascii="仿宋_GB2312" w:eastAsia="仿宋_GB2312"/>
                <w:color w:val="auto"/>
                <w:kern w:val="0"/>
                <w:sz w:val="28"/>
                <w:szCs w:val="28"/>
                <w:highlight w:val="none"/>
              </w:rPr>
              <w:t>鼓励优先应用绿色低碳技术、集成应用多种技术，培育碳绩效领先的领跑者企业和公共机构，建设一批以智慧化管理、节约能效等为理念的气候友好型区域。</w:t>
            </w:r>
            <w:r>
              <w:rPr>
                <w:rFonts w:hint="eastAsia" w:ascii="仿宋_GB2312" w:eastAsia="仿宋_GB2312"/>
                <w:color w:val="auto"/>
                <w:kern w:val="0"/>
                <w:sz w:val="28"/>
                <w:szCs w:val="28"/>
                <w:highlight w:val="none"/>
                <w:lang w:eastAsia="zh-CN"/>
              </w:rPr>
              <w:t>推动低碳试点单位等领域低碳试点建设。</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spacing w:val="-23"/>
                <w:kern w:val="0"/>
                <w:sz w:val="28"/>
                <w:szCs w:val="28"/>
                <w:highlight w:val="none"/>
                <w:lang w:eastAsia="zh-CN"/>
              </w:rPr>
              <w:t>区发改委</w:t>
            </w:r>
            <w:r>
              <w:rPr>
                <w:rFonts w:hint="eastAsia"/>
                <w:color w:val="auto"/>
                <w:spacing w:val="-23"/>
                <w:kern w:val="0"/>
                <w:sz w:val="28"/>
                <w:szCs w:val="28"/>
                <w:highlight w:val="none"/>
                <w:lang w:eastAsia="zh-CN"/>
              </w:rPr>
              <w:t>（</w:t>
            </w:r>
            <w:r>
              <w:rPr>
                <w:rFonts w:hint="eastAsia"/>
                <w:color w:val="auto"/>
                <w:spacing w:val="-23"/>
                <w:kern w:val="0"/>
                <w:sz w:val="28"/>
                <w:szCs w:val="28"/>
                <w:highlight w:val="none"/>
                <w:lang w:val="en-US" w:eastAsia="zh-CN"/>
              </w:rPr>
              <w:t>金融办</w:t>
            </w:r>
            <w:r>
              <w:rPr>
                <w:rFonts w:hint="eastAsia"/>
                <w:color w:val="auto"/>
                <w:spacing w:val="-23"/>
                <w:kern w:val="0"/>
                <w:sz w:val="28"/>
                <w:szCs w:val="28"/>
                <w:highlight w:val="none"/>
                <w:lang w:eastAsia="zh-CN"/>
              </w:rPr>
              <w:t>）</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区财政局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vMerge w:val="continue"/>
            <w:tcBorders>
              <w:left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left w:val="nil"/>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编制《北京市密云区气候投融资试点行动计划（</w:t>
            </w:r>
            <w:r>
              <w:rPr>
                <w:rFonts w:hint="eastAsia" w:ascii="仿宋_GB2312" w:eastAsia="仿宋_GB2312"/>
                <w:color w:val="auto"/>
                <w:kern w:val="0"/>
                <w:sz w:val="28"/>
                <w:szCs w:val="28"/>
                <w:highlight w:val="none"/>
                <w:lang w:val="en-US" w:eastAsia="zh-CN"/>
              </w:rPr>
              <w:t>2023-2025年</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大力推进气候投融资试点建设。</w:t>
            </w:r>
            <w:r>
              <w:rPr>
                <w:rFonts w:hint="eastAsia" w:ascii="仿宋_GB2312" w:eastAsia="仿宋_GB2312"/>
                <w:color w:val="auto"/>
                <w:kern w:val="0"/>
                <w:sz w:val="28"/>
                <w:szCs w:val="28"/>
                <w:highlight w:val="none"/>
                <w:lang w:eastAsia="zh-CN"/>
              </w:rPr>
              <w:t>建设气候投融资项目库、低碳技术展示中心等项目。</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color w:val="auto"/>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color w:val="auto"/>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22"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金融管理部门建立联动机制，</w:t>
            </w:r>
            <w:r>
              <w:rPr>
                <w:rFonts w:hint="eastAsia" w:ascii="仿宋_GB2312" w:eastAsia="仿宋_GB2312"/>
                <w:color w:val="auto"/>
                <w:kern w:val="0"/>
                <w:sz w:val="28"/>
                <w:szCs w:val="28"/>
                <w:highlight w:val="none"/>
                <w:lang w:eastAsia="zh-CN"/>
              </w:rPr>
              <w:t>完善试点配套激励政策，强化模式和金融工具创新，</w:t>
            </w:r>
            <w:r>
              <w:rPr>
                <w:rFonts w:hint="eastAsia" w:ascii="仿宋_GB2312" w:eastAsia="仿宋_GB2312"/>
                <w:color w:val="auto"/>
                <w:kern w:val="0"/>
                <w:sz w:val="28"/>
                <w:szCs w:val="28"/>
                <w:highlight w:val="none"/>
              </w:rPr>
              <w:t>加大对绿色低碳项目的投融资支持。</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区发改委（金融办）</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区发改委（金融办）</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区投资促进服务中心</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区经信局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区科委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区市场监管局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color w:val="auto"/>
                <w:highlight w:val="none"/>
                <w:lang w:val="en-US" w:eastAsia="zh-CN"/>
              </w:rPr>
            </w:pPr>
            <w:r>
              <w:rPr>
                <w:rFonts w:hint="eastAsia"/>
                <w:color w:val="auto"/>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13</w:t>
            </w:r>
          </w:p>
        </w:tc>
        <w:tc>
          <w:tcPr>
            <w:tcW w:w="914" w:type="dxa"/>
            <w:vMerge w:val="restart"/>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控制农业和非二氧化碳温室气体排放</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大力发展低碳农业、智慧农业、生态循环农业。</w:t>
            </w:r>
          </w:p>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示范推广低耗高效农业设施。</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区农业农村局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区农业农村局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区农业服务中心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sz w:val="28"/>
                <w:szCs w:val="28"/>
                <w:highlight w:val="none"/>
                <w:lang w:eastAsia="zh-CN"/>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开展非二氧化碳温室气体排放调查，</w:t>
            </w:r>
            <w:r>
              <w:rPr>
                <w:rFonts w:hint="eastAsia" w:ascii="仿宋_GB2312" w:eastAsia="仿宋_GB2312"/>
                <w:color w:val="auto"/>
                <w:kern w:val="0"/>
                <w:sz w:val="28"/>
                <w:szCs w:val="28"/>
                <w:highlight w:val="none"/>
                <w:lang w:eastAsia="zh-CN"/>
              </w:rPr>
              <w:t>落实</w:t>
            </w:r>
            <w:r>
              <w:rPr>
                <w:rFonts w:hint="eastAsia" w:ascii="仿宋_GB2312" w:eastAsia="仿宋_GB2312"/>
                <w:color w:val="auto"/>
                <w:kern w:val="0"/>
                <w:sz w:val="28"/>
                <w:szCs w:val="28"/>
                <w:highlight w:val="none"/>
              </w:rPr>
              <w:t>甲烷控制目标任务和措施，推进生物质能清洁高效利用。</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区水务局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黑体" w:hAnsi="黑体" w:eastAsia="黑体"/>
                <w:color w:val="auto"/>
                <w:kern w:val="0"/>
                <w:sz w:val="28"/>
                <w:szCs w:val="28"/>
                <w:highlight w:val="none"/>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14</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加强适应气候变化顶层设计</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lang w:eastAsia="zh-CN"/>
              </w:rPr>
              <w:t>配合市级部门完成《</w:t>
            </w:r>
            <w:r>
              <w:rPr>
                <w:rFonts w:hint="eastAsia" w:ascii="仿宋_GB2312" w:eastAsia="仿宋_GB2312"/>
                <w:color w:val="auto"/>
                <w:sz w:val="28"/>
                <w:szCs w:val="28"/>
                <w:highlight w:val="none"/>
              </w:rPr>
              <w:t>北京市适应气候变化行动方案</w:t>
            </w:r>
            <w:r>
              <w:rPr>
                <w:rFonts w:hint="eastAsia" w:ascii="仿宋_GB2312" w:eastAsia="仿宋_GB2312"/>
                <w:color w:val="auto"/>
                <w:sz w:val="28"/>
                <w:szCs w:val="28"/>
                <w:highlight w:val="none"/>
                <w:lang w:eastAsia="zh-CN"/>
              </w:rPr>
              <w:t>》编制，并落实具体任务要求</w:t>
            </w:r>
            <w:r>
              <w:rPr>
                <w:rFonts w:hint="eastAsia" w:ascii="仿宋_GB2312" w:eastAsia="仿宋_GB2312"/>
                <w:color w:val="auto"/>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区气象局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区科委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中关村密云园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区农业农村局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区文旅局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区卫健委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区园林绿化局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区财政局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区金融办</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15</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提升生态系统碳汇能力</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坚持全域多层次增绿固碳，促进园林绿地碳汇。</w:t>
            </w:r>
          </w:p>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加强林业生态系统管护，研究建立适合本地生态系统的有机物排放树种库。2023年</w:t>
            </w:r>
            <w:r>
              <w:rPr>
                <w:rFonts w:hint="eastAsia" w:ascii="仿宋_GB2312" w:eastAsia="仿宋_GB2312"/>
                <w:color w:val="auto"/>
                <w:kern w:val="0"/>
                <w:sz w:val="28"/>
                <w:szCs w:val="28"/>
                <w:highlight w:val="none"/>
                <w:lang w:eastAsia="zh-CN"/>
              </w:rPr>
              <w:t>全区</w:t>
            </w:r>
            <w:r>
              <w:rPr>
                <w:rFonts w:hint="eastAsia" w:ascii="仿宋_GB2312" w:eastAsia="仿宋_GB2312"/>
                <w:color w:val="auto"/>
                <w:kern w:val="0"/>
                <w:sz w:val="28"/>
                <w:szCs w:val="28"/>
                <w:highlight w:val="none"/>
              </w:rPr>
              <w:t>森林蓄积量</w:t>
            </w:r>
            <w:r>
              <w:rPr>
                <w:rFonts w:hint="eastAsia" w:ascii="仿宋_GB2312" w:eastAsia="仿宋_GB2312"/>
                <w:color w:val="auto"/>
                <w:kern w:val="0"/>
                <w:sz w:val="28"/>
                <w:szCs w:val="28"/>
                <w:highlight w:val="none"/>
                <w:lang w:eastAsia="zh-CN"/>
              </w:rPr>
              <w:t>力争保持全市领先</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园林绿化局</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园林绿化局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16</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加强海绵城市建设</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全面落实“十四五”海绵城市建设规划，推广开展“海绵校园”“海绵公园”“海绵道路”等海绵城市建设工程，新增海绵城市面积</w:t>
            </w:r>
            <w:r>
              <w:rPr>
                <w:rFonts w:hint="eastAsia" w:ascii="仿宋_GB2312" w:eastAsia="仿宋_GB2312"/>
                <w:color w:val="auto"/>
                <w:kern w:val="0"/>
                <w:sz w:val="28"/>
                <w:szCs w:val="28"/>
                <w:highlight w:val="none"/>
                <w:lang w:eastAsia="zh-CN"/>
              </w:rPr>
              <w:t>达到市级要求</w:t>
            </w:r>
            <w:r>
              <w:rPr>
                <w:rFonts w:hint="eastAsia" w:ascii="仿宋_GB2312" w:eastAsia="仿宋_GB2312"/>
                <w:color w:val="auto"/>
                <w:kern w:val="0"/>
                <w:sz w:val="28"/>
                <w:szCs w:val="28"/>
                <w:highlight w:val="none"/>
              </w:rPr>
              <w:t>。</w:t>
            </w:r>
          </w:p>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完善城市基于自然的解决方案，加强绿色斑块、绿色廊道、城市生态安全调控系统、城市人居环境、园林绿化和城市风道建设。</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区海绵城市</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kern w:val="0"/>
                <w:sz w:val="28"/>
                <w:szCs w:val="28"/>
                <w:highlight w:val="none"/>
                <w:lang w:val="en-US" w:eastAsia="zh-CN"/>
              </w:rPr>
            </w:pPr>
            <w:r>
              <w:rPr>
                <w:rFonts w:hint="eastAsia" w:ascii="仿宋_GB2312" w:eastAsia="仿宋_GB2312"/>
                <w:color w:val="auto"/>
                <w:kern w:val="0"/>
                <w:sz w:val="28"/>
                <w:szCs w:val="28"/>
                <w:highlight w:val="none"/>
                <w:lang w:eastAsia="zh-CN"/>
              </w:rPr>
              <w:t>办公室</w:t>
            </w:r>
            <w:r>
              <w:rPr>
                <w:rFonts w:hint="eastAsia"/>
                <w:color w:val="auto"/>
                <w:kern w:val="0"/>
                <w:sz w:val="28"/>
                <w:szCs w:val="28"/>
                <w:highlight w:val="none"/>
                <w:lang w:val="en-US" w:eastAsia="zh-CN"/>
              </w:rPr>
              <w:t>区</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val="en-US"/>
              </w:rPr>
            </w:pPr>
            <w:r>
              <w:rPr>
                <w:rFonts w:hint="eastAsia"/>
                <w:color w:val="auto"/>
                <w:kern w:val="0"/>
                <w:sz w:val="28"/>
                <w:szCs w:val="28"/>
                <w:highlight w:val="none"/>
                <w:lang w:val="en-US" w:eastAsia="zh-CN"/>
              </w:rPr>
              <w:t>园林绿化局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default"/>
                <w:color w:val="auto"/>
                <w:highlight w:val="none"/>
                <w:lang w:val="en-US" w:eastAsia="zh-CN"/>
              </w:rPr>
            </w:pPr>
            <w:r>
              <w:rPr>
                <w:rFonts w:hint="eastAsia" w:ascii="仿宋_GB2312"/>
                <w:color w:val="auto"/>
                <w:kern w:val="0"/>
                <w:sz w:val="28"/>
                <w:szCs w:val="28"/>
                <w:highlight w:val="none"/>
                <w:lang w:val="en-US" w:eastAsia="zh-CN"/>
              </w:rPr>
              <w:t>区园林绿化中心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17</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提升气候防范能力</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开展城市生命线系统重大工程建设气候变化灾害风险评估</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健全覆盖全市的气象监测和自然灾害预警系统。</w:t>
            </w:r>
            <w:r>
              <w:rPr>
                <w:rFonts w:hint="eastAsia" w:ascii="仿宋_GB2312" w:eastAsia="仿宋_GB2312"/>
                <w:color w:val="auto"/>
                <w:kern w:val="0"/>
                <w:sz w:val="28"/>
                <w:szCs w:val="28"/>
                <w:highlight w:val="none"/>
                <w:lang w:eastAsia="zh-CN"/>
              </w:rPr>
              <w:t>落实</w:t>
            </w:r>
            <w:r>
              <w:rPr>
                <w:rFonts w:hint="eastAsia" w:ascii="仿宋_GB2312" w:eastAsia="仿宋_GB2312"/>
                <w:color w:val="auto"/>
                <w:kern w:val="0"/>
                <w:sz w:val="28"/>
                <w:szCs w:val="28"/>
                <w:highlight w:val="none"/>
              </w:rPr>
              <w:t>城市基础设施气象灾害防护标准，加强供气、供电、供热协调联供机制。</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highlight w:val="none"/>
              </w:rPr>
            </w:pPr>
            <w:r>
              <w:rPr>
                <w:rFonts w:hint="eastAsia" w:ascii="仿宋_GB2312" w:eastAsia="仿宋_GB2312"/>
                <w:color w:val="auto"/>
                <w:kern w:val="0"/>
                <w:sz w:val="28"/>
                <w:szCs w:val="28"/>
                <w:highlight w:val="none"/>
                <w:lang w:eastAsia="zh-CN"/>
              </w:rPr>
              <w:t>区气象局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区气象局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hAnsi="黑体" w:eastAsia="黑体"/>
                <w:b/>
                <w:bCs/>
                <w:color w:val="auto"/>
                <w:kern w:val="0"/>
                <w:sz w:val="28"/>
                <w:szCs w:val="28"/>
                <w:highlight w:val="none"/>
              </w:rPr>
            </w:pPr>
            <w:r>
              <w:rPr>
                <w:rFonts w:hint="eastAsia" w:ascii="黑体" w:hAnsi="黑体" w:eastAsia="黑体"/>
                <w:color w:val="auto"/>
                <w:kern w:val="0"/>
                <w:sz w:val="28"/>
                <w:szCs w:val="28"/>
                <w:highlight w:val="none"/>
              </w:rPr>
              <w:t>五、加强应对气候变化保障和能力建设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18</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加强组织领导</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加强应对气候变化工作的统筹和调度，形成分级管理、推动落实的工作格局。各行业主管部门、研究细化本行业、本区域应对气候变化措施，扎实推动重点任务落实。</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年底</w:t>
            </w:r>
            <w:r>
              <w:rPr>
                <w:rFonts w:hint="eastAsia" w:ascii="仿宋_GB2312" w:eastAsia="仿宋_GB2312"/>
                <w:color w:val="auto"/>
                <w:kern w:val="0"/>
                <w:sz w:val="28"/>
                <w:szCs w:val="28"/>
                <w:highlight w:val="none"/>
              </w:rPr>
              <w:t>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区园林绿化局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19</w:t>
            </w:r>
          </w:p>
        </w:tc>
        <w:tc>
          <w:tcPr>
            <w:tcW w:w="914" w:type="dxa"/>
            <w:vMerge w:val="restart"/>
            <w:tcBorders>
              <w:top w:val="single" w:color="auto" w:sz="4" w:space="0"/>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加大科技支撑力度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加强科学应对气候变化基础能力研究，开展温室气体对气候变化影响、先进减碳技术效果评估等研究。</w:t>
            </w:r>
          </w:p>
          <w:p>
            <w:pPr>
              <w:spacing w:line="36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加大柔性直流、智慧电网、先进储能、氢能及其他低碳技术研究及应用，建筑、交通等领域加大技术推广应用。</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color w:val="auto"/>
                <w:sz w:val="28"/>
                <w:szCs w:val="28"/>
                <w:highlight w:val="none"/>
                <w:lang w:val="en-US" w:eastAsia="zh-CN"/>
              </w:rPr>
            </w:pPr>
            <w:r>
              <w:rPr>
                <w:rFonts w:hint="eastAsia"/>
                <w:color w:val="auto"/>
                <w:sz w:val="28"/>
                <w:szCs w:val="28"/>
                <w:highlight w:val="none"/>
                <w:lang w:val="en-US" w:eastAsia="zh-CN"/>
              </w:rPr>
              <w:t>区气象局</w:t>
            </w:r>
          </w:p>
          <w:p>
            <w:pPr>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区科委</w:t>
            </w:r>
          </w:p>
          <w:p>
            <w:pPr>
              <w:snapToGrid w:val="0"/>
              <w:jc w:val="center"/>
              <w:rPr>
                <w:rFonts w:hint="eastAsia" w:eastAsia="仿宋_GB2312"/>
                <w:color w:val="auto"/>
                <w:highlight w:val="none"/>
                <w:lang w:val="en-US" w:eastAsia="zh-CN"/>
              </w:rPr>
            </w:pPr>
          </w:p>
        </w:tc>
        <w:tc>
          <w:tcPr>
            <w:tcW w:w="2309" w:type="dxa"/>
            <w:gridSpan w:val="4"/>
            <w:tcBorders>
              <w:top w:val="single" w:color="auto" w:sz="4" w:space="0"/>
              <w:left w:val="nil"/>
              <w:bottom w:val="single" w:color="auto" w:sz="4" w:space="0"/>
              <w:right w:val="single" w:color="auto" w:sz="4" w:space="0"/>
            </w:tcBorders>
            <w:vAlign w:val="center"/>
          </w:tcPr>
          <w:p>
            <w:pPr>
              <w:snapToGrid w:val="0"/>
              <w:jc w:val="center"/>
              <w:rPr>
                <w:rFonts w:hint="eastAsia"/>
                <w:color w:val="auto"/>
                <w:sz w:val="28"/>
                <w:szCs w:val="28"/>
                <w:highlight w:val="none"/>
                <w:lang w:eastAsia="zh-CN"/>
              </w:rPr>
            </w:pPr>
            <w:r>
              <w:rPr>
                <w:rFonts w:hint="eastAsia" w:ascii="仿宋_GB2312"/>
                <w:color w:val="auto"/>
                <w:kern w:val="0"/>
                <w:sz w:val="28"/>
                <w:szCs w:val="28"/>
                <w:highlight w:val="none"/>
                <w:lang w:eastAsia="zh-CN"/>
              </w:rPr>
              <w:t>区气象局</w:t>
            </w:r>
          </w:p>
          <w:p>
            <w:pPr>
              <w:autoSpaceDE w:val="0"/>
              <w:snapToGrid w:val="0"/>
              <w:jc w:val="center"/>
              <w:rPr>
                <w:color w:val="auto"/>
                <w:highlight w:val="none"/>
              </w:rPr>
            </w:pPr>
            <w:r>
              <w:rPr>
                <w:rFonts w:hint="eastAsia" w:ascii="仿宋_GB2312" w:eastAsia="仿宋_GB2312"/>
                <w:color w:val="auto"/>
                <w:kern w:val="0"/>
                <w:sz w:val="28"/>
                <w:szCs w:val="28"/>
                <w:highlight w:val="none"/>
                <w:lang w:eastAsia="zh-CN"/>
              </w:rPr>
              <w:t>区科委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区交通局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构建空地一体碳排碳汇监测网络，建立区级碳普惠平台。</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spacing w:val="-20"/>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20</w:t>
            </w:r>
          </w:p>
        </w:tc>
        <w:tc>
          <w:tcPr>
            <w:tcW w:w="914" w:type="dxa"/>
            <w:vMerge w:val="restart"/>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提升统计核算能力</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按照</w:t>
            </w:r>
            <w:r>
              <w:rPr>
                <w:rFonts w:hint="eastAsia" w:ascii="仿宋_GB2312" w:eastAsia="仿宋_GB2312"/>
                <w:color w:val="auto"/>
                <w:kern w:val="0"/>
                <w:sz w:val="28"/>
                <w:szCs w:val="28"/>
                <w:highlight w:val="none"/>
                <w:lang w:eastAsia="zh-CN"/>
              </w:rPr>
              <w:t>北京市</w:t>
            </w:r>
            <w:r>
              <w:rPr>
                <w:rFonts w:hint="eastAsia" w:ascii="仿宋_GB2312" w:eastAsia="仿宋_GB2312"/>
                <w:color w:val="auto"/>
                <w:kern w:val="0"/>
                <w:sz w:val="28"/>
                <w:szCs w:val="28"/>
                <w:highlight w:val="none"/>
              </w:rPr>
              <w:t>要求，完善市级碳排放统计核算体系，建立区级碳排放核算体系，逐步构建自下而上以统计数据为基础的温室气体排放核算体系。</w:t>
            </w: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开展温室气体排放清单编制工作,强化碳排放分析快报机制。</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按照市级部门部署，</w:t>
            </w:r>
            <w:r>
              <w:rPr>
                <w:rFonts w:hint="eastAsia" w:ascii="仿宋_GB2312" w:eastAsia="仿宋_GB2312"/>
                <w:color w:val="auto"/>
                <w:kern w:val="0"/>
                <w:sz w:val="28"/>
                <w:szCs w:val="28"/>
                <w:highlight w:val="none"/>
              </w:rPr>
              <w:t>推进应对气候变化管理信息化建设。</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区经信局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研究建立生态系统碳汇监测核算体系，开展生态系统碳汇本底调查和碳储量评估。</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区园林绿化局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21</w:t>
            </w:r>
          </w:p>
        </w:tc>
        <w:tc>
          <w:tcPr>
            <w:tcW w:w="914" w:type="dxa"/>
            <w:vMerge w:val="restart"/>
            <w:tcBorders>
              <w:top w:val="single" w:color="auto" w:sz="4" w:space="0"/>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强化资金政策支持</w:t>
            </w:r>
          </w:p>
        </w:tc>
        <w:tc>
          <w:tcPr>
            <w:tcW w:w="5880" w:type="dxa"/>
            <w:tcBorders>
              <w:top w:val="single" w:color="auto" w:sz="4" w:space="0"/>
              <w:left w:val="nil"/>
              <w:bottom w:val="single" w:color="auto" w:sz="4" w:space="0"/>
              <w:right w:val="single" w:color="auto" w:sz="4" w:space="0"/>
            </w:tcBorders>
            <w:vAlign w:val="center"/>
          </w:tcPr>
          <w:p>
            <w:pPr>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研究制定</w:t>
            </w:r>
            <w:r>
              <w:rPr>
                <w:rFonts w:hint="eastAsia" w:ascii="仿宋_GB2312" w:eastAsia="仿宋_GB2312"/>
                <w:color w:val="auto"/>
                <w:kern w:val="0"/>
                <w:sz w:val="28"/>
                <w:szCs w:val="28"/>
                <w:highlight w:val="none"/>
              </w:rPr>
              <w:t>对节能减碳的绿色项目、绿色产品等予以适当补贴、奖励或贷款贴息。完善绿色消</w:t>
            </w:r>
            <w:r>
              <w:rPr>
                <w:rFonts w:hint="eastAsia" w:ascii="仿宋_GB2312" w:eastAsia="仿宋_GB2312"/>
                <w:color w:val="auto"/>
                <w:spacing w:val="-6"/>
                <w:kern w:val="0"/>
                <w:sz w:val="28"/>
                <w:szCs w:val="28"/>
                <w:highlight w:val="none"/>
              </w:rPr>
              <w:t>费奖励政策，扩大绿色节能产品消费券覆盖范围。</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pacing w:val="-23"/>
                <w:kern w:val="0"/>
                <w:sz w:val="28"/>
                <w:szCs w:val="28"/>
                <w:highlight w:val="none"/>
                <w:lang w:eastAsia="zh-CN"/>
              </w:rPr>
              <w:t>区发改委（金融办）</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区发改委（金融办）</w:t>
            </w:r>
          </w:p>
          <w:p>
            <w:pPr>
              <w:snapToGrid w:val="0"/>
              <w:jc w:val="center"/>
              <w:rPr>
                <w:rFonts w:hint="eastAsia"/>
                <w:color w:val="auto"/>
                <w:sz w:val="28"/>
                <w:szCs w:val="28"/>
                <w:highlight w:val="none"/>
                <w:lang w:val="en-US" w:eastAsia="zh-CN"/>
              </w:rPr>
            </w:pPr>
            <w:r>
              <w:rPr>
                <w:rFonts w:hint="eastAsia"/>
                <w:color w:val="auto"/>
                <w:sz w:val="28"/>
                <w:szCs w:val="28"/>
                <w:highlight w:val="none"/>
                <w:lang w:val="en-US" w:eastAsia="zh-CN"/>
              </w:rPr>
              <w:t>区财政局</w:t>
            </w:r>
          </w:p>
          <w:p>
            <w:pPr>
              <w:snapToGrid w:val="0"/>
              <w:jc w:val="center"/>
              <w:rPr>
                <w:rFonts w:hint="default"/>
                <w:color w:val="auto"/>
                <w:highlight w:val="none"/>
                <w:lang w:val="en-US" w:eastAsia="zh-CN"/>
              </w:rPr>
            </w:pPr>
            <w:r>
              <w:rPr>
                <w:rFonts w:hint="eastAsia"/>
                <w:color w:val="auto"/>
                <w:kern w:val="0"/>
                <w:sz w:val="28"/>
                <w:szCs w:val="28"/>
                <w:highlight w:val="none"/>
                <w:lang w:val="en-US" w:eastAsia="zh-CN"/>
              </w:rPr>
              <w:t>区商务局</w:t>
            </w:r>
          </w:p>
        </w:tc>
        <w:tc>
          <w:tcPr>
            <w:tcW w:w="2217" w:type="dxa"/>
            <w:tcBorders>
              <w:top w:val="single" w:color="auto" w:sz="4" w:space="0"/>
              <w:left w:val="nil"/>
              <w:bottom w:val="single" w:color="auto" w:sz="4" w:space="0"/>
              <w:right w:val="single" w:color="auto" w:sz="4" w:space="0"/>
            </w:tcBorders>
            <w:vAlign w:val="center"/>
          </w:tcPr>
          <w:p>
            <w:pP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22" w:type="dxa"/>
            <w:vMerge w:val="continue"/>
            <w:tcBorders>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落实市级补贴政策，探索区级</w:t>
            </w:r>
            <w:r>
              <w:rPr>
                <w:rFonts w:hint="eastAsia" w:ascii="仿宋_GB2312" w:eastAsia="仿宋_GB2312"/>
                <w:color w:val="auto"/>
                <w:kern w:val="0"/>
                <w:sz w:val="28"/>
                <w:szCs w:val="28"/>
                <w:highlight w:val="none"/>
              </w:rPr>
              <w:t>供热燃料补贴政策，逐步降低柴油等化石能源供热燃料补贴，</w:t>
            </w:r>
            <w:r>
              <w:rPr>
                <w:rFonts w:hint="eastAsia" w:ascii="仿宋_GB2312" w:eastAsia="仿宋_GB2312"/>
                <w:color w:val="auto"/>
                <w:spacing w:val="-6"/>
                <w:kern w:val="0"/>
                <w:sz w:val="28"/>
                <w:szCs w:val="28"/>
                <w:highlight w:val="none"/>
              </w:rPr>
              <w:t>加大热泵等新能源可再生能源供热运行补贴等。</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营造有利的政策环境，拓宽绿色融资渠道，完善绿色金融体系构建，研究制定投融资政策和价格政策，支持有利于低碳发展的信贷、债券、基金、期货、保险等绿色金融创新实践。</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区发改委（金融办）</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22</w:t>
            </w:r>
          </w:p>
        </w:tc>
        <w:tc>
          <w:tcPr>
            <w:tcW w:w="914"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加强宣传教育</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持续举办国家气候投融资密云讲坛。</w:t>
            </w:r>
          </w:p>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组织开展2023年低碳日、环境日等宣传活动，推动建设科普教育基地和应对气候变化展区，加大应对气候变化宣传力度。</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2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推广高效低碳绿色产品，利用碳普惠等形式，引导市民积极参与垃圾分类、“光盘行动”、义务植树和低碳出行，逐步形成绿色低碳的生活方式和消费理念。</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开展应对气候变化理论知识、碳市场相关等教育培训，提高各级党员领导干部、企业人员、社会公众应对气候变化知识的培训力度，将应对气候变化纳入干部教育培训的重要内容，提升推动低碳发展本领。</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区委组织部</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区人力社保局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23</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开展国际交流合作</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积极参与</w:t>
            </w:r>
            <w:r>
              <w:rPr>
                <w:rFonts w:hint="eastAsia" w:ascii="仿宋_GB2312" w:eastAsia="仿宋_GB2312"/>
                <w:color w:val="auto"/>
                <w:kern w:val="0"/>
                <w:sz w:val="28"/>
                <w:szCs w:val="28"/>
                <w:highlight w:val="none"/>
              </w:rPr>
              <w:t>国际应对气候变化交流</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国际大都市清洁空气和应对气候变化论坛</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国际城市间应对气候变化合作，学习借鉴国外先进经验和技术应用。</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24</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规范应对气候变化领域第三方服务机构管理</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强化检验检测机构及碳排放核查机构的日常监管，探索构建应对气候变化领域第三方服务机构长效监管机制。</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区市场监管局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25</w:t>
            </w:r>
          </w:p>
        </w:tc>
        <w:tc>
          <w:tcPr>
            <w:tcW w:w="914"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19" w:leftChars="0" w:right="0" w:rightChars="0"/>
              <w:jc w:val="both"/>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强化督查考核</w:t>
            </w:r>
          </w:p>
        </w:tc>
        <w:tc>
          <w:tcPr>
            <w:tcW w:w="5880"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ascii="仿宋_GB2312" w:eastAsia="仿宋_GB2312"/>
                <w:color w:val="auto"/>
                <w:kern w:val="0"/>
                <w:sz w:val="28"/>
                <w:szCs w:val="28"/>
                <w:highlight w:val="none"/>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应对气候变化</w:t>
            </w:r>
            <w:r>
              <w:rPr>
                <w:rFonts w:hint="eastAsia"/>
                <w:i w:val="0"/>
                <w:iCs w:val="0"/>
                <w:color w:val="auto"/>
                <w:spacing w:val="-2"/>
                <w:sz w:val="28"/>
                <w:highlight w:val="none"/>
              </w:rPr>
              <w:t>各项措施纳入年度重点督查计划。将年度重点工作纳入全区党建统领综合考核评价体系，对各镇街（地区）、相关部门进行考核评价。</w:t>
            </w:r>
          </w:p>
        </w:tc>
        <w:tc>
          <w:tcPr>
            <w:tcW w:w="1191"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年底前</w:t>
            </w:r>
          </w:p>
        </w:tc>
        <w:tc>
          <w:tcPr>
            <w:tcW w:w="2286" w:type="dxa"/>
            <w:gridSpan w:val="4"/>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区生态环境局</w:t>
            </w:r>
          </w:p>
        </w:tc>
        <w:tc>
          <w:tcPr>
            <w:tcW w:w="2286"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区委办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区政府办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217"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val="en-US" w:eastAsia="zh-CN"/>
              </w:rPr>
            </w:pPr>
            <w:r>
              <w:rPr>
                <w:rFonts w:hint="eastAsia" w:ascii="仿宋_GB2312" w:eastAsia="仿宋_GB2312"/>
                <w:color w:val="auto"/>
                <w:sz w:val="28"/>
                <w:szCs w:val="28"/>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pStyle w:val="3"/>
        <w:rPr>
          <w:rFonts w:hint="eastAsia" w:ascii="黑体" w:hAnsi="黑体" w:eastAsia="黑体" w:cs="黑体"/>
          <w:color w:val="auto"/>
          <w:sz w:val="32"/>
          <w:szCs w:val="32"/>
          <w:highlight w:val="none"/>
          <w:lang w:val="en-US" w:eastAsia="zh-CN"/>
        </w:rPr>
      </w:pPr>
    </w:p>
    <w:p>
      <w:pPr>
        <w:rPr>
          <w:rFonts w:hint="eastAsia"/>
          <w:color w:val="auto"/>
          <w:highlight w:val="none"/>
          <w:lang w:val="en-US" w:eastAsia="zh-CN"/>
        </w:rPr>
      </w:pPr>
    </w:p>
    <w:p>
      <w:pPr>
        <w:pStyle w:val="3"/>
        <w:ind w:left="0" w:leftChars="0" w:firstLine="0" w:firstLineChars="0"/>
        <w:rPr>
          <w:rFonts w:hint="eastAsia"/>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color w:val="auto"/>
          <w:sz w:val="32"/>
          <w:szCs w:val="32"/>
          <w:highlight w:val="none"/>
        </w:rPr>
      </w:pPr>
      <w:r>
        <w:rPr>
          <w:rFonts w:hint="eastAsia" w:ascii="方正小标宋_GBK" w:hAnsi="方正小标宋_GBK" w:eastAsia="方正小标宋_GBK" w:cs="方正小标宋_GBK"/>
          <w:color w:val="auto"/>
          <w:sz w:val="44"/>
          <w:szCs w:val="44"/>
          <w:highlight w:val="none"/>
        </w:rPr>
        <w:t>北京市密云区大气污染防治2023年</w:t>
      </w:r>
      <w:r>
        <w:rPr>
          <w:rFonts w:hint="eastAsia" w:ascii="方正小标宋_GBK" w:hAnsi="方正小标宋_GBK" w:eastAsia="方正小标宋_GBK" w:cs="方正小标宋_GBK"/>
          <w:color w:val="auto"/>
          <w:sz w:val="44"/>
          <w:szCs w:val="44"/>
          <w:highlight w:val="none"/>
          <w:lang w:val="en-US" w:eastAsia="zh-CN"/>
        </w:rPr>
        <w:t>行动计划（征求意见稿）</w:t>
      </w:r>
    </w:p>
    <w:tbl>
      <w:tblPr>
        <w:tblStyle w:val="13"/>
        <w:tblW w:w="15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855"/>
        <w:gridCol w:w="5884"/>
        <w:gridCol w:w="1229"/>
        <w:gridCol w:w="2018"/>
        <w:gridCol w:w="12"/>
        <w:gridCol w:w="13"/>
        <w:gridCol w:w="13"/>
        <w:gridCol w:w="112"/>
        <w:gridCol w:w="2168"/>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blHeader/>
        </w:trPr>
        <w:tc>
          <w:tcPr>
            <w:tcW w:w="554"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118" w:right="109"/>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序号</w:t>
            </w:r>
          </w:p>
        </w:tc>
        <w:tc>
          <w:tcPr>
            <w:tcW w:w="855"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120" w:right="107"/>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重点任务</w:t>
            </w:r>
          </w:p>
        </w:tc>
        <w:tc>
          <w:tcPr>
            <w:tcW w:w="5884" w:type="dxa"/>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2184" w:right="2175"/>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工作措施</w:t>
            </w:r>
          </w:p>
        </w:tc>
        <w:tc>
          <w:tcPr>
            <w:tcW w:w="1229"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295" w:right="283"/>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完成时限</w:t>
            </w:r>
          </w:p>
        </w:tc>
        <w:tc>
          <w:tcPr>
            <w:tcW w:w="2043" w:type="dxa"/>
            <w:gridSpan w:val="3"/>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66" w:right="58"/>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牵头部门</w:t>
            </w:r>
          </w:p>
        </w:tc>
        <w:tc>
          <w:tcPr>
            <w:tcW w:w="2293" w:type="dxa"/>
            <w:gridSpan w:val="3"/>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13" w:right="4"/>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主责单位</w:t>
            </w:r>
          </w:p>
        </w:tc>
        <w:tc>
          <w:tcPr>
            <w:tcW w:w="2332" w:type="dxa"/>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63" w:right="56"/>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协办单位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190" w:type="dxa"/>
            <w:gridSpan w:val="11"/>
          </w:tcPr>
          <w:p>
            <w:pPr>
              <w:pStyle w:val="16"/>
              <w:spacing w:before="40"/>
              <w:ind w:left="5016" w:right="5007"/>
              <w:jc w:val="center"/>
              <w:rPr>
                <w:rFonts w:hint="eastAsia" w:ascii="黑体" w:eastAsia="黑体"/>
                <w:i w:val="0"/>
                <w:iCs w:val="0"/>
                <w:color w:val="auto"/>
                <w:sz w:val="28"/>
                <w:highlight w:val="none"/>
              </w:rPr>
            </w:pPr>
            <w:r>
              <w:rPr>
                <w:rFonts w:hint="eastAsia" w:ascii="黑体" w:eastAsia="黑体"/>
                <w:i w:val="0"/>
                <w:iCs w:val="0"/>
                <w:color w:val="auto"/>
                <w:sz w:val="28"/>
                <w:highlight w:val="none"/>
              </w:rPr>
              <w:t>一、主要目标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sz w:val="28"/>
                <w:highlight w:val="none"/>
              </w:rPr>
            </w:pPr>
            <w:r>
              <w:rPr>
                <w:i w:val="0"/>
                <w:iCs w:val="0"/>
                <w:color w:val="auto"/>
                <w:w w:val="100"/>
                <w:sz w:val="28"/>
                <w:highlight w:val="none"/>
              </w:rPr>
              <w:t>1</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空气</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pacing w:val="-1"/>
                <w:sz w:val="28"/>
                <w:highlight w:val="none"/>
              </w:rPr>
              <w:t>质量</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pacing w:val="-1"/>
                <w:sz w:val="28"/>
                <w:highlight w:val="none"/>
              </w:rPr>
              <w:t>改善</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108" w:right="0"/>
              <w:jc w:val="both"/>
              <w:textAlignment w:val="auto"/>
              <w:outlineLvl w:val="9"/>
              <w:rPr>
                <w:rFonts w:hint="default"/>
                <w:i w:val="0"/>
                <w:iCs w:val="0"/>
                <w:color w:val="auto"/>
                <w:sz w:val="28"/>
                <w:highlight w:val="none"/>
                <w:lang w:val="en-US" w:eastAsia="zh-CN"/>
              </w:rPr>
            </w:pPr>
            <w:r>
              <w:rPr>
                <w:i w:val="0"/>
                <w:iCs w:val="0"/>
                <w:color w:val="auto"/>
                <w:sz w:val="28"/>
                <w:highlight w:val="none"/>
              </w:rPr>
              <w:t>全区尽最大努力巩固空气质量改善成效</w:t>
            </w:r>
            <w:r>
              <w:rPr>
                <w:rFonts w:hint="eastAsia"/>
                <w:i w:val="0"/>
                <w:iCs w:val="0"/>
                <w:color w:val="auto"/>
                <w:sz w:val="28"/>
                <w:highlight w:val="none"/>
                <w:lang w:eastAsia="zh-CN"/>
              </w:rPr>
              <w:t>，细颗粒物浓度</w:t>
            </w:r>
            <w:r>
              <w:rPr>
                <w:i w:val="0"/>
                <w:iCs w:val="0"/>
                <w:color w:val="auto"/>
                <w:sz w:val="28"/>
                <w:highlight w:val="none"/>
              </w:rPr>
              <w:t>控制在</w:t>
            </w:r>
            <w:r>
              <w:rPr>
                <w:rFonts w:hint="eastAsia"/>
                <w:i w:val="0"/>
                <w:iCs w:val="0"/>
                <w:color w:val="auto"/>
                <w:sz w:val="28"/>
                <w:highlight w:val="none"/>
                <w:lang w:val="en-US" w:eastAsia="zh-CN"/>
              </w:rPr>
              <w:t>27</w:t>
            </w:r>
            <w:r>
              <w:rPr>
                <w:i w:val="0"/>
                <w:iCs w:val="0"/>
                <w:color w:val="auto"/>
                <w:sz w:val="28"/>
                <w:highlight w:val="none"/>
              </w:rPr>
              <w:t>微克每立方米</w:t>
            </w:r>
            <w:r>
              <w:rPr>
                <w:rFonts w:hint="eastAsia"/>
                <w:i w:val="0"/>
                <w:iCs w:val="0"/>
                <w:color w:val="auto"/>
                <w:sz w:val="28"/>
                <w:highlight w:val="none"/>
                <w:lang w:eastAsia="zh-CN"/>
              </w:rPr>
              <w:t>。</w:t>
            </w:r>
            <w:r>
              <w:rPr>
                <w:i w:val="0"/>
                <w:iCs w:val="0"/>
                <w:color w:val="auto"/>
                <w:sz w:val="28"/>
                <w:highlight w:val="none"/>
              </w:rPr>
              <w:t>优良</w:t>
            </w:r>
            <w:r>
              <w:rPr>
                <w:rFonts w:hint="eastAsia"/>
                <w:i w:val="0"/>
                <w:iCs w:val="0"/>
                <w:color w:val="auto"/>
                <w:sz w:val="28"/>
                <w:highlight w:val="none"/>
                <w:lang w:val="en-US" w:eastAsia="zh-CN"/>
              </w:rPr>
              <w:t>天</w:t>
            </w:r>
            <w:r>
              <w:rPr>
                <w:i w:val="0"/>
                <w:iCs w:val="0"/>
                <w:color w:val="auto"/>
                <w:sz w:val="28"/>
                <w:highlight w:val="none"/>
              </w:rPr>
              <w:t>比率达到</w:t>
            </w:r>
            <w:r>
              <w:rPr>
                <w:rFonts w:hint="eastAsia"/>
                <w:i w:val="0"/>
                <w:iCs w:val="0"/>
                <w:color w:val="auto"/>
                <w:sz w:val="28"/>
                <w:highlight w:val="none"/>
                <w:lang w:val="en-US" w:eastAsia="zh-CN"/>
              </w:rPr>
              <w:t>76</w:t>
            </w:r>
            <w:r>
              <w:rPr>
                <w:i w:val="0"/>
                <w:iCs w:val="0"/>
                <w:color w:val="auto"/>
                <w:sz w:val="28"/>
                <w:highlight w:val="none"/>
              </w:rPr>
              <w:t>%以上，重污染天</w:t>
            </w:r>
            <w:r>
              <w:rPr>
                <w:rFonts w:hint="eastAsia"/>
                <w:i w:val="0"/>
                <w:iCs w:val="0"/>
                <w:color w:val="auto"/>
                <w:sz w:val="28"/>
                <w:highlight w:val="none"/>
                <w:lang w:val="en-US" w:eastAsia="zh-CN"/>
              </w:rPr>
              <w:t>数控制在6天以内。</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pacing w:val="-3"/>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等部门</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1" w:leftChars="0" w:right="0" w:rightChars="0"/>
              <w:jc w:val="center"/>
              <w:textAlignment w:val="auto"/>
              <w:outlineLvl w:val="9"/>
              <w:rPr>
                <w:i w:val="0"/>
                <w:iCs w:val="0"/>
                <w:color w:val="auto"/>
                <w:w w:val="100"/>
                <w:sz w:val="28"/>
                <w:highlight w:val="none"/>
              </w:rPr>
            </w:pPr>
            <w:r>
              <w:rPr>
                <w:i w:val="0"/>
                <w:iCs w:val="0"/>
                <w:color w:val="auto"/>
                <w:w w:val="100"/>
                <w:sz w:val="28"/>
                <w:highlight w:val="none"/>
              </w:rPr>
              <w:t>1</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3"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空气质量改善目标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各镇街（</w:t>
            </w:r>
            <w:r>
              <w:rPr>
                <w:i w:val="0"/>
                <w:iCs w:val="0"/>
                <w:color w:val="auto"/>
                <w:spacing w:val="-2"/>
                <w:sz w:val="28"/>
                <w:highlight w:val="none"/>
              </w:rPr>
              <w:t>地区</w:t>
            </w:r>
            <w:r>
              <w:rPr>
                <w:i w:val="0"/>
                <w:iCs w:val="0"/>
                <w:color w:val="auto"/>
                <w:spacing w:val="-3"/>
                <w:sz w:val="28"/>
                <w:highlight w:val="none"/>
              </w:rPr>
              <w:t>）、中关村密云园最大努力巩</w:t>
            </w:r>
            <w:r>
              <w:rPr>
                <w:i w:val="0"/>
                <w:iCs w:val="0"/>
                <w:color w:val="auto"/>
                <w:spacing w:val="-4"/>
                <w:sz w:val="28"/>
                <w:highlight w:val="none"/>
              </w:rPr>
              <w:t>固空气质量改善成效，细颗粒物浓度同比改</w:t>
            </w:r>
            <w:r>
              <w:rPr>
                <w:i w:val="0"/>
                <w:iCs w:val="0"/>
                <w:color w:val="auto"/>
                <w:spacing w:val="-3"/>
                <w:sz w:val="28"/>
                <w:highlight w:val="none"/>
              </w:rPr>
              <w:t>善或持平。</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1" w:leftChars="0" w:right="0" w:rightChars="0"/>
              <w:jc w:val="center"/>
              <w:textAlignment w:val="auto"/>
              <w:outlineLvl w:val="9"/>
              <w:rPr>
                <w:i w:val="0"/>
                <w:iCs w:val="0"/>
                <w:color w:val="auto"/>
                <w:w w:val="100"/>
                <w:sz w:val="28"/>
                <w:highlight w:val="none"/>
              </w:rPr>
            </w:pPr>
            <w:r>
              <w:rPr>
                <w:i w:val="0"/>
                <w:iCs w:val="0"/>
                <w:color w:val="auto"/>
                <w:w w:val="100"/>
                <w:sz w:val="28"/>
                <w:highlight w:val="none"/>
              </w:rPr>
              <w:t>2</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总量减排目标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pacing w:val="-12"/>
                <w:sz w:val="28"/>
                <w:highlight w:val="none"/>
              </w:rPr>
              <w:t>实现主要污染物排放总量持续下降，完成</w:t>
            </w:r>
            <w:r>
              <w:rPr>
                <w:rFonts w:hint="eastAsia"/>
                <w:i w:val="0"/>
                <w:iCs w:val="0"/>
                <w:color w:val="auto"/>
                <w:spacing w:val="-12"/>
                <w:sz w:val="28"/>
                <w:highlight w:val="none"/>
                <w:lang w:eastAsia="zh-CN"/>
              </w:rPr>
              <w:t>市级下达</w:t>
            </w:r>
            <w:r>
              <w:rPr>
                <w:i w:val="0"/>
                <w:iCs w:val="0"/>
                <w:color w:val="auto"/>
                <w:spacing w:val="-3"/>
                <w:sz w:val="28"/>
                <w:highlight w:val="none"/>
              </w:rPr>
              <w:t>氮氧化物</w:t>
            </w:r>
            <w:r>
              <w:rPr>
                <w:i w:val="0"/>
                <w:iCs w:val="0"/>
                <w:color w:val="auto"/>
                <w:sz w:val="28"/>
                <w:highlight w:val="none"/>
              </w:rPr>
              <w:t>（NOx）</w:t>
            </w:r>
            <w:r>
              <w:rPr>
                <w:i w:val="0"/>
                <w:iCs w:val="0"/>
                <w:color w:val="auto"/>
                <w:spacing w:val="-3"/>
                <w:sz w:val="28"/>
                <w:highlight w:val="none"/>
              </w:rPr>
              <w:t>、</w:t>
            </w:r>
            <w:r>
              <w:rPr>
                <w:i w:val="0"/>
                <w:iCs w:val="0"/>
                <w:color w:val="auto"/>
                <w:spacing w:val="-12"/>
                <w:sz w:val="28"/>
                <w:highlight w:val="none"/>
              </w:rPr>
              <w:t>挥发性有机物</w:t>
            </w:r>
            <w:r>
              <w:rPr>
                <w:i w:val="0"/>
                <w:iCs w:val="0"/>
                <w:color w:val="auto"/>
                <w:sz w:val="28"/>
                <w:highlight w:val="none"/>
              </w:rPr>
              <w:t>（VOCs）减排目标要求。</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4"/>
                <w:sz w:val="28"/>
                <w:highlight w:val="none"/>
              </w:rPr>
              <w:t>严格执行北京市生态环境准入清单，强化空</w:t>
            </w:r>
            <w:r>
              <w:rPr>
                <w:i w:val="0"/>
                <w:iCs w:val="0"/>
                <w:color w:val="auto"/>
                <w:spacing w:val="-3"/>
                <w:sz w:val="28"/>
                <w:highlight w:val="none"/>
              </w:rPr>
              <w:t>间、总量、准入生态环境管控。对于新增涉</w:t>
            </w:r>
            <w:r>
              <w:rPr>
                <w:i w:val="0"/>
                <w:iCs w:val="0"/>
                <w:color w:val="auto"/>
                <w:spacing w:val="5"/>
                <w:sz w:val="28"/>
                <w:highlight w:val="none"/>
              </w:rPr>
              <w:t>气建设项目严格执行</w:t>
            </w:r>
            <w:r>
              <w:rPr>
                <w:i w:val="0"/>
                <w:iCs w:val="0"/>
                <w:color w:val="auto"/>
                <w:sz w:val="28"/>
                <w:highlight w:val="none"/>
              </w:rPr>
              <w:t>NOx</w:t>
            </w:r>
            <w:r>
              <w:rPr>
                <w:i w:val="0"/>
                <w:iCs w:val="0"/>
                <w:color w:val="auto"/>
                <w:spacing w:val="-8"/>
                <w:sz w:val="28"/>
                <w:highlight w:val="none"/>
              </w:rPr>
              <w:t>、</w:t>
            </w:r>
            <w:r>
              <w:rPr>
                <w:i w:val="0"/>
                <w:iCs w:val="0"/>
                <w:color w:val="auto"/>
                <w:sz w:val="28"/>
                <w:highlight w:val="none"/>
              </w:rPr>
              <w:t>VOCs</w:t>
            </w:r>
            <w:r>
              <w:rPr>
                <w:i w:val="0"/>
                <w:iCs w:val="0"/>
                <w:color w:val="auto"/>
                <w:spacing w:val="-14"/>
                <w:sz w:val="28"/>
                <w:highlight w:val="none"/>
              </w:rPr>
              <w:t xml:space="preserve"> 等主要污染</w:t>
            </w:r>
            <w:r>
              <w:rPr>
                <w:i w:val="0"/>
                <w:iCs w:val="0"/>
                <w:color w:val="auto"/>
                <w:spacing w:val="-5"/>
                <w:sz w:val="28"/>
                <w:highlight w:val="none"/>
              </w:rPr>
              <w:t>物排放总量控制，实施“减二增一”削减量</w:t>
            </w:r>
            <w:r>
              <w:rPr>
                <w:i w:val="0"/>
                <w:iCs w:val="0"/>
                <w:color w:val="auto"/>
                <w:spacing w:val="-3"/>
                <w:sz w:val="28"/>
                <w:highlight w:val="none"/>
              </w:rPr>
              <w:t>替代审批制度。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区经信局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区交通局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区发改委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20"/>
                <w:w w:val="95"/>
                <w:sz w:val="28"/>
                <w:highlight w:val="none"/>
                <w:lang w:val="en-US" w:eastAsia="zh-CN"/>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ascii="黑体" w:eastAsia="黑体"/>
                <w:i w:val="0"/>
                <w:iCs w:val="0"/>
                <w:color w:val="auto"/>
                <w:sz w:val="28"/>
                <w:highlight w:val="none"/>
              </w:rPr>
              <w:t>二、实施挥发性有机物（VOCs）治理专项行动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pacing w:line="400" w:lineRule="exact"/>
              <w:ind w:left="11" w:leftChars="0" w:right="0" w:rightChars="0"/>
              <w:jc w:val="center"/>
              <w:textAlignment w:val="auto"/>
              <w:outlineLvl w:val="9"/>
              <w:rPr>
                <w:i w:val="0"/>
                <w:iCs w:val="0"/>
                <w:color w:val="auto"/>
                <w:w w:val="100"/>
                <w:sz w:val="28"/>
                <w:highlight w:val="none"/>
              </w:rPr>
            </w:pPr>
            <w:r>
              <w:rPr>
                <w:rFonts w:hint="eastAsia"/>
                <w:i w:val="0"/>
                <w:iCs w:val="0"/>
                <w:color w:val="auto"/>
                <w:w w:val="100"/>
                <w:sz w:val="28"/>
                <w:highlight w:val="none"/>
                <w:lang w:val="en-US" w:eastAsia="zh-CN"/>
              </w:rPr>
              <w:t>3</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3"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rPr>
              <w:t>推进VOCs综合整治</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4"/>
                <w:sz w:val="28"/>
                <w:szCs w:val="22"/>
                <w:highlight w:val="none"/>
                <w:lang w:val="en-US" w:eastAsia="en-US" w:bidi="ar-SA"/>
              </w:rPr>
              <w:t>加强VOCs浓度高值区、治理过程关键环节的突出问题溯源排查，持续开展VOCs全流程整治，有针对性地分类推进低（无）VOCs含量原辅材料源头替代、储罐综合治理、装卸废气收集治理、敞开液面逸散废气治理、加油站油气整治提升、有机废气收集处</w:t>
            </w:r>
            <w:r>
              <w:rPr>
                <w:rFonts w:hint="eastAsia" w:ascii="仿宋_GB2312" w:hAnsi="仿宋_GB2312" w:eastAsia="仿宋_GB2312" w:cs="仿宋_GB2312"/>
                <w:i w:val="0"/>
                <w:iCs w:val="0"/>
                <w:color w:val="auto"/>
                <w:spacing w:val="-17"/>
                <w:sz w:val="28"/>
                <w:szCs w:val="22"/>
                <w:highlight w:val="none"/>
                <w:lang w:val="en-US" w:eastAsia="en-US" w:bidi="ar-SA"/>
              </w:rPr>
              <w:t>理设施升级改造、VOCs治理“绿岛”项目等减排工程。</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w:t>
            </w:r>
            <w:r>
              <w:rPr>
                <w:rFonts w:hint="eastAsia"/>
                <w:i w:val="0"/>
                <w:iCs w:val="0"/>
                <w:color w:val="auto"/>
                <w:sz w:val="28"/>
                <w:highlight w:val="none"/>
              </w:rPr>
              <w:t>交通</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pacing w:val="-20"/>
                <w:w w:val="95"/>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pacing w:val="-20"/>
                <w:w w:val="95"/>
                <w:sz w:val="28"/>
                <w:highlight w:val="none"/>
              </w:rPr>
            </w:pPr>
            <w:r>
              <w:rPr>
                <w:rFonts w:hint="eastAsia"/>
                <w:i w:val="0"/>
                <w:iCs w:val="0"/>
                <w:color w:val="auto"/>
                <w:spacing w:val="-20"/>
                <w:w w:val="95"/>
                <w:sz w:val="28"/>
                <w:highlight w:val="none"/>
                <w:lang w:val="en-US" w:eastAsia="zh-CN"/>
              </w:rPr>
              <w:t>区</w:t>
            </w:r>
            <w:r>
              <w:rPr>
                <w:rFonts w:hint="eastAsia"/>
                <w:i w:val="0"/>
                <w:iCs w:val="0"/>
                <w:color w:val="auto"/>
                <w:spacing w:val="-20"/>
                <w:w w:val="95"/>
                <w:sz w:val="28"/>
                <w:highlight w:val="none"/>
              </w:rPr>
              <w:t>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1" w:leftChars="0" w:right="0" w:rightChars="0"/>
              <w:jc w:val="center"/>
              <w:textAlignment w:val="auto"/>
              <w:outlineLvl w:val="9"/>
              <w:rPr>
                <w:i w:val="0"/>
                <w:iCs w:val="0"/>
                <w:color w:val="auto"/>
                <w:w w:val="100"/>
                <w:sz w:val="28"/>
                <w:highlight w:val="none"/>
              </w:rPr>
            </w:pPr>
            <w:r>
              <w:rPr>
                <w:rFonts w:hint="eastAsia"/>
                <w:i w:val="0"/>
                <w:iCs w:val="0"/>
                <w:color w:val="auto"/>
                <w:w w:val="100"/>
                <w:sz w:val="28"/>
                <w:highlight w:val="none"/>
                <w:lang w:val="en-US" w:eastAsia="zh-CN"/>
              </w:rPr>
              <w:t>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积极推广新能源汽车</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4"/>
                <w:sz w:val="28"/>
                <w:highlight w:val="none"/>
              </w:rPr>
              <w:t>落实北京市“十四五”时期新能源汽车推广</w:t>
            </w:r>
            <w:r>
              <w:rPr>
                <w:i w:val="0"/>
                <w:iCs w:val="0"/>
                <w:color w:val="auto"/>
                <w:spacing w:val="-3"/>
                <w:sz w:val="28"/>
                <w:highlight w:val="none"/>
              </w:rPr>
              <w:t>应用工作方案。</w:t>
            </w:r>
            <w:r>
              <w:rPr>
                <w:rFonts w:hint="eastAsia"/>
                <w:i w:val="0"/>
                <w:iCs w:val="0"/>
                <w:color w:val="auto"/>
                <w:spacing w:val="-3"/>
                <w:sz w:val="28"/>
                <w:highlight w:val="none"/>
                <w:lang w:val="en-US" w:eastAsia="zh-CN"/>
              </w:rPr>
              <w:t>完成市级下达的新能源车推广任务</w:t>
            </w:r>
            <w:r>
              <w:rPr>
                <w:rFonts w:hint="eastAsia"/>
                <w:i w:val="0"/>
                <w:iCs w:val="0"/>
                <w:color w:val="auto"/>
                <w:spacing w:val="-3"/>
                <w:sz w:val="28"/>
                <w:highlight w:val="none"/>
              </w:rPr>
              <w:t>。针对生产、销售、使用、充电等环节，各</w:t>
            </w:r>
            <w:r>
              <w:rPr>
                <w:rFonts w:hint="eastAsia"/>
                <w:i w:val="0"/>
                <w:iCs w:val="0"/>
                <w:color w:val="auto"/>
                <w:spacing w:val="-3"/>
                <w:sz w:val="28"/>
                <w:highlight w:val="none"/>
                <w:lang w:val="en-US" w:eastAsia="zh-CN"/>
              </w:rPr>
              <w:t>相关</w:t>
            </w:r>
            <w:r>
              <w:rPr>
                <w:rFonts w:hint="eastAsia"/>
                <w:i w:val="0"/>
                <w:iCs w:val="0"/>
                <w:color w:val="auto"/>
                <w:spacing w:val="-3"/>
                <w:sz w:val="28"/>
                <w:highlight w:val="none"/>
              </w:rPr>
              <w:t>单位加快配套措施落地实施。</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按时间节点完成</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区经信局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2"/>
                <w:sz w:val="28"/>
                <w:highlight w:val="none"/>
              </w:rPr>
            </w:pPr>
            <w:r>
              <w:rPr>
                <w:i w:val="0"/>
                <w:iCs w:val="0"/>
                <w:color w:val="auto"/>
                <w:spacing w:val="-2"/>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5"/>
                <w:sz w:val="28"/>
                <w:highlight w:val="none"/>
              </w:rPr>
            </w:pPr>
            <w:r>
              <w:rPr>
                <w:i w:val="0"/>
                <w:iCs w:val="0"/>
                <w:color w:val="auto"/>
                <w:spacing w:val="-5"/>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z w:val="28"/>
                <w:highlight w:val="none"/>
              </w:rPr>
            </w:pPr>
            <w:r>
              <w:rPr>
                <w:i w:val="0"/>
                <w:iCs w:val="0"/>
                <w:color w:val="auto"/>
                <w:spacing w:val="-1"/>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中国邮政密云分公司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级财政支持的机关、事业单位、国有企业和社会团体新增和更新的车辆原则上为纯电动或氢燃料电池车（长期在偏远山区或河湖区使用、无适配车型及确因工作需要等除外）。对于具备条件的新增和更新执法执勤、通勤等专用或特殊车辆优先选用纯电动或氢燃料电池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left"/>
              <w:textAlignment w:val="auto"/>
              <w:outlineLvl w:val="9"/>
              <w:rPr>
                <w:i w:val="0"/>
                <w:iCs w:val="0"/>
                <w:color w:val="auto"/>
                <w:spacing w:val="-3"/>
                <w:sz w:val="28"/>
                <w:highlight w:val="none"/>
              </w:rPr>
            </w:pPr>
            <w:r>
              <w:rPr>
                <w:rFonts w:hint="eastAsia"/>
                <w:i w:val="0"/>
                <w:iCs w:val="0"/>
                <w:color w:val="auto"/>
                <w:spacing w:val="-20"/>
                <w:w w:val="95"/>
                <w:sz w:val="28"/>
                <w:highlight w:val="none"/>
                <w:lang w:val="en-US" w:eastAsia="zh-CN"/>
              </w:rPr>
              <w:t>区机关事务管理中心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left"/>
              <w:textAlignment w:val="auto"/>
              <w:outlineLvl w:val="9"/>
              <w:rPr>
                <w:i w:val="0"/>
                <w:iCs w:val="0"/>
                <w:color w:val="auto"/>
                <w:sz w:val="28"/>
                <w:highlight w:val="none"/>
              </w:rPr>
            </w:pPr>
            <w:r>
              <w:rPr>
                <w:i w:val="0"/>
                <w:iCs w:val="0"/>
                <w:color w:val="auto"/>
                <w:spacing w:val="-3"/>
                <w:sz w:val="28"/>
                <w:highlight w:val="none"/>
              </w:rPr>
              <w:t>全区党政机关、事业单位和社</w:t>
            </w:r>
            <w:r>
              <w:rPr>
                <w:i w:val="0"/>
                <w:iCs w:val="0"/>
                <w:color w:val="auto"/>
                <w:spacing w:val="-2"/>
                <w:sz w:val="28"/>
                <w:highlight w:val="none"/>
              </w:rPr>
              <w:t>会体</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积极推广新能源汽车</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color w:val="auto"/>
                <w:sz w:val="28"/>
                <w:szCs w:val="28"/>
                <w:highlight w:val="none"/>
                <w:lang w:val="en-US" w:eastAsia="zh-CN"/>
              </w:rPr>
              <w:t>落实</w:t>
            </w:r>
            <w:r>
              <w:rPr>
                <w:rFonts w:hint="eastAsia" w:ascii="仿宋_GB2312" w:eastAsia="仿宋_GB2312"/>
                <w:color w:val="auto"/>
                <w:sz w:val="28"/>
                <w:szCs w:val="28"/>
                <w:highlight w:val="none"/>
              </w:rPr>
              <w:t>市新能源汽车联席会议办公室</w:t>
            </w:r>
            <w:r>
              <w:rPr>
                <w:rFonts w:hint="eastAsia" w:ascii="仿宋_GB2312" w:eastAsia="仿宋_GB2312"/>
                <w:color w:val="auto"/>
                <w:sz w:val="28"/>
                <w:szCs w:val="28"/>
                <w:highlight w:val="none"/>
                <w:lang w:eastAsia="zh-CN"/>
              </w:rPr>
              <w:t>组织</w:t>
            </w:r>
            <w:r>
              <w:rPr>
                <w:rFonts w:hint="eastAsia" w:ascii="仿宋_GB2312" w:eastAsia="仿宋_GB2312"/>
                <w:color w:val="auto"/>
                <w:sz w:val="28"/>
                <w:szCs w:val="28"/>
                <w:highlight w:val="none"/>
              </w:rPr>
              <w:t>制定实施存量社会燃油小客车“油换电”“油换氢”激励政策，通过成本激励、通行便利以及同步鼓励汽车企业制定置换补贴政策等方式，加快推动存量社会燃油小客车电动化。</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6月底前</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经信局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按照</w:t>
            </w:r>
            <w:r>
              <w:rPr>
                <w:rFonts w:hint="eastAsia"/>
                <w:i w:val="0"/>
                <w:iCs w:val="0"/>
                <w:color w:val="auto"/>
                <w:sz w:val="28"/>
                <w:highlight w:val="none"/>
                <w:lang w:val="en-US" w:eastAsia="zh-CN"/>
              </w:rPr>
              <w:t>全市</w:t>
            </w:r>
            <w:r>
              <w:rPr>
                <w:i w:val="0"/>
                <w:iCs w:val="0"/>
                <w:color w:val="auto"/>
                <w:sz w:val="28"/>
                <w:highlight w:val="none"/>
              </w:rPr>
              <w:t>统一部署，落实针对新能源汽车的道路差异化停车收费价格</w:t>
            </w:r>
            <w:r>
              <w:rPr>
                <w:rFonts w:hint="eastAsia"/>
                <w:i w:val="0"/>
                <w:iCs w:val="0"/>
                <w:color w:val="auto"/>
                <w:sz w:val="28"/>
                <w:highlight w:val="none"/>
                <w:lang w:val="en-US" w:eastAsia="zh-CN"/>
              </w:rPr>
              <w:t>政策</w:t>
            </w:r>
            <w:r>
              <w:rPr>
                <w:i w:val="0"/>
                <w:iCs w:val="0"/>
                <w:color w:val="auto"/>
                <w:sz w:val="28"/>
                <w:highlight w:val="none"/>
              </w:rPr>
              <w:t>。</w:t>
            </w:r>
            <w:r>
              <w:rPr>
                <w:rFonts w:hint="eastAsia"/>
                <w:i w:val="0"/>
                <w:iCs w:val="0"/>
                <w:color w:val="auto"/>
                <w:sz w:val="28"/>
                <w:highlight w:val="none"/>
              </w:rPr>
              <w:t>因地制宜制定辖区新能源车推广、通行便利、停车优惠、配套设施建设等鼓励政策。</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i w:val="0"/>
                <w:iCs w:val="0"/>
                <w:color w:val="auto"/>
                <w:sz w:val="28"/>
                <w:highlight w:val="none"/>
              </w:rPr>
            </w:pPr>
            <w:r>
              <w:rPr>
                <w:rFonts w:hint="eastAsia"/>
                <w:color w:val="auto"/>
                <w:sz w:val="28"/>
                <w:szCs w:val="28"/>
                <w:highlight w:val="none"/>
                <w:lang w:val="en-US" w:eastAsia="zh-CN"/>
              </w:rPr>
              <w:t>落实全市</w:t>
            </w:r>
            <w:r>
              <w:rPr>
                <w:rFonts w:hint="eastAsia" w:ascii="仿宋_GB2312" w:eastAsia="仿宋_GB2312"/>
                <w:color w:val="auto"/>
                <w:sz w:val="28"/>
                <w:szCs w:val="28"/>
                <w:highlight w:val="none"/>
              </w:rPr>
              <w:t>机动车超低排放区政策，按照积极稳妥、有序引导原则分阶段、分行业推进非新能源车辆进入超低排放区。</w:t>
            </w:r>
          </w:p>
        </w:tc>
        <w:tc>
          <w:tcPr>
            <w:tcW w:w="1229" w:type="dxa"/>
            <w:vAlign w:val="center"/>
          </w:tcPr>
          <w:p>
            <w:pPr>
              <w:snapToGrid w:val="0"/>
              <w:spacing w:line="320" w:lineRule="exact"/>
              <w:ind w:left="0" w:leftChars="0" w:right="0" w:rightChars="0"/>
              <w:jc w:val="center"/>
              <w:rPr>
                <w:i w:val="0"/>
                <w:iCs w:val="0"/>
                <w:color w:val="auto"/>
                <w:sz w:val="28"/>
                <w:highlight w:val="none"/>
              </w:rPr>
            </w:pPr>
            <w:r>
              <w:rPr>
                <w:rFonts w:hint="eastAsia" w:ascii="仿宋_GB2312" w:eastAsia="仿宋_GB2312"/>
                <w:color w:val="auto"/>
                <w:sz w:val="28"/>
                <w:szCs w:val="28"/>
                <w:highlight w:val="none"/>
              </w:rPr>
              <w:t>年底前</w:t>
            </w:r>
          </w:p>
        </w:tc>
        <w:tc>
          <w:tcPr>
            <w:tcW w:w="4336" w:type="dxa"/>
            <w:gridSpan w:val="6"/>
            <w:vAlign w:val="center"/>
          </w:tcPr>
          <w:p>
            <w:pPr>
              <w:snapToGrid w:val="0"/>
              <w:spacing w:line="320" w:lineRule="exact"/>
              <w:ind w:left="0" w:leftChars="0" w:right="-68" w:rightChars="-31"/>
              <w:jc w:val="center"/>
              <w:rPr>
                <w:rFonts w:hint="eastAsia"/>
                <w:color w:val="auto"/>
                <w:sz w:val="28"/>
                <w:szCs w:val="28"/>
                <w:highlight w:val="none"/>
                <w:lang w:val="en-US" w:eastAsia="zh-CN"/>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交通</w:t>
            </w:r>
            <w:r>
              <w:rPr>
                <w:rFonts w:hint="eastAsia"/>
                <w:color w:val="auto"/>
                <w:sz w:val="28"/>
                <w:szCs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i w:val="0"/>
                <w:iCs w:val="0"/>
                <w:color w:val="auto"/>
                <w:sz w:val="28"/>
                <w:highlight w:val="none"/>
              </w:rPr>
            </w:pPr>
            <w:r>
              <w:rPr>
                <w:rFonts w:hint="eastAsia"/>
                <w:color w:val="auto"/>
                <w:sz w:val="28"/>
                <w:szCs w:val="28"/>
                <w:highlight w:val="none"/>
                <w:lang w:val="en-US" w:eastAsia="zh-CN"/>
              </w:rPr>
              <w:t>落实北京市</w:t>
            </w:r>
            <w:r>
              <w:rPr>
                <w:rFonts w:hint="eastAsia" w:ascii="仿宋_GB2312" w:eastAsia="仿宋_GB2312"/>
                <w:color w:val="auto"/>
                <w:sz w:val="28"/>
                <w:szCs w:val="28"/>
                <w:highlight w:val="none"/>
              </w:rPr>
              <w:t>实施新一轮小客车置换新能源汽车补贴政策。</w:t>
            </w:r>
          </w:p>
        </w:tc>
        <w:tc>
          <w:tcPr>
            <w:tcW w:w="1229" w:type="dxa"/>
            <w:vAlign w:val="center"/>
          </w:tcPr>
          <w:p>
            <w:pPr>
              <w:snapToGrid w:val="0"/>
              <w:spacing w:line="320" w:lineRule="exact"/>
              <w:ind w:left="0" w:leftChars="0" w:right="0" w:rightChars="0"/>
              <w:jc w:val="center"/>
              <w:rPr>
                <w:i w:val="0"/>
                <w:iCs w:val="0"/>
                <w:color w:val="auto"/>
                <w:sz w:val="28"/>
                <w:highlight w:val="none"/>
              </w:rPr>
            </w:pPr>
            <w:r>
              <w:rPr>
                <w:rFonts w:hint="eastAsia" w:ascii="仿宋_GB2312" w:eastAsia="仿宋_GB2312"/>
                <w:color w:val="auto"/>
                <w:sz w:val="28"/>
                <w:szCs w:val="28"/>
                <w:highlight w:val="none"/>
              </w:rPr>
              <w:t>6月底前</w:t>
            </w:r>
          </w:p>
        </w:tc>
        <w:tc>
          <w:tcPr>
            <w:tcW w:w="4336" w:type="dxa"/>
            <w:gridSpan w:val="6"/>
            <w:vAlign w:val="center"/>
          </w:tcPr>
          <w:p>
            <w:pPr>
              <w:snapToGrid w:val="0"/>
              <w:spacing w:line="320" w:lineRule="exact"/>
              <w:ind w:left="0" w:leftChars="0" w:right="-68" w:rightChars="-31"/>
              <w:jc w:val="center"/>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商务局</w:t>
            </w:r>
          </w:p>
        </w:tc>
        <w:tc>
          <w:tcPr>
            <w:tcW w:w="2332" w:type="dxa"/>
            <w:vAlign w:val="center"/>
          </w:tcPr>
          <w:p>
            <w:pPr>
              <w:snapToGrid w:val="0"/>
              <w:spacing w:line="320" w:lineRule="exact"/>
              <w:ind w:right="-68" w:rightChars="-31"/>
              <w:jc w:val="center"/>
              <w:rPr>
                <w:rFonts w:hint="eastAsia" w:ascii="仿宋_GB2312" w:eastAsia="仿宋_GB2312"/>
                <w:color w:val="auto"/>
                <w:sz w:val="28"/>
                <w:szCs w:val="28"/>
                <w:highlight w:val="none"/>
              </w:rPr>
            </w:pPr>
            <w:r>
              <w:rPr>
                <w:rFonts w:hint="eastAsia"/>
                <w:color w:val="auto"/>
                <w:spacing w:val="-14"/>
                <w:sz w:val="28"/>
                <w:szCs w:val="28"/>
                <w:highlight w:val="none"/>
                <w:lang w:val="en-US" w:eastAsia="zh-CN"/>
              </w:rPr>
              <w:t>区</w:t>
            </w:r>
            <w:r>
              <w:rPr>
                <w:rFonts w:hint="eastAsia" w:ascii="仿宋_GB2312" w:eastAsia="仿宋_GB2312"/>
                <w:color w:val="auto"/>
                <w:spacing w:val="-14"/>
                <w:sz w:val="28"/>
                <w:szCs w:val="28"/>
                <w:highlight w:val="none"/>
              </w:rPr>
              <w:t>经信局</w:t>
            </w:r>
          </w:p>
          <w:p>
            <w:pPr>
              <w:snapToGrid w:val="0"/>
              <w:spacing w:line="320" w:lineRule="exact"/>
              <w:ind w:left="0" w:leftChars="0" w:right="0" w:rightChars="0"/>
              <w:jc w:val="center"/>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落实全市</w:t>
            </w:r>
            <w:r>
              <w:rPr>
                <w:rFonts w:hint="eastAsia"/>
                <w:i w:val="0"/>
                <w:iCs w:val="0"/>
                <w:color w:val="auto"/>
                <w:sz w:val="28"/>
                <w:highlight w:val="none"/>
              </w:rPr>
              <w:t>加强居住区电动汽车充电设施建设和管理的意见</w:t>
            </w:r>
            <w:r>
              <w:rPr>
                <w:rFonts w:hint="eastAsia"/>
                <w:i w:val="0"/>
                <w:iCs w:val="0"/>
                <w:color w:val="auto"/>
                <w:sz w:val="28"/>
                <w:highlight w:val="none"/>
                <w:lang w:val="en-US" w:eastAsia="zh-CN"/>
              </w:rPr>
              <w:t>以及市城管委制定的</w:t>
            </w:r>
            <w:r>
              <w:rPr>
                <w:rFonts w:hint="eastAsia"/>
                <w:i w:val="0"/>
                <w:iCs w:val="0"/>
                <w:color w:val="auto"/>
                <w:sz w:val="28"/>
                <w:highlight w:val="none"/>
              </w:rPr>
              <w:t>电力设施统装统建政策，鼓励将停车位及充电设施电气化改造与老旧小区改造同步实施。</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按时间节点完成</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2"/>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区供电公司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 xml:space="preserve"> </w:t>
            </w: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7" w:firstLine="14"/>
              <w:jc w:val="both"/>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低VOCs</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pacing w:val="-8"/>
                <w:sz w:val="28"/>
                <w:highlight w:val="none"/>
              </w:rPr>
              <w:t>含量产品源头</w:t>
            </w:r>
            <w:r>
              <w:rPr>
                <w:i w:val="0"/>
                <w:iCs w:val="0"/>
                <w:color w:val="auto"/>
                <w:spacing w:val="-9"/>
                <w:sz w:val="28"/>
                <w:highlight w:val="none"/>
              </w:rPr>
              <w:t>替代</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市场监管局对生产、流通环节涂料、胶粘剂、清洗剂、油墨等含VOCs产品开展抽检，强化对电商网络销售渠道含VOCs产品的抽检力度，抽检结果定期公示</w:t>
            </w:r>
            <w:r>
              <w:rPr>
                <w:rFonts w:hint="eastAsia"/>
                <w:i w:val="0"/>
                <w:iCs w:val="0"/>
                <w:color w:val="auto"/>
                <w:spacing w:val="-3"/>
                <w:sz w:val="28"/>
                <w:highlight w:val="none"/>
                <w:lang w:eastAsia="zh-CN"/>
              </w:rPr>
              <w:t>，</w:t>
            </w:r>
            <w:r>
              <w:rPr>
                <w:rFonts w:hint="eastAsia"/>
                <w:i w:val="0"/>
                <w:iCs w:val="0"/>
                <w:color w:val="auto"/>
                <w:spacing w:val="-3"/>
                <w:sz w:val="28"/>
                <w:highlight w:val="none"/>
                <w:lang w:val="en-US" w:eastAsia="zh-CN"/>
              </w:rPr>
              <w:t>完成市级下发抽检任务。</w:t>
            </w:r>
            <w:r>
              <w:rPr>
                <w:rFonts w:hint="eastAsia"/>
                <w:i w:val="0"/>
                <w:iCs w:val="0"/>
                <w:color w:val="auto"/>
                <w:spacing w:val="-3"/>
                <w:sz w:val="28"/>
                <w:highlight w:val="none"/>
              </w:rPr>
              <w:t>按照全市统一部署，开展对溶剂型VOCs产品的专项抽检工作。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rFonts w:hint="eastAsia"/>
                <w:i w:val="0"/>
                <w:iCs w:val="0"/>
                <w:color w:val="auto"/>
                <w:sz w:val="28"/>
                <w:highlight w:val="none"/>
              </w:rPr>
            </w:pPr>
            <w:r>
              <w:rPr>
                <w:rFonts w:hint="eastAsia"/>
                <w:i w:val="0"/>
                <w:iCs w:val="0"/>
                <w:color w:val="auto"/>
                <w:sz w:val="28"/>
                <w:highlight w:val="none"/>
              </w:rPr>
              <w:t>工程建设领域大力推广绿色环保产品，在政府投资建设工程中，优先使用低VOCs含量产品。住房城乡建设、城市管理、交通等行业主管部门指导各区，组织施工工地建设单位通过招标文件等方式对施工单位提出使用符合北京市《建筑类涂料与胶粘剂挥发性有机化合物含量限值标准》（DB11/ 1983-2022）产品的相关要求。</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行业主管部门应对台账、检测报告等材料开展定期检查，并对10%的工地开展抽检。</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2"/>
                <w:sz w:val="28"/>
                <w:highlight w:val="none"/>
              </w:rPr>
            </w:pPr>
            <w:r>
              <w:rPr>
                <w:i w:val="0"/>
                <w:iCs w:val="0"/>
                <w:color w:val="auto"/>
                <w:spacing w:val="-2"/>
                <w:sz w:val="28"/>
                <w:highlight w:val="none"/>
              </w:rPr>
              <w:t xml:space="preserve">区住建委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hanging="3" w:firstLineChars="0"/>
              <w:jc w:val="center"/>
              <w:textAlignment w:val="auto"/>
              <w:outlineLvl w:val="9"/>
              <w:rPr>
                <w:i w:val="0"/>
                <w:iCs w:val="0"/>
                <w:color w:val="auto"/>
                <w:sz w:val="28"/>
                <w:highlight w:val="none"/>
              </w:rPr>
            </w:pPr>
            <w:r>
              <w:rPr>
                <w:i w:val="0"/>
                <w:iCs w:val="0"/>
                <w:color w:val="auto"/>
                <w:spacing w:val="-2"/>
                <w:sz w:val="28"/>
                <w:highlight w:val="none"/>
              </w:rPr>
              <w:t>区财政局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7" w:firstLine="14"/>
              <w:jc w:val="both"/>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低VOCs</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pacing w:val="-8"/>
                <w:sz w:val="28"/>
                <w:highlight w:val="none"/>
              </w:rPr>
              <w:t>含量产品源头</w:t>
            </w:r>
            <w:r>
              <w:rPr>
                <w:i w:val="0"/>
                <w:iCs w:val="0"/>
                <w:color w:val="auto"/>
                <w:spacing w:val="-9"/>
                <w:sz w:val="28"/>
                <w:highlight w:val="none"/>
              </w:rPr>
              <w:t>替代</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区经信局</w:t>
            </w:r>
            <w:r>
              <w:rPr>
                <w:rFonts w:hint="eastAsia"/>
                <w:i w:val="0"/>
                <w:iCs w:val="0"/>
                <w:color w:val="auto"/>
                <w:sz w:val="28"/>
                <w:highlight w:val="none"/>
              </w:rPr>
              <w:t>鼓励工业涂装企业使用符合国家和本市标准的涂料、胶粘剂等低VOCs含量原辅材料。生态环境部门开展专项执法检查，对发现的含VOCs原辅材料检测超标线索移交市场监管部门，市场监管部门定期反馈处置结果。</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加强执法检查，督促工业涂装企业建立原辅材料台账，并使用符合标准的低VOCs含量产品。</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按照本市沥青混合料绿色评价技术指南，组织对沥青混合料开展分级评价；并研究鼓励政策，推进优先使用污染排放、能耗低的产品。</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区公路分局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6</w:t>
            </w:r>
          </w:p>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8" w:firstLine="14"/>
              <w:jc w:val="left"/>
              <w:textAlignment w:val="auto"/>
              <w:outlineLvl w:val="9"/>
              <w:rPr>
                <w:i w:val="0"/>
                <w:iCs w:val="0"/>
                <w:color w:val="auto"/>
                <w:sz w:val="28"/>
                <w:highlight w:val="none"/>
              </w:rPr>
            </w:pPr>
            <w:r>
              <w:rPr>
                <w:i w:val="0"/>
                <w:iCs w:val="0"/>
                <w:color w:val="auto"/>
                <w:sz w:val="28"/>
                <w:highlight w:val="none"/>
              </w:rPr>
              <w:t>加强重点行业VOCs</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全流程管控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组织重点行业企业依法开展强制性清洁生产审核，完成市级下达任务。</w:t>
            </w:r>
            <w:r>
              <w:rPr>
                <w:rFonts w:hint="eastAsia"/>
                <w:i w:val="0"/>
                <w:iCs w:val="0"/>
                <w:color w:val="auto"/>
                <w:sz w:val="28"/>
                <w:highlight w:val="none"/>
              </w:rPr>
              <w:t>强化对审核企业的监管，对不实施强制性清洁生产审核或者不报告审核结果的企业依法责令限期改正。</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8"/>
                <w:sz w:val="28"/>
                <w:highlight w:val="none"/>
              </w:rPr>
              <w:t>积极推行“一厂一策”制度，组织</w:t>
            </w:r>
            <w:r>
              <w:rPr>
                <w:i w:val="0"/>
                <w:iCs w:val="0"/>
                <w:color w:val="auto"/>
                <w:sz w:val="28"/>
                <w:highlight w:val="none"/>
              </w:rPr>
              <w:t>4</w:t>
            </w:r>
            <w:r>
              <w:rPr>
                <w:i w:val="0"/>
                <w:iCs w:val="0"/>
                <w:color w:val="auto"/>
                <w:spacing w:val="-18"/>
                <w:sz w:val="28"/>
                <w:highlight w:val="none"/>
              </w:rPr>
              <w:t>家重点</w:t>
            </w:r>
            <w:r>
              <w:rPr>
                <w:i w:val="0"/>
                <w:iCs w:val="0"/>
                <w:color w:val="auto"/>
                <w:spacing w:val="-4"/>
                <w:sz w:val="28"/>
                <w:highlight w:val="none"/>
              </w:rPr>
              <w:t>行业企业开展精细化治理，并开展治理效果</w:t>
            </w:r>
            <w:r>
              <w:rPr>
                <w:i w:val="0"/>
                <w:iCs w:val="0"/>
                <w:color w:val="auto"/>
                <w:spacing w:val="-3"/>
                <w:sz w:val="28"/>
                <w:highlight w:val="none"/>
              </w:rPr>
              <w:t>评估。</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3"/>
                <w:sz w:val="28"/>
                <w:highlight w:val="none"/>
              </w:rPr>
              <w:t>组织重点企业实施绿色诊断，支持企业对标行业先进资源能源消耗水平和污染物排放水平等开展绿色化技术改造。</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rFonts w:hint="eastAsia" w:eastAsia="仿宋_GB2312"/>
                <w:i w:val="0"/>
                <w:iCs w:val="0"/>
                <w:color w:val="auto"/>
                <w:sz w:val="28"/>
                <w:highlight w:val="none"/>
                <w:lang w:val="en-US" w:eastAsia="zh-CN"/>
              </w:rPr>
            </w:pPr>
            <w:r>
              <w:rPr>
                <w:rFonts w:hint="eastAsia" w:cs="仿宋_GB2312"/>
                <w:i w:val="0"/>
                <w:iCs w:val="0"/>
                <w:color w:val="auto"/>
                <w:spacing w:val="-3"/>
                <w:sz w:val="28"/>
                <w:szCs w:val="22"/>
                <w:highlight w:val="none"/>
                <w:lang w:val="en-US" w:eastAsia="zh-CN" w:bidi="ar-SA"/>
              </w:rPr>
              <w:t>落实北京市新修订</w:t>
            </w:r>
            <w:r>
              <w:rPr>
                <w:rFonts w:hint="eastAsia" w:ascii="仿宋_GB2312" w:hAnsi="仿宋_GB2312" w:eastAsia="仿宋_GB2312" w:cs="仿宋_GB2312"/>
                <w:i w:val="0"/>
                <w:iCs w:val="0"/>
                <w:color w:val="auto"/>
                <w:spacing w:val="-3"/>
                <w:sz w:val="28"/>
                <w:szCs w:val="22"/>
                <w:highlight w:val="none"/>
                <w:lang w:val="en-US" w:eastAsia="en-US" w:bidi="ar-SA"/>
              </w:rPr>
              <w:t>《汽车制造业大气污染物排放标准》《印刷工业大气污染物排放标准》</w:t>
            </w:r>
            <w:r>
              <w:rPr>
                <w:rFonts w:hint="eastAsia" w:cs="仿宋_GB2312"/>
                <w:i w:val="0"/>
                <w:iCs w:val="0"/>
                <w:color w:val="auto"/>
                <w:spacing w:val="-3"/>
                <w:sz w:val="28"/>
                <w:szCs w:val="22"/>
                <w:highlight w:val="none"/>
                <w:lang w:val="en-US" w:eastAsia="zh-CN" w:bidi="ar-SA"/>
              </w:rPr>
              <w:t>，加大宣传、执法力度。</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年底前</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市场监管局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9"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7</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35" w:line="400" w:lineRule="exact"/>
              <w:ind w:left="106" w:right="107" w:firstLine="14"/>
              <w:jc w:val="both"/>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产业园区企业集群VOCs</w:t>
            </w:r>
          </w:p>
          <w:p>
            <w:pPr>
              <w:pStyle w:val="16"/>
              <w:keepNext w:val="0"/>
              <w:keepLines w:val="0"/>
              <w:pageBreakBefore w:val="0"/>
              <w:widowControl w:val="0"/>
              <w:kinsoku/>
              <w:wordWrap/>
              <w:overflowPunct/>
              <w:topLinePunct w:val="0"/>
              <w:autoSpaceDE w:val="0"/>
              <w:autoSpaceDN w:val="0"/>
              <w:bidi w:val="0"/>
              <w:adjustRightInd/>
              <w:snapToGrid/>
              <w:spacing w:before="10" w:line="400" w:lineRule="exact"/>
              <w:ind w:left="101" w:leftChars="0" w:right="90" w:rightChars="0"/>
              <w:jc w:val="both"/>
              <w:textAlignment w:val="auto"/>
              <w:outlineLvl w:val="9"/>
              <w:rPr>
                <w:i w:val="0"/>
                <w:iCs w:val="0"/>
                <w:color w:val="auto"/>
                <w:sz w:val="28"/>
                <w:highlight w:val="none"/>
              </w:rPr>
            </w:pPr>
            <w:r>
              <w:rPr>
                <w:i w:val="0"/>
                <w:iCs w:val="0"/>
                <w:color w:val="auto"/>
                <w:spacing w:val="-1"/>
                <w:sz w:val="28"/>
                <w:highlight w:val="none"/>
              </w:rPr>
              <w:t>治理</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0"/>
                <w:sz w:val="28"/>
                <w:highlight w:val="none"/>
              </w:rPr>
              <w:t>配合市相关部门</w:t>
            </w:r>
            <w:r>
              <w:rPr>
                <w:rFonts w:hint="eastAsia"/>
                <w:i w:val="0"/>
                <w:iCs w:val="0"/>
                <w:color w:val="auto"/>
                <w:spacing w:val="0"/>
                <w:sz w:val="28"/>
                <w:highlight w:val="none"/>
                <w:lang w:val="en-US" w:eastAsia="zh-CN"/>
              </w:rPr>
              <w:t>完成园区规划环评，明确“十四五”时期VOCs排放总量和减排路径；</w:t>
            </w:r>
            <w:r>
              <w:rPr>
                <w:rFonts w:hint="eastAsia"/>
                <w:i w:val="0"/>
                <w:iCs w:val="0"/>
                <w:color w:val="auto"/>
                <w:spacing w:val="0"/>
                <w:sz w:val="28"/>
                <w:highlight w:val="none"/>
              </w:rPr>
              <w:t>园区结合自身产业结构和VOCs排放特点，制定2023年VOCs治理措施清单并组织实施。</w:t>
            </w:r>
            <w:r>
              <w:rPr>
                <w:i w:val="0"/>
                <w:iCs w:val="0"/>
                <w:color w:val="auto"/>
                <w:spacing w:val="0"/>
                <w:sz w:val="28"/>
                <w:highlight w:val="none"/>
              </w:rPr>
              <w:t>推进VOC 排放持续下降，确保“十四五”期末达到国家和市级减排要求。</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8</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40" w:lineRule="exact"/>
              <w:ind w:left="119"/>
              <w:jc w:val="both"/>
              <w:textAlignment w:val="auto"/>
              <w:outlineLvl w:val="9"/>
              <w:rPr>
                <w:i w:val="0"/>
                <w:iCs w:val="0"/>
                <w:color w:val="auto"/>
                <w:sz w:val="28"/>
                <w:highlight w:val="none"/>
              </w:rPr>
            </w:pPr>
            <w:r>
              <w:rPr>
                <w:i w:val="0"/>
                <w:iCs w:val="0"/>
                <w:color w:val="auto"/>
                <w:spacing w:val="0"/>
                <w:sz w:val="28"/>
                <w:highlight w:val="none"/>
              </w:rPr>
              <w:t>促进油品和储运环节油气减排</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pacing w:val="0"/>
                <w:sz w:val="28"/>
                <w:highlight w:val="none"/>
              </w:rPr>
            </w:pPr>
            <w:r>
              <w:rPr>
                <w:rFonts w:hint="eastAsia"/>
                <w:i w:val="0"/>
                <w:iCs w:val="0"/>
                <w:color w:val="auto"/>
                <w:spacing w:val="0"/>
                <w:sz w:val="28"/>
                <w:highlight w:val="none"/>
              </w:rPr>
              <w:t>市场监管部门依法对生产、销售和使用环节的机动车和非道路移动机械用油品及清净剂、还原剂等产品质量开展监督检查，开展重型车和非道路移动机械实际使用柴油和尿素抽测，依法查处以假充真、以次充好等生产、销售伪劣产品行为。</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促进油品和储运环节油气减排</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pacing w:val="0"/>
                <w:sz w:val="28"/>
                <w:highlight w:val="none"/>
              </w:rPr>
            </w:pPr>
            <w:r>
              <w:rPr>
                <w:i w:val="0"/>
                <w:iCs w:val="0"/>
                <w:color w:val="auto"/>
                <w:spacing w:val="0"/>
                <w:sz w:val="28"/>
                <w:highlight w:val="none"/>
              </w:rPr>
              <w:t>区公安分局</w:t>
            </w:r>
            <w:r>
              <w:rPr>
                <w:rFonts w:hint="eastAsia"/>
                <w:i w:val="0"/>
                <w:iCs w:val="0"/>
                <w:color w:val="auto"/>
                <w:spacing w:val="0"/>
                <w:sz w:val="28"/>
                <w:highlight w:val="none"/>
              </w:rPr>
              <w:t>依法打击通过“自备罐”“流动加油车”“黑加油站点”等非法储存、运输、销售成品油的违法犯罪行为，及时宣传曝光典型案例，营造高压态势。</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区公安分局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各行业部门督促本行业非道路移动机械使用符合标准的燃料。</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4"/>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
                <w:sz w:val="28"/>
                <w:highlight w:val="none"/>
              </w:rPr>
            </w:pPr>
            <w:r>
              <w:rPr>
                <w:i w:val="0"/>
                <w:iCs w:val="0"/>
                <w:color w:val="auto"/>
                <w:spacing w:val="-1"/>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区公路分局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2"/>
                <w:sz w:val="28"/>
                <w:highlight w:val="none"/>
              </w:rPr>
              <w:t>夏季</w:t>
            </w:r>
            <w:r>
              <w:rPr>
                <w:i w:val="0"/>
                <w:iCs w:val="0"/>
                <w:color w:val="auto"/>
                <w:sz w:val="28"/>
                <w:highlight w:val="none"/>
              </w:rPr>
              <w:t>（6—9</w:t>
            </w:r>
            <w:r>
              <w:rPr>
                <w:i w:val="0"/>
                <w:iCs w:val="0"/>
                <w:color w:val="auto"/>
                <w:spacing w:val="-36"/>
                <w:sz w:val="28"/>
                <w:highlight w:val="none"/>
              </w:rPr>
              <w:t xml:space="preserve"> 月</w:t>
            </w:r>
            <w:r>
              <w:rPr>
                <w:i w:val="0"/>
                <w:iCs w:val="0"/>
                <w:color w:val="auto"/>
                <w:sz w:val="28"/>
                <w:highlight w:val="none"/>
              </w:rPr>
              <w:t>）</w:t>
            </w:r>
            <w:r>
              <w:rPr>
                <w:i w:val="0"/>
                <w:iCs w:val="0"/>
                <w:color w:val="auto"/>
                <w:spacing w:val="-3"/>
                <w:sz w:val="28"/>
                <w:highlight w:val="none"/>
              </w:rPr>
              <w:t>，</w:t>
            </w:r>
            <w:r>
              <w:rPr>
                <w:rFonts w:hint="eastAsia"/>
                <w:i w:val="0"/>
                <w:iCs w:val="0"/>
                <w:color w:val="auto"/>
                <w:spacing w:val="-3"/>
                <w:sz w:val="28"/>
                <w:highlight w:val="none"/>
              </w:rPr>
              <w:t>加油站和储油库夏季实施错峰装卸油，引导加油站出台鼓励夜间加油的措施。</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6-9月</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right="0"/>
              <w:jc w:val="center"/>
              <w:textAlignment w:val="auto"/>
              <w:outlineLvl w:val="9"/>
              <w:rPr>
                <w:i w:val="0"/>
                <w:iCs w:val="0"/>
                <w:color w:val="auto"/>
                <w:spacing w:val="-1"/>
                <w:sz w:val="28"/>
                <w:highlight w:val="none"/>
              </w:rPr>
            </w:pPr>
            <w:r>
              <w:rPr>
                <w:i w:val="0"/>
                <w:iCs w:val="0"/>
                <w:color w:val="auto"/>
                <w:spacing w:val="-1"/>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pacing w:val="-5"/>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
                <w:sz w:val="28"/>
                <w:highlight w:val="none"/>
              </w:rPr>
            </w:pPr>
            <w:r>
              <w:rPr>
                <w:i w:val="0"/>
                <w:iCs w:val="0"/>
                <w:color w:val="auto"/>
                <w:spacing w:val="-1"/>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4"/>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区武装部</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ascii="黑体" w:eastAsia="黑体"/>
                <w:i w:val="0"/>
                <w:iCs w:val="0"/>
                <w:color w:val="auto"/>
                <w:sz w:val="28"/>
                <w:highlight w:val="none"/>
              </w:rPr>
              <w:t>三、实施氮氧化物（NOx）减排专项行动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削减固定源NOx 排放</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推进无煤区建设。在保证群众安全取暖过冬的前提下，有序推进</w:t>
            </w:r>
            <w:r>
              <w:rPr>
                <w:rFonts w:hint="eastAsia"/>
                <w:i w:val="0"/>
                <w:iCs w:val="0"/>
                <w:color w:val="auto"/>
                <w:sz w:val="28"/>
                <w:highlight w:val="none"/>
                <w:lang w:val="en-US" w:eastAsia="zh-CN"/>
              </w:rPr>
              <w:t>40</w:t>
            </w:r>
            <w:r>
              <w:rPr>
                <w:i w:val="0"/>
                <w:iCs w:val="0"/>
                <w:color w:val="auto"/>
                <w:sz w:val="28"/>
                <w:highlight w:val="none"/>
              </w:rPr>
              <w:t>个山区村庄煤改清洁能源和配套电力基础设施建设工作。对未实施煤改清洁能源替代地区，建立台账，细化到镇街、村及户数，确保实现洁净煤替代散煤全覆盖。</w:t>
            </w:r>
          </w:p>
        </w:tc>
        <w:tc>
          <w:tcPr>
            <w:tcW w:w="1229" w:type="dxa"/>
            <w:vAlign w:val="center"/>
          </w:tcPr>
          <w:p>
            <w:pPr>
              <w:pStyle w:val="16"/>
              <w:ind w:left="89" w:right="81"/>
              <w:jc w:val="center"/>
              <w:rPr>
                <w:i w:val="0"/>
                <w:iCs w:val="0"/>
                <w:color w:val="auto"/>
                <w:sz w:val="28"/>
                <w:highlight w:val="none"/>
              </w:rPr>
            </w:pPr>
            <w:r>
              <w:rPr>
                <w:i w:val="0"/>
                <w:iCs w:val="0"/>
                <w:color w:val="auto"/>
                <w:sz w:val="28"/>
                <w:highlight w:val="none"/>
              </w:rPr>
              <w:t>11</w:t>
            </w:r>
            <w:r>
              <w:rPr>
                <w:i w:val="0"/>
                <w:iCs w:val="0"/>
                <w:color w:val="auto"/>
                <w:spacing w:val="-62"/>
                <w:sz w:val="28"/>
                <w:highlight w:val="none"/>
              </w:rPr>
              <w:t xml:space="preserve"> 月 </w:t>
            </w:r>
            <w:r>
              <w:rPr>
                <w:i w:val="0"/>
                <w:iCs w:val="0"/>
                <w:color w:val="auto"/>
                <w:sz w:val="28"/>
                <w:highlight w:val="none"/>
              </w:rPr>
              <w:t>15</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日前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相关镇街</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9</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削减固定源NOx 排放</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持续推进</w:t>
            </w:r>
            <w:r>
              <w:rPr>
                <w:i w:val="0"/>
                <w:iCs w:val="0"/>
                <w:color w:val="auto"/>
                <w:sz w:val="28"/>
                <w:highlight w:val="none"/>
              </w:rPr>
              <w:t>城区范围内燃烧散煤户煤改清洁能源工作</w:t>
            </w:r>
            <w:r>
              <w:rPr>
                <w:rFonts w:hint="eastAsia"/>
                <w:i w:val="0"/>
                <w:iCs w:val="0"/>
                <w:color w:val="auto"/>
                <w:sz w:val="28"/>
                <w:highlight w:val="none"/>
                <w:lang w:eastAsia="zh-CN"/>
              </w:rPr>
              <w:t>，</w:t>
            </w:r>
            <w:r>
              <w:rPr>
                <w:i w:val="0"/>
                <w:iCs w:val="0"/>
                <w:color w:val="auto"/>
                <w:sz w:val="28"/>
                <w:highlight w:val="none"/>
              </w:rPr>
              <w:t>制定改造计划，明确时间表、路线图。</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相关镇街</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right="0"/>
              <w:jc w:val="both"/>
              <w:textAlignment w:val="auto"/>
              <w:outlineLvl w:val="9"/>
              <w:rPr>
                <w:i w:val="0"/>
                <w:iCs w:val="0"/>
                <w:color w:val="auto"/>
                <w:sz w:val="28"/>
                <w:highlight w:val="none"/>
              </w:rPr>
            </w:pPr>
            <w:r>
              <w:rPr>
                <w:rFonts w:hint="eastAsia"/>
                <w:i w:val="0"/>
                <w:iCs w:val="0"/>
                <w:color w:val="auto"/>
                <w:sz w:val="28"/>
                <w:highlight w:val="none"/>
              </w:rPr>
              <w:t>按照北京市《低硫煤及制品环保技术要求》加强生产、流通环节有营业执照主体煤质检查。</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i w:val="0"/>
                <w:iCs w:val="0"/>
                <w:color w:val="auto"/>
                <w:sz w:val="28"/>
                <w:highlight w:val="none"/>
              </w:rPr>
            </w:pP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区市场监管局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已完成煤改清洁能源替代地区巩固“无煤化”成果。</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 xml:space="preserve"> 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rFonts w:hint="eastAsia"/>
                <w:i w:val="0"/>
                <w:iCs w:val="0"/>
                <w:color w:val="auto"/>
                <w:sz w:val="28"/>
                <w:highlight w:val="none"/>
              </w:rPr>
              <w:t>柴油车（机械）清洁化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right="0"/>
              <w:jc w:val="both"/>
              <w:textAlignment w:val="auto"/>
              <w:outlineLvl w:val="9"/>
              <w:rPr>
                <w:i w:val="0"/>
                <w:iCs w:val="0"/>
                <w:color w:val="auto"/>
                <w:spacing w:val="-5"/>
                <w:sz w:val="28"/>
                <w:highlight w:val="none"/>
              </w:rPr>
            </w:pPr>
            <w:r>
              <w:rPr>
                <w:rFonts w:hint="eastAsia"/>
                <w:i w:val="0"/>
                <w:iCs w:val="0"/>
                <w:color w:val="auto"/>
                <w:spacing w:val="-5"/>
                <w:sz w:val="28"/>
                <w:highlight w:val="none"/>
              </w:rPr>
              <w:t>新增和更新的公交车（不含应急保障车辆、山区线路车辆）为新能源车，新增和更新的巡游出租车（个体车辆和社会保障车辆除外）、市内旅游客运班线车辆为纯电动或氢燃料电池车。鼓励新增和更新的驾校C2培训车和考试用车为纯电动或氢燃料电池汽车。</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5"/>
                <w:sz w:val="28"/>
                <w:highlight w:val="none"/>
                <w:lang w:val="en-US" w:eastAsia="zh-CN"/>
              </w:rPr>
              <w:t>落实</w:t>
            </w:r>
            <w:r>
              <w:rPr>
                <w:rFonts w:hint="eastAsia"/>
                <w:i w:val="0"/>
                <w:iCs w:val="0"/>
                <w:color w:val="auto"/>
                <w:spacing w:val="-5"/>
                <w:sz w:val="28"/>
                <w:highlight w:val="none"/>
              </w:rPr>
              <w:t>网约车新能源化工作方案，引导各平台公司加快推进网约车新能源化，优化网约车行业车辆能源结构。</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区交通局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i w:val="0"/>
                <w:iCs w:val="0"/>
                <w:color w:val="auto"/>
                <w:sz w:val="28"/>
                <w:highlight w:val="none"/>
              </w:rPr>
            </w:pPr>
            <w:r>
              <w:rPr>
                <w:i w:val="0"/>
                <w:iCs w:val="0"/>
                <w:color w:val="auto"/>
                <w:sz w:val="28"/>
                <w:highlight w:val="none"/>
              </w:rPr>
              <w:t>区文旅局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i w:val="0"/>
                <w:iCs w:val="0"/>
                <w:color w:val="auto"/>
                <w:sz w:val="28"/>
                <w:highlight w:val="none"/>
              </w:rPr>
              <w:t>柴油车（机械）清洁化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rFonts w:hint="eastAsia"/>
                <w:i w:val="0"/>
                <w:iCs w:val="0"/>
                <w:color w:val="auto"/>
                <w:sz w:val="28"/>
                <w:highlight w:val="none"/>
              </w:rPr>
              <w:t>新增和更新的商超、快递等轻型物流配送车辆纯电动或氢燃料电池车</w:t>
            </w:r>
            <w:r>
              <w:rPr>
                <w:rFonts w:hint="eastAsia"/>
                <w:i w:val="0"/>
                <w:iCs w:val="0"/>
                <w:color w:val="auto"/>
                <w:sz w:val="28"/>
                <w:highlight w:val="none"/>
                <w:lang w:val="en-US" w:eastAsia="zh-CN"/>
              </w:rPr>
              <w:t>比例达到市级要求</w:t>
            </w:r>
            <w:r>
              <w:rPr>
                <w:rFonts w:hint="eastAsia"/>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区商务局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8" w:line="40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i w:val="0"/>
                <w:iCs w:val="0"/>
                <w:color w:val="auto"/>
                <w:spacing w:val="-11"/>
                <w:sz w:val="28"/>
                <w:highlight w:val="none"/>
              </w:rPr>
              <w:t xml:space="preserve">区城管委组织推进 </w:t>
            </w:r>
            <w:r>
              <w:rPr>
                <w:i w:val="0"/>
                <w:iCs w:val="0"/>
                <w:color w:val="auto"/>
                <w:sz w:val="28"/>
                <w:highlight w:val="none"/>
              </w:rPr>
              <w:t>4.5</w:t>
            </w:r>
            <w:r>
              <w:rPr>
                <w:i w:val="0"/>
                <w:iCs w:val="0"/>
                <w:color w:val="auto"/>
                <w:spacing w:val="-10"/>
                <w:sz w:val="28"/>
                <w:highlight w:val="none"/>
              </w:rPr>
              <w:t xml:space="preserve"> 吨以下环卫车新增和</w:t>
            </w:r>
            <w:r>
              <w:rPr>
                <w:i w:val="0"/>
                <w:iCs w:val="0"/>
                <w:color w:val="auto"/>
                <w:sz w:val="28"/>
                <w:highlight w:val="none"/>
              </w:rPr>
              <w:t>更新为纯电动车或氢燃料电池车，</w:t>
            </w:r>
            <w:r>
              <w:rPr>
                <w:rFonts w:hint="eastAsia"/>
                <w:i w:val="0"/>
                <w:iCs w:val="0"/>
                <w:color w:val="auto"/>
                <w:sz w:val="28"/>
                <w:highlight w:val="none"/>
              </w:rPr>
              <w:t>新增和更新4.5吨以上环卫作业车中，纯电动或氢燃料电池车比例达到</w:t>
            </w:r>
            <w:r>
              <w:rPr>
                <w:rFonts w:hint="eastAsia"/>
                <w:i w:val="0"/>
                <w:iCs w:val="0"/>
                <w:color w:val="auto"/>
                <w:sz w:val="28"/>
                <w:highlight w:val="none"/>
                <w:lang w:val="en-US" w:eastAsia="zh-CN"/>
              </w:rPr>
              <w:t>市级要求</w:t>
            </w:r>
            <w:r>
              <w:rPr>
                <w:rFonts w:hint="eastAsia"/>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区城管委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i w:val="0"/>
                <w:iCs w:val="0"/>
                <w:color w:val="auto"/>
                <w:spacing w:val="-24"/>
                <w:sz w:val="28"/>
                <w:highlight w:val="none"/>
              </w:rPr>
              <w:t xml:space="preserve">组织 </w:t>
            </w:r>
            <w:r>
              <w:rPr>
                <w:i w:val="0"/>
                <w:iCs w:val="0"/>
                <w:color w:val="auto"/>
                <w:sz w:val="28"/>
                <w:highlight w:val="none"/>
              </w:rPr>
              <w:t>4.5</w:t>
            </w:r>
            <w:r>
              <w:rPr>
                <w:i w:val="0"/>
                <w:iCs w:val="0"/>
                <w:color w:val="auto"/>
                <w:spacing w:val="-12"/>
                <w:sz w:val="28"/>
                <w:highlight w:val="none"/>
              </w:rPr>
              <w:t xml:space="preserve"> 吨以下的邮政车</w:t>
            </w:r>
            <w:r>
              <w:rPr>
                <w:i w:val="0"/>
                <w:iCs w:val="0"/>
                <w:color w:val="auto"/>
                <w:sz w:val="28"/>
                <w:highlight w:val="none"/>
              </w:rPr>
              <w:t>（</w:t>
            </w:r>
            <w:r>
              <w:rPr>
                <w:i w:val="0"/>
                <w:iCs w:val="0"/>
                <w:color w:val="auto"/>
                <w:spacing w:val="-3"/>
                <w:sz w:val="28"/>
                <w:highlight w:val="none"/>
              </w:rPr>
              <w:t>机要通信车辆和郊区邮路盘驳邮政车辆除外</w:t>
            </w:r>
            <w:r>
              <w:rPr>
                <w:i w:val="0"/>
                <w:iCs w:val="0"/>
                <w:color w:val="auto"/>
                <w:spacing w:val="-10"/>
                <w:sz w:val="28"/>
                <w:highlight w:val="none"/>
              </w:rPr>
              <w:t>）</w:t>
            </w:r>
            <w:r>
              <w:rPr>
                <w:i w:val="0"/>
                <w:iCs w:val="0"/>
                <w:color w:val="auto"/>
                <w:spacing w:val="-3"/>
                <w:sz w:val="28"/>
                <w:highlight w:val="none"/>
              </w:rPr>
              <w:t>新增和更新为</w:t>
            </w:r>
            <w:r>
              <w:rPr>
                <w:i w:val="0"/>
                <w:iCs w:val="0"/>
                <w:color w:val="auto"/>
                <w:spacing w:val="-9"/>
                <w:sz w:val="28"/>
                <w:highlight w:val="none"/>
              </w:rPr>
              <w:t>纯电动车或氢燃料电池车，</w:t>
            </w:r>
            <w:r>
              <w:rPr>
                <w:rFonts w:hint="eastAsia"/>
                <w:i w:val="0"/>
                <w:iCs w:val="0"/>
                <w:color w:val="auto"/>
                <w:spacing w:val="-9"/>
                <w:sz w:val="28"/>
                <w:highlight w:val="none"/>
              </w:rPr>
              <w:t>到2023年底，纯电动或氢燃料电池车比例均达到</w:t>
            </w:r>
            <w:r>
              <w:rPr>
                <w:rFonts w:hint="eastAsia"/>
                <w:i w:val="0"/>
                <w:iCs w:val="0"/>
                <w:color w:val="auto"/>
                <w:spacing w:val="-9"/>
                <w:sz w:val="28"/>
                <w:highlight w:val="none"/>
                <w:lang w:val="en-US" w:eastAsia="zh-CN"/>
              </w:rPr>
              <w:t>市级要求</w:t>
            </w:r>
            <w:r>
              <w:rPr>
                <w:rFonts w:hint="eastAsia"/>
                <w:i w:val="0"/>
                <w:iCs w:val="0"/>
                <w:color w:val="auto"/>
                <w:spacing w:val="-9"/>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中国邮政密云分公司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9"/>
                <w:sz w:val="28"/>
                <w:highlight w:val="none"/>
                <w:lang w:val="en-US" w:eastAsia="zh-CN"/>
              </w:rPr>
              <w:t>落实</w:t>
            </w:r>
            <w:r>
              <w:rPr>
                <w:rFonts w:hint="eastAsia"/>
                <w:i w:val="0"/>
                <w:iCs w:val="0"/>
                <w:color w:val="auto"/>
                <w:spacing w:val="-9"/>
                <w:sz w:val="28"/>
                <w:highlight w:val="none"/>
              </w:rPr>
              <w:t>本市新能源物流配送车辆优先通行的政策，2023年11月起，申请办理货车通行证的燃料种类为柴油和天然气的危险品运输车辆、冷链运输车辆、4.5吨以上（含）货车，须满足国五及以上排放标准，具备在线监控功能并与生态环境部门联网；优先保障纯电动和氢燃料电池车辆申办。</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按时间节点完成</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区交通</w:t>
            </w:r>
            <w:r>
              <w:rPr>
                <w:rFonts w:hint="eastAsia"/>
                <w:i w:val="0"/>
                <w:iCs w:val="0"/>
                <w:color w:val="auto"/>
                <w:sz w:val="28"/>
                <w:highlight w:val="none"/>
                <w:lang w:val="en-US" w:eastAsia="zh-CN"/>
              </w:rPr>
              <w:t>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right="-68" w:rightChars="-31"/>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68" w:rightChars="-31"/>
              <w:jc w:val="center"/>
              <w:textAlignment w:val="auto"/>
              <w:outlineLvl w:val="9"/>
              <w:rPr>
                <w:i w:val="0"/>
                <w:iCs w:val="0"/>
                <w:color w:val="auto"/>
                <w:sz w:val="28"/>
                <w:highlight w:val="none"/>
              </w:rPr>
            </w:pPr>
            <w:r>
              <w:rPr>
                <w:rFonts w:hint="eastAsia"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rFonts w:hint="eastAsia"/>
                <w:i w:val="0"/>
                <w:iCs w:val="0"/>
                <w:color w:val="auto"/>
                <w:sz w:val="28"/>
                <w:highlight w:val="none"/>
              </w:rPr>
              <w:t>柴油车（机械）清洁化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区住建委牵头落实</w:t>
            </w:r>
            <w:r>
              <w:rPr>
                <w:rFonts w:hint="eastAsia"/>
                <w:i w:val="0"/>
                <w:iCs w:val="0"/>
                <w:color w:val="auto"/>
                <w:sz w:val="28"/>
                <w:highlight w:val="none"/>
              </w:rPr>
              <w:t>推广纯电动或氢燃料混凝土搅拌车的鼓励政策。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区城管委牵头落实</w:t>
            </w:r>
            <w:r>
              <w:rPr>
                <w:rFonts w:hint="eastAsia"/>
                <w:i w:val="0"/>
                <w:iCs w:val="0"/>
                <w:color w:val="auto"/>
                <w:sz w:val="28"/>
                <w:highlight w:val="none"/>
              </w:rPr>
              <w:t>推广使用纯电动或氢燃料渣土运输车、4.5吨以上环卫车的鼓励政策。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区交通局牵头落实</w:t>
            </w:r>
            <w:r>
              <w:rPr>
                <w:rFonts w:hint="eastAsia"/>
                <w:i w:val="0"/>
                <w:iCs w:val="0"/>
                <w:color w:val="auto"/>
                <w:sz w:val="28"/>
                <w:highlight w:val="none"/>
              </w:rPr>
              <w:t>经济激励、优先通行等交通管理政策，疏堵结合，加快推进国四排放标准营运柴油货车淘汰，轻微型货车电动化。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区经信局牵头落实</w:t>
            </w:r>
            <w:r>
              <w:rPr>
                <w:rFonts w:hint="eastAsia"/>
                <w:i w:val="0"/>
                <w:iCs w:val="0"/>
                <w:color w:val="auto"/>
                <w:sz w:val="28"/>
                <w:highlight w:val="none"/>
              </w:rPr>
              <w:t>推动开展氢燃料汽车示范城市建设，有序开展中重型货车氢燃料电池等示范，研究开展零排放货车通道试点。</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rPr>
              <w:t>6月底前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w:t>
            </w:r>
            <w:r>
              <w:rPr>
                <w:rFonts w:hint="eastAsia"/>
                <w:i w:val="0"/>
                <w:iCs w:val="0"/>
                <w:color w:val="auto"/>
                <w:sz w:val="28"/>
                <w:highlight w:val="none"/>
              </w:rPr>
              <w:t>交通</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11</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left"/>
              <w:textAlignment w:val="auto"/>
              <w:outlineLvl w:val="9"/>
              <w:rPr>
                <w:i w:val="0"/>
                <w:iCs w:val="0"/>
                <w:color w:val="auto"/>
                <w:sz w:val="28"/>
                <w:highlight w:val="none"/>
              </w:rPr>
            </w:pPr>
            <w:r>
              <w:rPr>
                <w:rFonts w:hint="eastAsia"/>
                <w:i w:val="0"/>
                <w:iCs w:val="0"/>
                <w:color w:val="auto"/>
                <w:sz w:val="28"/>
                <w:highlight w:val="none"/>
              </w:rPr>
              <w:t>非道路移动机械综合治理</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严格实施国四非道路移动机械排放标准。</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住房城乡建设、城市管理、交通、水务、园林绿化、农业农村等部门加强对本行业在用非道路移动机械监管，做好编码登记和进出场使用管理，要求企业使用规范合格油品，保证达标排放；鼓励本行业施工单位优先使用国三及以上排放标准机械，将机械使用情况纳入绿牌工地评定办法；推进行业管理的施工工地优先使用纯电动或氢燃料非道路移动机械，鼓励国二及以下(含x阶段)排放标准非道路移动机械淘汰。政府投资建设项目优先使用国三及以上排放标准和电动机械。</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6"/>
                <w:sz w:val="28"/>
                <w:highlight w:val="none"/>
              </w:rPr>
            </w:pPr>
            <w:r>
              <w:rPr>
                <w:i w:val="0"/>
                <w:iCs w:val="0"/>
                <w:color w:val="auto"/>
                <w:spacing w:val="-6"/>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6"/>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1"/>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2"/>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组织推进重点企业、工业园区、铁路货场、物流园区的国四货车、国二及以下(含x阶段)排放标准非道路移动机械淘汰,加速自有及使用的机动车和非道路移动机械电动化。</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区生态环境局加强对非道路移动机械排放、编码登记状况的监督检查。</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区住房城乡建设委依法将使用未经信息编码登记或者不符合排放标准的非道路移动机械的建设单位或者施工单位，记入信用信息记录，并开展行业督导。</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区国资委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6"/>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5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12</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left"/>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强化移动源排放监管</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严格实施国六b机动车排放标准。</w:t>
            </w:r>
            <w:r>
              <w:rPr>
                <w:rFonts w:hint="eastAsia"/>
                <w:i w:val="0"/>
                <w:iCs w:val="0"/>
                <w:color w:val="auto"/>
                <w:sz w:val="28"/>
                <w:highlight w:val="none"/>
              </w:rPr>
              <w:t>生态环境部门做好轻型汽油车新阶段标准实施的宣传引导，公安交管部门做好符合新阶段标准车辆的注册登记工作。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6"/>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i w:val="0"/>
                <w:iCs w:val="0"/>
                <w:color w:val="auto"/>
                <w:spacing w:val="-5"/>
                <w:sz w:val="28"/>
                <w:highlight w:val="none"/>
              </w:rPr>
              <w:t>交通、公安交管、生态环境部门全年在进京</w:t>
            </w:r>
            <w:r>
              <w:rPr>
                <w:i w:val="0"/>
                <w:iCs w:val="0"/>
                <w:color w:val="auto"/>
                <w:spacing w:val="-9"/>
                <w:sz w:val="28"/>
                <w:highlight w:val="none"/>
              </w:rPr>
              <w:t>路口和市内主要道路完成</w:t>
            </w:r>
            <w:r>
              <w:rPr>
                <w:i w:val="0"/>
                <w:iCs w:val="0"/>
                <w:color w:val="auto"/>
                <w:sz w:val="28"/>
                <w:highlight w:val="none"/>
              </w:rPr>
              <w:t>24.</w:t>
            </w:r>
            <w:r>
              <w:rPr>
                <w:rFonts w:hint="eastAsia"/>
                <w:i w:val="0"/>
                <w:iCs w:val="0"/>
                <w:color w:val="auto"/>
                <w:sz w:val="28"/>
                <w:highlight w:val="none"/>
                <w:lang w:val="en-US" w:eastAsia="zh-CN"/>
              </w:rPr>
              <w:t>5</w:t>
            </w:r>
            <w:r>
              <w:rPr>
                <w:i w:val="0"/>
                <w:iCs w:val="0"/>
                <w:color w:val="auto"/>
                <w:spacing w:val="-14"/>
                <w:sz w:val="28"/>
                <w:highlight w:val="none"/>
              </w:rPr>
              <w:t>万辆次以上</w:t>
            </w:r>
            <w:r>
              <w:rPr>
                <w:i w:val="0"/>
                <w:iCs w:val="0"/>
                <w:color w:val="auto"/>
                <w:spacing w:val="-4"/>
                <w:sz w:val="28"/>
                <w:highlight w:val="none"/>
              </w:rPr>
              <w:t>的重型柴油车人工检查。</w:t>
            </w:r>
            <w:r>
              <w:rPr>
                <w:rFonts w:hint="eastAsia"/>
                <w:i w:val="0"/>
                <w:iCs w:val="0"/>
                <w:color w:val="auto"/>
                <w:spacing w:val="-4"/>
                <w:sz w:val="28"/>
                <w:highlight w:val="none"/>
              </w:rPr>
              <w:t>加强对低速货车的路检抽查。加大</w:t>
            </w:r>
            <w:r>
              <w:rPr>
                <w:rFonts w:hint="eastAsia"/>
                <w:i w:val="0"/>
                <w:iCs w:val="0"/>
                <w:color w:val="auto"/>
                <w:spacing w:val="-17"/>
                <w:sz w:val="28"/>
                <w:highlight w:val="none"/>
              </w:rPr>
              <w:t>对摩托车非法上路行驶和非法改装的执法处罚力度。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5"/>
                <w:sz w:val="28"/>
                <w:highlight w:val="none"/>
              </w:rPr>
              <w:t>区市场监管</w:t>
            </w:r>
            <w:r>
              <w:rPr>
                <w:rFonts w:hint="eastAsia"/>
                <w:i w:val="0"/>
                <w:iCs w:val="0"/>
                <w:color w:val="auto"/>
                <w:spacing w:val="-5"/>
                <w:sz w:val="28"/>
                <w:highlight w:val="none"/>
                <w:lang w:val="en-US" w:eastAsia="zh-CN"/>
              </w:rPr>
              <w:t>部门</w:t>
            </w:r>
            <w:r>
              <w:rPr>
                <w:rFonts w:hint="eastAsia"/>
                <w:i w:val="0"/>
                <w:iCs w:val="0"/>
                <w:color w:val="auto"/>
                <w:spacing w:val="-5"/>
                <w:sz w:val="28"/>
                <w:highlight w:val="none"/>
              </w:rPr>
              <w:t>按照市场监管总局、北京市市场</w:t>
            </w:r>
            <w:r>
              <w:rPr>
                <w:rFonts w:hint="eastAsia"/>
                <w:i w:val="0"/>
                <w:iCs w:val="0"/>
                <w:color w:val="auto"/>
                <w:spacing w:val="-5"/>
                <w:sz w:val="28"/>
                <w:highlight w:val="none"/>
                <w:lang w:val="en-US" w:eastAsia="zh-CN"/>
              </w:rPr>
              <w:t>监管</w:t>
            </w:r>
            <w:r>
              <w:rPr>
                <w:rFonts w:hint="eastAsia"/>
                <w:i w:val="0"/>
                <w:iCs w:val="0"/>
                <w:color w:val="auto"/>
                <w:spacing w:val="-5"/>
                <w:sz w:val="28"/>
                <w:highlight w:val="none"/>
              </w:rPr>
              <w:t>局工作部署和要求</w:t>
            </w:r>
            <w:r>
              <w:rPr>
                <w:rFonts w:hint="eastAsia"/>
                <w:i w:val="0"/>
                <w:iCs w:val="0"/>
                <w:color w:val="auto"/>
                <w:spacing w:val="-5"/>
                <w:sz w:val="28"/>
                <w:highlight w:val="none"/>
                <w:lang w:eastAsia="zh-CN"/>
              </w:rPr>
              <w:t>，</w:t>
            </w:r>
            <w:r>
              <w:rPr>
                <w:rFonts w:hint="eastAsia"/>
                <w:i w:val="0"/>
                <w:iCs w:val="0"/>
                <w:color w:val="auto"/>
                <w:spacing w:val="-5"/>
                <w:sz w:val="28"/>
                <w:highlight w:val="none"/>
              </w:rPr>
              <w:t>牵头开展机动车检验领域专项整治行动，严惩违法违规行为，加大曝光力度，市场监管、生态环境、公安交管等部门按照职责分工，对机动车检验机构的违法行为及其他部分和规范的行为进行计分。</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hanging="72"/>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hanging="72"/>
              <w:jc w:val="center"/>
              <w:textAlignment w:val="auto"/>
              <w:outlineLvl w:val="9"/>
              <w:rPr>
                <w:i w:val="0"/>
                <w:iCs w:val="0"/>
                <w:color w:val="auto"/>
                <w:spacing w:val="-3"/>
                <w:sz w:val="28"/>
                <w:highlight w:val="none"/>
              </w:rPr>
            </w:pPr>
            <w:r>
              <w:rPr>
                <w:i w:val="0"/>
                <w:iCs w:val="0"/>
                <w:color w:val="auto"/>
                <w:spacing w:val="-3"/>
                <w:sz w:val="28"/>
                <w:highlight w:val="none"/>
              </w:rPr>
              <w:t xml:space="preserve"> 区生态环境局  </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hanging="72"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13</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20"/>
              <w:jc w:val="both"/>
              <w:textAlignment w:val="auto"/>
              <w:outlineLvl w:val="9"/>
              <w:rPr>
                <w:i w:val="0"/>
                <w:iCs w:val="0"/>
                <w:color w:val="auto"/>
                <w:sz w:val="28"/>
                <w:highlight w:val="none"/>
              </w:rPr>
            </w:pPr>
            <w:r>
              <w:rPr>
                <w:rFonts w:hint="eastAsia"/>
                <w:i w:val="0"/>
                <w:iCs w:val="0"/>
                <w:color w:val="auto"/>
                <w:sz w:val="28"/>
                <w:highlight w:val="none"/>
              </w:rPr>
              <w:t>推进运输结构调整工</w:t>
            </w:r>
            <w:r>
              <w:rPr>
                <w:rFonts w:hint="eastAsia"/>
                <w:i w:val="0"/>
                <w:iCs w:val="0"/>
                <w:color w:val="auto"/>
                <w:sz w:val="28"/>
                <w:highlight w:val="none"/>
                <w:lang w:val="en-US" w:eastAsia="zh-CN"/>
              </w:rPr>
              <w:t xml:space="preserve"> </w:t>
            </w:r>
            <w:r>
              <w:rPr>
                <w:rFonts w:hint="eastAsia"/>
                <w:i w:val="0"/>
                <w:iCs w:val="0"/>
                <w:color w:val="auto"/>
                <w:sz w:val="28"/>
                <w:highlight w:val="none"/>
              </w:rPr>
              <w:t>作</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落实</w:t>
            </w:r>
            <w:r>
              <w:rPr>
                <w:rFonts w:hint="eastAsia"/>
                <w:i w:val="0"/>
                <w:iCs w:val="0"/>
                <w:color w:val="auto"/>
                <w:sz w:val="28"/>
                <w:highlight w:val="none"/>
              </w:rPr>
              <w:t>本市“十四五”时期推进重点大宗物资运输结构优化调整行动计划，持续推进重点大宗货类“公转铁”，全市货物到发铁路运输比重进一步提高。</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2"/>
                <w:w w:val="110"/>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区交通局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区国资委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中国邮政密云分公司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区规自分局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3"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rPr>
              <w:t>鼓励重点企业开展零排放货物运输车队试点。鼓励重点企业等用车单位与运输企业（个人）签订合作协议等方式实现清洁运输。</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区经信局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3"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积极推进“外集内配”的城市物流公铁联运方式，试点推广“铁路+新能源车”“全程新能源车”等绿色运输模式。</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四、提升城市环境精细化管控水平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rFonts w:hint="eastAsia"/>
                <w:i w:val="0"/>
                <w:iCs w:val="0"/>
                <w:color w:val="auto"/>
                <w:sz w:val="28"/>
                <w:highlight w:val="none"/>
              </w:rPr>
            </w:pPr>
            <w:r>
              <w:rPr>
                <w:rFonts w:hint="eastAsia"/>
                <w:i w:val="0"/>
                <w:iCs w:val="0"/>
                <w:color w:val="auto"/>
                <w:sz w:val="28"/>
                <w:highlight w:val="none"/>
              </w:rPr>
              <w:t>严控</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rFonts w:hint="eastAsia"/>
                <w:i w:val="0"/>
                <w:iCs w:val="0"/>
                <w:color w:val="auto"/>
                <w:sz w:val="28"/>
                <w:highlight w:val="none"/>
              </w:rPr>
              <w:t>降尘量</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13"/>
                <w:sz w:val="28"/>
                <w:highlight w:val="none"/>
              </w:rPr>
              <w:t xml:space="preserve">降尘量控制在 </w:t>
            </w:r>
            <w:r>
              <w:rPr>
                <w:i w:val="0"/>
                <w:iCs w:val="0"/>
                <w:color w:val="auto"/>
                <w:sz w:val="28"/>
                <w:highlight w:val="none"/>
              </w:rPr>
              <w:t>5</w:t>
            </w:r>
            <w:r>
              <w:rPr>
                <w:i w:val="0"/>
                <w:iCs w:val="0"/>
                <w:color w:val="auto"/>
                <w:spacing w:val="-35"/>
                <w:sz w:val="28"/>
                <w:highlight w:val="none"/>
              </w:rPr>
              <w:t xml:space="preserve"> 吨</w:t>
            </w:r>
            <w:r>
              <w:rPr>
                <w:i w:val="0"/>
                <w:iCs w:val="0"/>
                <w:color w:val="auto"/>
                <w:sz w:val="28"/>
                <w:highlight w:val="none"/>
              </w:rPr>
              <w:t>/</w:t>
            </w:r>
            <w:r>
              <w:rPr>
                <w:i w:val="0"/>
                <w:iCs w:val="0"/>
                <w:color w:val="auto"/>
                <w:spacing w:val="-2"/>
                <w:sz w:val="28"/>
                <w:highlight w:val="none"/>
              </w:rPr>
              <w:t>平方公里</w:t>
            </w:r>
            <w:r>
              <w:rPr>
                <w:i w:val="0"/>
                <w:iCs w:val="0"/>
                <w:color w:val="auto"/>
                <w:sz w:val="28"/>
                <w:highlight w:val="none"/>
              </w:rPr>
              <w:t>·</w:t>
            </w:r>
            <w:r>
              <w:rPr>
                <w:i w:val="0"/>
                <w:iCs w:val="0"/>
                <w:color w:val="auto"/>
                <w:spacing w:val="-2"/>
                <w:sz w:val="28"/>
                <w:highlight w:val="none"/>
              </w:rPr>
              <w:t>月左右</w:t>
            </w:r>
            <w:r>
              <w:rPr>
                <w:i w:val="0"/>
                <w:iCs w:val="0"/>
                <w:color w:val="auto"/>
                <w:sz w:val="28"/>
                <w:highlight w:val="none"/>
              </w:rPr>
              <w:t>（扣</w:t>
            </w:r>
            <w:r>
              <w:rPr>
                <w:i w:val="0"/>
                <w:iCs w:val="0"/>
                <w:color w:val="auto"/>
                <w:spacing w:val="-3"/>
                <w:sz w:val="28"/>
                <w:highlight w:val="none"/>
              </w:rPr>
              <w:t>除沙尘影响</w:t>
            </w:r>
            <w:r>
              <w:rPr>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right="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pacing w:val="-5"/>
                <w:sz w:val="28"/>
                <w:highlight w:val="none"/>
              </w:rPr>
            </w:pPr>
            <w:r>
              <w:rPr>
                <w:i w:val="0"/>
                <w:iCs w:val="0"/>
                <w:color w:val="auto"/>
                <w:spacing w:val="-2"/>
                <w:sz w:val="28"/>
                <w:highlight w:val="none"/>
              </w:rPr>
              <w:t>区水务局</w:t>
            </w:r>
            <w:r>
              <w:rPr>
                <w:i w:val="0"/>
                <w:iCs w:val="0"/>
                <w:color w:val="auto"/>
                <w:spacing w:val="-5"/>
                <w:sz w:val="28"/>
                <w:highlight w:val="none"/>
              </w:rPr>
              <w:t>等行业主管部门</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各镇街（地区）、中关村密云园TSP 浓度同比改善或持平。</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15"/>
                <w:sz w:val="28"/>
                <w:highlight w:val="none"/>
              </w:rPr>
              <w:t>定期通报各街道（乡镇）降尘量、粗颗粒物（TSP）浓度、平原地区道路尘负荷等排名情况。</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 xml:space="preserve">各镇街（地区）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8"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15</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加强重点区域精细化治理</w:t>
            </w:r>
          </w:p>
        </w:tc>
        <w:tc>
          <w:tcPr>
            <w:tcW w:w="5884" w:type="dxa"/>
            <w:vAlign w:val="top"/>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both"/>
              <w:textAlignment w:val="auto"/>
              <w:outlineLvl w:val="9"/>
              <w:rPr>
                <w:i w:val="0"/>
                <w:iCs w:val="0"/>
                <w:color w:val="auto"/>
                <w:sz w:val="28"/>
                <w:highlight w:val="none"/>
              </w:rPr>
            </w:pPr>
            <w:r>
              <w:rPr>
                <w:i w:val="0"/>
                <w:iCs w:val="0"/>
                <w:color w:val="auto"/>
                <w:sz w:val="28"/>
                <w:highlight w:val="none"/>
              </w:rPr>
              <w:t>组织鼓楼街道、果园街道、密云镇</w:t>
            </w:r>
            <w:r>
              <w:rPr>
                <w:rFonts w:hint="eastAsia"/>
                <w:i w:val="0"/>
                <w:iCs w:val="0"/>
                <w:color w:val="auto"/>
                <w:sz w:val="28"/>
                <w:highlight w:val="none"/>
                <w:lang w:val="en-US" w:eastAsia="zh-CN"/>
              </w:rPr>
              <w:t>以及</w:t>
            </w:r>
            <w:r>
              <w:rPr>
                <w:i w:val="0"/>
                <w:iCs w:val="0"/>
                <w:color w:val="auto"/>
                <w:sz w:val="28"/>
                <w:highlight w:val="none"/>
              </w:rPr>
              <w:t>西田各庄镇部分地区，继续开展重点区域精细化管理工作。依据《北京市生态环境保护工作职责分工》及《北京市街道办事处条例》，加强精细化管理工作，定期开展巡查检查，完善更新污染源台账，充分发挥环保网格化管理及“街乡吹哨、部门报到”机制作用，对突出环境问题及时发现、快速解决，全面提升属地精细化管理水平。开展重点区域周围精准作业提升项目；重点区域内党政机关、小区道路积尘负荷浓度同比改善或持平。</w:t>
            </w:r>
          </w:p>
        </w:tc>
        <w:tc>
          <w:tcPr>
            <w:tcW w:w="1229" w:type="dxa"/>
            <w:vAlign w:val="top"/>
          </w:tcPr>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145" w:rightChars="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145" w:right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top"/>
          </w:tcPr>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84" w:line="400" w:lineRule="exact"/>
              <w:ind w:left="0" w:leftChars="0" w:right="58"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top"/>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鼓楼街道</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果园街道</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密云镇</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西田各庄镇</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top"/>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center"/>
              <w:textAlignment w:val="auto"/>
              <w:outlineLvl w:val="9"/>
              <w:rPr>
                <w:i w:val="0"/>
                <w:iCs w:val="0"/>
                <w:color w:val="auto"/>
                <w:sz w:val="28"/>
                <w:highlight w:val="none"/>
              </w:rPr>
            </w:pPr>
            <w:r>
              <w:rPr>
                <w:i w:val="0"/>
                <w:iCs w:val="0"/>
                <w:color w:val="auto"/>
                <w:sz w:val="28"/>
                <w:highlight w:val="none"/>
              </w:rPr>
              <w:t>区城管执法局等相关单位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20" w:lineRule="exact"/>
              <w:ind w:left="120"/>
              <w:jc w:val="center"/>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加强扬尘防治精细化管理，在重点地区及有条件的施工现场积极推行土石方施工阶段防尘天幕、预拌流态固化土代替常规灰土肥槽回填等抑尘措施；深入推进扬尘治理“绿牌”工地创建工作，充分发挥标杆引领、正向激励作用，有效推动扬尘治理水平整体提升。</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pacing w:before="9" w:line="400" w:lineRule="exact"/>
              <w:ind w:left="377" w:right="363" w:hanging="3"/>
              <w:jc w:val="center"/>
              <w:textAlignment w:val="auto"/>
              <w:outlineLvl w:val="9"/>
              <w:rPr>
                <w:i w:val="0"/>
                <w:iCs w:val="0"/>
                <w:color w:val="auto"/>
                <w:sz w:val="28"/>
                <w:highlight w:val="none"/>
              </w:rPr>
            </w:pPr>
            <w:r>
              <w:rPr>
                <w:i w:val="0"/>
                <w:iCs w:val="0"/>
                <w:color w:val="auto"/>
                <w:spacing w:val="-2"/>
                <w:sz w:val="28"/>
                <w:highlight w:val="none"/>
              </w:rPr>
              <w:t xml:space="preserve">区城管委 </w:t>
            </w:r>
            <w:r>
              <w:rPr>
                <w:i w:val="0"/>
                <w:iCs w:val="0"/>
                <w:color w:val="auto"/>
                <w:spacing w:val="-5"/>
                <w:sz w:val="28"/>
                <w:highlight w:val="none"/>
              </w:rPr>
              <w:t>区公路分局</w:t>
            </w: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pacing w:val="-4"/>
                <w:sz w:val="28"/>
                <w:highlight w:val="none"/>
              </w:rPr>
              <w:t>区住建委强化指导，做好施工工地扬尘视频监管平台日常管理运维，完善扬尘问题智能</w:t>
            </w:r>
            <w:r>
              <w:rPr>
                <w:i w:val="0"/>
                <w:iCs w:val="0"/>
                <w:color w:val="auto"/>
                <w:spacing w:val="-12"/>
                <w:sz w:val="28"/>
                <w:highlight w:val="none"/>
              </w:rPr>
              <w:t>化识别、</w:t>
            </w:r>
            <w:r>
              <w:rPr>
                <w:i w:val="0"/>
                <w:iCs w:val="0"/>
                <w:color w:val="auto"/>
                <w:sz w:val="28"/>
                <w:highlight w:val="none"/>
              </w:rPr>
              <w:t>24</w:t>
            </w:r>
            <w:r>
              <w:rPr>
                <w:i w:val="0"/>
                <w:iCs w:val="0"/>
                <w:color w:val="auto"/>
                <w:spacing w:val="-12"/>
                <w:sz w:val="28"/>
                <w:highlight w:val="none"/>
              </w:rPr>
              <w:t xml:space="preserve"> 小时自动值守等功能；监控值守</w:t>
            </w:r>
            <w:r>
              <w:rPr>
                <w:i w:val="0"/>
                <w:iCs w:val="0"/>
                <w:color w:val="auto"/>
                <w:sz w:val="28"/>
                <w:highlight w:val="none"/>
              </w:rPr>
              <w:t>及扬尘问题报警信息向各行业主管部门及属地镇街（地区）推送共享。</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各行业主管部门及属地镇街（地区）充分利</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用扬尘视频监管平台，加大推送问题核实及</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主动巡查频次，保证平台使用效能。</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4"/>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highlight w:val="none"/>
              </w:rPr>
              <w:t>行业主管部门组织工地（场站）严格落实扬尘管控措施及“门前三包”，强化工地（场站）出口100米范围内遗撒情况巡查，强化渣土车辆管控，做到“进门查证、出门查车”，杜绝车辆违规、带泥上路行驶。</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4"/>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i w:val="0"/>
                <w:iCs w:val="0"/>
                <w:color w:val="auto"/>
                <w:spacing w:val="12"/>
                <w:sz w:val="28"/>
                <w:highlight w:val="none"/>
              </w:rPr>
              <w:t>区住建委</w:t>
            </w:r>
            <w:r>
              <w:rPr>
                <w:rFonts w:hint="eastAsia"/>
                <w:i w:val="0"/>
                <w:iCs w:val="0"/>
                <w:color w:val="auto"/>
                <w:spacing w:val="12"/>
                <w:sz w:val="28"/>
                <w:highlight w:val="none"/>
              </w:rPr>
              <w:t>组织土石方工程、建筑垃圾消纳场，安装建筑垃圾运输车辆车牌识别和洗轮机监测功能视频设备，并与北京市施工扬尘视频监管平台联网。</w:t>
            </w:r>
          </w:p>
        </w:tc>
        <w:tc>
          <w:tcPr>
            <w:tcW w:w="1229" w:type="dxa"/>
            <w:vAlign w:val="center"/>
          </w:tcPr>
          <w:p>
            <w:pPr>
              <w:snapToGrid w:val="0"/>
              <w:spacing w:line="360" w:lineRule="exact"/>
              <w:ind w:left="0" w:leftChars="0" w:right="0" w:rightChars="0"/>
              <w:jc w:val="center"/>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eastAsia="仿宋_GB2312"/>
                <w:i w:val="0"/>
                <w:iCs w:val="0"/>
                <w:color w:val="auto"/>
                <w:spacing w:val="-3"/>
                <w:sz w:val="28"/>
                <w:highlight w:val="none"/>
                <w:lang w:val="en-US" w:eastAsia="zh-CN"/>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交通</w:t>
            </w:r>
            <w:r>
              <w:rPr>
                <w:rFonts w:hint="eastAsia"/>
                <w:i w:val="0"/>
                <w:iCs w:val="0"/>
                <w:color w:val="auto"/>
                <w:spacing w:val="-3"/>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园林绿化局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i w:val="0"/>
                <w:iCs w:val="0"/>
                <w:color w:val="auto"/>
                <w:spacing w:val="12"/>
                <w:sz w:val="28"/>
                <w:highlight w:val="none"/>
              </w:rPr>
              <w:t>区级城管执法部门加强对属地扬尘执法工作的指导，提升属地扬尘执法效能，重点加强对空气质量排名靠后镇街（地区）的执法检查，做好各类扬尘执法数据的汇总分析并及时向同级相关行业主管部门推送；曝光扬尘违法行为，营造扬尘执法高压态势。</w:t>
            </w:r>
          </w:p>
        </w:tc>
        <w:tc>
          <w:tcPr>
            <w:tcW w:w="1229" w:type="dxa"/>
            <w:vAlign w:val="center"/>
          </w:tcPr>
          <w:p>
            <w:pPr>
              <w:snapToGrid w:val="0"/>
              <w:spacing w:line="360" w:lineRule="exact"/>
              <w:ind w:left="0" w:leftChars="0" w:right="0" w:rightChars="0"/>
              <w:jc w:val="center"/>
              <w:rPr>
                <w:rFonts w:hint="eastAsia"/>
                <w:i w:val="0"/>
                <w:iCs w:val="0"/>
                <w:color w:val="auto"/>
                <w:sz w:val="28"/>
                <w:highlight w:val="none"/>
              </w:rPr>
            </w:pPr>
            <w:r>
              <w:rPr>
                <w:rFonts w:hint="eastAsia"/>
                <w:i w:val="0"/>
                <w:iCs w:val="0"/>
                <w:color w:val="auto"/>
                <w:sz w:val="28"/>
                <w:highlight w:val="none"/>
              </w:rPr>
              <w:t>长期</w:t>
            </w:r>
          </w:p>
          <w:p>
            <w:pPr>
              <w:snapToGrid w:val="0"/>
              <w:spacing w:line="360" w:lineRule="exact"/>
              <w:ind w:left="0" w:leftChars="0" w:right="0" w:rightChars="0"/>
              <w:jc w:val="center"/>
              <w:rPr>
                <w:i w:val="0"/>
                <w:iCs w:val="0"/>
                <w:color w:val="auto"/>
                <w:sz w:val="28"/>
                <w:highlight w:val="none"/>
              </w:rPr>
            </w:pPr>
            <w:r>
              <w:rPr>
                <w:rFonts w:hint="eastAsia"/>
                <w:i w:val="0"/>
                <w:iCs w:val="0"/>
                <w:color w:val="auto"/>
                <w:sz w:val="28"/>
                <w:highlight w:val="none"/>
              </w:rPr>
              <w:t>实施</w:t>
            </w:r>
          </w:p>
        </w:tc>
        <w:tc>
          <w:tcPr>
            <w:tcW w:w="2056" w:type="dxa"/>
            <w:gridSpan w:val="4"/>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区城管执法局</w:t>
            </w:r>
          </w:p>
        </w:tc>
        <w:tc>
          <w:tcPr>
            <w:tcW w:w="2280" w:type="dxa"/>
            <w:gridSpan w:val="2"/>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3"/>
                <w:sz w:val="28"/>
                <w:highlight w:val="none"/>
              </w:rPr>
            </w:pPr>
            <w:r>
              <w:rPr>
                <w:i w:val="0"/>
                <w:iCs w:val="0"/>
                <w:color w:val="auto"/>
                <w:spacing w:val="-3"/>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rFonts w:hint="eastAsia"/>
                <w:i w:val="0"/>
                <w:iCs w:val="0"/>
                <w:color w:val="auto"/>
                <w:spacing w:val="12"/>
                <w:sz w:val="28"/>
                <w:highlight w:val="none"/>
              </w:rPr>
              <w:t>组织街道（乡镇）定期更新辖区内各类施工工地、拆迁拆违、线性工程、“小微工程”、</w:t>
            </w:r>
            <w:r>
              <w:rPr>
                <w:rFonts w:hint="eastAsia"/>
                <w:i w:val="0"/>
                <w:iCs w:val="0"/>
                <w:color w:val="auto"/>
                <w:spacing w:val="-6"/>
                <w:sz w:val="28"/>
                <w:highlight w:val="none"/>
              </w:rPr>
              <w:t>裸地等扬尘管控台账，按月开展全覆盖检查。</w:t>
            </w:r>
          </w:p>
        </w:tc>
        <w:tc>
          <w:tcPr>
            <w:tcW w:w="1229" w:type="dxa"/>
            <w:vAlign w:val="center"/>
          </w:tcPr>
          <w:p>
            <w:pPr>
              <w:snapToGrid w:val="0"/>
              <w:spacing w:line="360" w:lineRule="exact"/>
              <w:ind w:left="0" w:leftChars="0" w:right="0" w:rightChars="0"/>
              <w:jc w:val="center"/>
              <w:rPr>
                <w:rFonts w:hint="eastAsia"/>
                <w:i w:val="0"/>
                <w:iCs w:val="0"/>
                <w:color w:val="auto"/>
                <w:sz w:val="28"/>
                <w:highlight w:val="none"/>
              </w:rPr>
            </w:pPr>
            <w:r>
              <w:rPr>
                <w:rFonts w:hint="eastAsia"/>
                <w:i w:val="0"/>
                <w:iCs w:val="0"/>
                <w:color w:val="auto"/>
                <w:sz w:val="28"/>
                <w:highlight w:val="none"/>
              </w:rPr>
              <w:t>长期</w:t>
            </w:r>
          </w:p>
          <w:p>
            <w:pPr>
              <w:snapToGrid w:val="0"/>
              <w:spacing w:line="360" w:lineRule="exact"/>
              <w:ind w:left="0" w:leftChars="0" w:right="0" w:rightChars="0"/>
              <w:jc w:val="center"/>
              <w:rPr>
                <w:i w:val="0"/>
                <w:iCs w:val="0"/>
                <w:color w:val="auto"/>
                <w:sz w:val="28"/>
                <w:highlight w:val="none"/>
              </w:rPr>
            </w:pPr>
            <w:r>
              <w:rPr>
                <w:rFonts w:hint="eastAsia"/>
                <w:i w:val="0"/>
                <w:iCs w:val="0"/>
                <w:color w:val="auto"/>
                <w:sz w:val="28"/>
                <w:highlight w:val="none"/>
              </w:rPr>
              <w:t>实施</w:t>
            </w:r>
          </w:p>
        </w:tc>
        <w:tc>
          <w:tcPr>
            <w:tcW w:w="2056" w:type="dxa"/>
            <w:gridSpan w:val="4"/>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c>
          <w:tcPr>
            <w:tcW w:w="2280" w:type="dxa"/>
            <w:gridSpan w:val="2"/>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c>
          <w:tcPr>
            <w:tcW w:w="2332"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17</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强化道路扬尘管控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outlineLvl w:val="9"/>
              <w:rPr>
                <w:i w:val="0"/>
                <w:iCs w:val="0"/>
                <w:color w:val="auto"/>
                <w:sz w:val="28"/>
                <w:highlight w:val="none"/>
              </w:rPr>
            </w:pPr>
            <w:r>
              <w:rPr>
                <w:i w:val="0"/>
                <w:iCs w:val="0"/>
                <w:color w:val="auto"/>
                <w:sz w:val="28"/>
                <w:highlight w:val="none"/>
              </w:rPr>
              <w:t>提升道路清扫保洁水平，</w:t>
            </w:r>
            <w:r>
              <w:rPr>
                <w:rFonts w:hint="eastAsia"/>
                <w:i w:val="0"/>
                <w:iCs w:val="0"/>
                <w:color w:val="auto"/>
                <w:sz w:val="28"/>
                <w:highlight w:val="none"/>
              </w:rPr>
              <w:t>不断降低道路尘土残存量。</w:t>
            </w:r>
            <w:r>
              <w:rPr>
                <w:i w:val="0"/>
                <w:iCs w:val="0"/>
                <w:color w:val="auto"/>
                <w:sz w:val="28"/>
                <w:highlight w:val="none"/>
              </w:rPr>
              <w:t>沙尘天气后及时强化道路清扫保洁。</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firstLine="0" w:firstLineChars="0"/>
              <w:jc w:val="center"/>
              <w:textAlignment w:val="auto"/>
              <w:outlineLvl w:val="9"/>
              <w:rPr>
                <w:i w:val="0"/>
                <w:iCs w:val="0"/>
                <w:color w:val="auto"/>
                <w:spacing w:val="-12"/>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2"/>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按照《普通公路清扫保洁质量与作业要求指南》，提升辖区内县级及以上公路清扫保洁水平</w:t>
            </w:r>
            <w:r>
              <w:rPr>
                <w:i w:val="0"/>
                <w:iCs w:val="0"/>
                <w:color w:val="auto"/>
                <w:sz w:val="28"/>
                <w:highlight w:val="none"/>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区公路分局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中关村密云园</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首发集团</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指导推进辖区农村道路和街巷规范化清扫保洁工作。</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108" w:leftChars="0" w:right="0" w:rightChars="0"/>
              <w:textAlignment w:val="auto"/>
              <w:outlineLvl w:val="9"/>
              <w:rPr>
                <w:i w:val="0"/>
                <w:iCs w:val="0"/>
                <w:color w:val="auto"/>
                <w:sz w:val="28"/>
                <w:highlight w:val="none"/>
              </w:rPr>
            </w:pPr>
            <w:r>
              <w:rPr>
                <w:rFonts w:hint="eastAsia" w:cs="仿宋_GB2312"/>
                <w:i w:val="0"/>
                <w:iCs w:val="0"/>
                <w:color w:val="auto"/>
                <w:spacing w:val="-4"/>
                <w:sz w:val="28"/>
                <w:szCs w:val="22"/>
                <w:highlight w:val="none"/>
                <w:lang w:val="en-US" w:eastAsia="zh-CN" w:bidi="ar-SA"/>
              </w:rPr>
              <w:t>继续</w:t>
            </w:r>
            <w:r>
              <w:rPr>
                <w:rFonts w:hint="eastAsia" w:ascii="仿宋_GB2312" w:hAnsi="仿宋_GB2312" w:eastAsia="仿宋_GB2312" w:cs="仿宋_GB2312"/>
                <w:i w:val="0"/>
                <w:iCs w:val="0"/>
                <w:color w:val="auto"/>
                <w:spacing w:val="-4"/>
                <w:sz w:val="28"/>
                <w:szCs w:val="22"/>
                <w:highlight w:val="none"/>
                <w:lang w:val="en-US" w:eastAsia="en-US" w:bidi="ar-SA"/>
              </w:rPr>
              <w:t>组织开展平原地区道路尘负荷评估</w:t>
            </w:r>
            <w:r>
              <w:rPr>
                <w:rFonts w:hint="eastAsia" w:ascii="仿宋_GB2312" w:hAnsi="仿宋_GB2312" w:eastAsia="仿宋_GB2312" w:cs="仿宋_GB2312"/>
                <w:i w:val="0"/>
                <w:iCs w:val="0"/>
                <w:color w:val="auto"/>
                <w:spacing w:val="-4"/>
                <w:sz w:val="28"/>
                <w:szCs w:val="22"/>
                <w:highlight w:val="none"/>
                <w:lang w:val="en-US" w:eastAsia="zh-CN" w:bidi="ar-SA"/>
              </w:rPr>
              <w:t>；</w:t>
            </w:r>
            <w:r>
              <w:rPr>
                <w:rFonts w:hint="eastAsia" w:ascii="仿宋_GB2312" w:hAnsi="仿宋_GB2312" w:eastAsia="仿宋_GB2312" w:cs="仿宋_GB2312"/>
                <w:i w:val="0"/>
                <w:iCs w:val="0"/>
                <w:color w:val="auto"/>
                <w:spacing w:val="-4"/>
                <w:sz w:val="28"/>
                <w:szCs w:val="22"/>
                <w:highlight w:val="none"/>
                <w:lang w:val="en-US" w:eastAsia="en-US" w:bidi="ar-SA"/>
              </w:rPr>
              <w:t>对于道路尘负荷较高的道路，</w:t>
            </w:r>
            <w:r>
              <w:rPr>
                <w:rFonts w:hint="eastAsia" w:cs="仿宋_GB2312"/>
                <w:i w:val="0"/>
                <w:iCs w:val="0"/>
                <w:color w:val="auto"/>
                <w:spacing w:val="-4"/>
                <w:sz w:val="28"/>
                <w:szCs w:val="22"/>
                <w:highlight w:val="none"/>
                <w:lang w:val="en-US" w:eastAsia="zh-CN" w:bidi="ar-SA"/>
              </w:rPr>
              <w:t>行业部门、各镇街（地区）、</w:t>
            </w:r>
            <w:r>
              <w:rPr>
                <w:i w:val="0"/>
                <w:iCs w:val="0"/>
                <w:color w:val="auto"/>
                <w:spacing w:val="-3"/>
                <w:sz w:val="28"/>
                <w:highlight w:val="none"/>
              </w:rPr>
              <w:t>中关村密云园</w:t>
            </w:r>
            <w:r>
              <w:rPr>
                <w:rFonts w:hint="eastAsia" w:ascii="仿宋_GB2312" w:hAnsi="仿宋_GB2312" w:eastAsia="仿宋_GB2312" w:cs="仿宋_GB2312"/>
                <w:i w:val="0"/>
                <w:iCs w:val="0"/>
                <w:color w:val="auto"/>
                <w:spacing w:val="-4"/>
                <w:sz w:val="28"/>
                <w:szCs w:val="22"/>
                <w:highlight w:val="none"/>
                <w:lang w:val="en-US" w:eastAsia="en-US" w:bidi="ar-SA"/>
              </w:rPr>
              <w:t>组织</w:t>
            </w:r>
            <w:r>
              <w:rPr>
                <w:rFonts w:hint="eastAsia" w:ascii="仿宋_GB2312" w:hAnsi="仿宋_GB2312" w:eastAsia="仿宋_GB2312" w:cs="仿宋_GB2312"/>
                <w:i w:val="0"/>
                <w:iCs w:val="0"/>
                <w:color w:val="auto"/>
                <w:spacing w:val="-4"/>
                <w:sz w:val="28"/>
                <w:szCs w:val="22"/>
                <w:highlight w:val="none"/>
                <w:lang w:val="en-US" w:eastAsia="zh-CN" w:bidi="ar-SA"/>
              </w:rPr>
              <w:t>及时</w:t>
            </w:r>
            <w:r>
              <w:rPr>
                <w:rFonts w:hint="eastAsia" w:ascii="仿宋_GB2312" w:hAnsi="仿宋_GB2312" w:eastAsia="仿宋_GB2312" w:cs="仿宋_GB2312"/>
                <w:i w:val="0"/>
                <w:iCs w:val="0"/>
                <w:color w:val="auto"/>
                <w:spacing w:val="-4"/>
                <w:sz w:val="28"/>
                <w:szCs w:val="22"/>
                <w:highlight w:val="none"/>
                <w:lang w:val="en-US" w:eastAsia="en-US" w:bidi="ar-SA"/>
              </w:rPr>
              <w:t>整改。</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pacing w:val="-12"/>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2"/>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强化裸地扬尘管控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持续推进“基本无裸露区”建设。</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实现全区裸露区域面积控制在 1 平方公里以内，未完成创建的镇街裸露区域面积控制在辖区总面积的万分之五以内。已完成创建的镇街、施工工地、建筑垃圾消纳场所巩固创建成果。</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区生态环境局加大督查检查力度，对不符合创建要求的，及时通报，并要求整改，必要时取消授予的称号。</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6"/>
                <w:sz w:val="28"/>
                <w:highlight w:val="none"/>
              </w:rPr>
            </w:pPr>
            <w:r>
              <w:rPr>
                <w:i w:val="0"/>
                <w:iCs w:val="0"/>
                <w:color w:val="auto"/>
                <w:spacing w:val="-6"/>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6"/>
                <w:sz w:val="28"/>
                <w:highlight w:val="none"/>
              </w:rPr>
            </w:pPr>
            <w:r>
              <w:rPr>
                <w:i w:val="0"/>
                <w:iCs w:val="0"/>
                <w:color w:val="auto"/>
                <w:spacing w:val="-6"/>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6"/>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强化绿化过程技术指导，开展裸地生态治理和林下植被种植。对短期无建设或利用计划的裸地通过硬化、绿化等方式减少扬尘。</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强化裸地扬尘管控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强化农作物耕收技术指导，完善农作物秸秆资源台账并开展综合利用，结合实际种植越冬作物，避免耕地长期裸露。</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4"/>
                <w:sz w:val="28"/>
                <w:highlight w:val="none"/>
              </w:rPr>
            </w:pPr>
            <w:r>
              <w:rPr>
                <w:i w:val="0"/>
                <w:iCs w:val="0"/>
                <w:color w:val="auto"/>
                <w:spacing w:val="-24"/>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区园林绿化局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10"/>
                <w:sz w:val="28"/>
                <w:highlight w:val="none"/>
              </w:rPr>
              <w:t>开展农作物秸秆综合利用，建立健全农作物秸</w:t>
            </w:r>
            <w:r>
              <w:rPr>
                <w:i w:val="0"/>
                <w:iCs w:val="0"/>
                <w:color w:val="auto"/>
                <w:spacing w:val="-4"/>
                <w:sz w:val="28"/>
                <w:highlight w:val="none"/>
              </w:rPr>
              <w:t>秆资源台账。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2"/>
                <w:sz w:val="28"/>
                <w:highlight w:val="none"/>
              </w:rPr>
              <w:t>区农业服务中心</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4"/>
                <w:sz w:val="28"/>
                <w:highlight w:val="none"/>
              </w:rPr>
            </w:pPr>
            <w:r>
              <w:rPr>
                <w:i w:val="0"/>
                <w:iCs w:val="0"/>
                <w:color w:val="auto"/>
                <w:spacing w:val="-24"/>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各镇街（地区）定期更新台账，包括裸地、</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“小微工程”、拆迁拆违、架空线入地工程等，做好扬尘精细化管理。</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 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区住建委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区规自分局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9"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19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9" w:line="400" w:lineRule="exact"/>
              <w:ind w:left="119" w:leftChars="0" w:right="0" w:rightChars="0"/>
              <w:jc w:val="left"/>
              <w:textAlignment w:val="auto"/>
              <w:outlineLvl w:val="9"/>
              <w:rPr>
                <w:i w:val="0"/>
                <w:iCs w:val="0"/>
                <w:color w:val="auto"/>
                <w:sz w:val="28"/>
                <w:highlight w:val="none"/>
              </w:rPr>
            </w:pPr>
            <w:r>
              <w:rPr>
                <w:rFonts w:hint="eastAsia"/>
                <w:i w:val="0"/>
                <w:iCs w:val="0"/>
                <w:color w:val="auto"/>
                <w:sz w:val="28"/>
                <w:highlight w:val="none"/>
              </w:rPr>
              <w:t>加强餐饮油烟源头管控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依据北京市新增产业的禁止和限制目录（2022年版）中关于餐饮业生态环境保护管理措施的有关要求，市场监管部门与生态环境部门依托大数据平台加强餐饮项目办理营业执照、食品经营许可证等信息的推送共享。生态环境部门加强研判，结合实际情况开展事前帮扶指导，并做好事中事后监管。</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20</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加强氨排放</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both"/>
              <w:textAlignment w:val="auto"/>
              <w:outlineLvl w:val="9"/>
              <w:rPr>
                <w:rFonts w:hint="eastAsia"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恶臭</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19"/>
              <w:jc w:val="both"/>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烟花爆竹等管控</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持续做好本市消耗臭氧层物质企业备案管理，加强</w:t>
            </w:r>
            <w:r>
              <w:rPr>
                <w:rFonts w:hint="eastAsia" w:ascii="仿宋_GB2312" w:eastAsia="仿宋_GB2312"/>
                <w:color w:val="auto"/>
                <w:spacing w:val="-11"/>
                <w:sz w:val="28"/>
                <w:szCs w:val="28"/>
                <w:highlight w:val="none"/>
              </w:rPr>
              <w:t>对使用未备案及淘汰物质违法行为的执法检查。</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长期</w:t>
            </w:r>
          </w:p>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实施</w:t>
            </w:r>
          </w:p>
        </w:tc>
        <w:tc>
          <w:tcPr>
            <w:tcW w:w="2043" w:type="dxa"/>
            <w:gridSpan w:val="3"/>
            <w:vAlign w:val="center"/>
          </w:tcPr>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区生态环境局</w:t>
            </w:r>
          </w:p>
        </w:tc>
        <w:tc>
          <w:tcPr>
            <w:tcW w:w="2293" w:type="dxa"/>
            <w:gridSpan w:val="3"/>
            <w:vAlign w:val="center"/>
          </w:tcPr>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区经信局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引导采用绿色生态化养殖工艺，推进粪污氨排放源头削减。</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年底前</w:t>
            </w:r>
          </w:p>
        </w:tc>
        <w:tc>
          <w:tcPr>
            <w:tcW w:w="4336" w:type="dxa"/>
            <w:gridSpan w:val="6"/>
            <w:vAlign w:val="center"/>
          </w:tcPr>
          <w:p>
            <w:pPr>
              <w:keepNext w:val="0"/>
              <w:keepLines w:val="0"/>
              <w:pageBreakBefore w:val="0"/>
              <w:widowControl/>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农业农村局</w:t>
            </w:r>
          </w:p>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落实《城镇污水处理厂大气污染物排放标准》（DB11/ 2007—2022），以处理规模在</w:t>
            </w:r>
            <w:r>
              <w:rPr>
                <w:rFonts w:hint="eastAsia"/>
                <w:color w:val="auto"/>
                <w:sz w:val="28"/>
                <w:szCs w:val="28"/>
                <w:highlight w:val="none"/>
                <w:lang w:val="en-US" w:eastAsia="zh-CN"/>
              </w:rPr>
              <w:t>5</w:t>
            </w:r>
            <w:r>
              <w:rPr>
                <w:rFonts w:hint="eastAsia" w:ascii="仿宋_GB2312" w:eastAsia="仿宋_GB2312"/>
                <w:color w:val="auto"/>
                <w:sz w:val="28"/>
                <w:szCs w:val="28"/>
                <w:highlight w:val="none"/>
              </w:rPr>
              <w:t>万吨/日以上的城镇污水处理厂为对象，开展大气污染物排放联合专项执法。</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年底前</w:t>
            </w:r>
          </w:p>
        </w:tc>
        <w:tc>
          <w:tcPr>
            <w:tcW w:w="2043" w:type="dxa"/>
            <w:gridSpan w:val="3"/>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区生态环境局</w:t>
            </w:r>
          </w:p>
        </w:tc>
        <w:tc>
          <w:tcPr>
            <w:tcW w:w="2293" w:type="dxa"/>
            <w:gridSpan w:val="3"/>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i w:val="0"/>
                <w:iCs w:val="0"/>
                <w:color w:val="auto"/>
                <w:sz w:val="28"/>
                <w:szCs w:val="28"/>
                <w:highlight w:val="none"/>
                <w:lang w:val="en-US" w:eastAsia="zh-CN"/>
              </w:rPr>
            </w:pPr>
            <w:r>
              <w:rPr>
                <w:rFonts w:hint="eastAsia"/>
                <w:i w:val="0"/>
                <w:iCs w:val="0"/>
                <w:color w:val="auto"/>
                <w:sz w:val="28"/>
                <w:szCs w:val="28"/>
                <w:highlight w:val="none"/>
                <w:lang w:val="en-US" w:eastAsia="zh-CN"/>
              </w:rPr>
              <w:t>区生态环境局</w:t>
            </w:r>
          </w:p>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区水务局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根据《北京市密云区人民政府关于行政区域内禁止燃放烟花爆竹的通告》（密政发</w:t>
            </w:r>
            <w:r>
              <w:rPr>
                <w:i w:val="0"/>
                <w:iCs w:val="0"/>
                <w:color w:val="auto"/>
                <w:spacing w:val="-3"/>
                <w:sz w:val="28"/>
                <w:highlight w:val="none"/>
              </w:rPr>
              <w:t>〔</w:t>
            </w:r>
            <w:r>
              <w:rPr>
                <w:i w:val="0"/>
                <w:iCs w:val="0"/>
                <w:color w:val="auto"/>
                <w:sz w:val="28"/>
                <w:highlight w:val="none"/>
              </w:rPr>
              <w:t>2021</w:t>
            </w:r>
            <w:r>
              <w:rPr>
                <w:i w:val="0"/>
                <w:iCs w:val="0"/>
                <w:color w:val="auto"/>
                <w:spacing w:val="-29"/>
                <w:sz w:val="28"/>
                <w:highlight w:val="none"/>
              </w:rPr>
              <w:t>〕</w:t>
            </w:r>
            <w:r>
              <w:rPr>
                <w:i w:val="0"/>
                <w:iCs w:val="0"/>
                <w:color w:val="auto"/>
                <w:sz w:val="28"/>
                <w:highlight w:val="none"/>
              </w:rPr>
              <w:t>18</w:t>
            </w:r>
            <w:r>
              <w:rPr>
                <w:i w:val="0"/>
                <w:iCs w:val="0"/>
                <w:color w:val="auto"/>
                <w:spacing w:val="-32"/>
                <w:sz w:val="28"/>
                <w:highlight w:val="none"/>
              </w:rPr>
              <w:t xml:space="preserve"> 号</w:t>
            </w:r>
            <w:r>
              <w:rPr>
                <w:i w:val="0"/>
                <w:iCs w:val="0"/>
                <w:color w:val="auto"/>
                <w:spacing w:val="-27"/>
                <w:sz w:val="28"/>
                <w:highlight w:val="none"/>
              </w:rPr>
              <w:t>）</w:t>
            </w:r>
            <w:r>
              <w:rPr>
                <w:i w:val="0"/>
                <w:iCs w:val="0"/>
                <w:color w:val="auto"/>
                <w:spacing w:val="-6"/>
                <w:sz w:val="28"/>
                <w:highlight w:val="none"/>
              </w:rPr>
              <w:t>规定，密云区全部行政区域</w:t>
            </w:r>
            <w:r>
              <w:rPr>
                <w:i w:val="0"/>
                <w:iCs w:val="0"/>
                <w:color w:val="auto"/>
                <w:spacing w:val="-3"/>
                <w:sz w:val="28"/>
                <w:highlight w:val="none"/>
              </w:rPr>
              <w:t>内全年禁止燃放、销售烟花爆竹。</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区公安分局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区公安分局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区应急局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引导市民遵守文明行为规范，倡导文明、低碳、绿色祭祀。</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区民政局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区民政局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区文明办</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21</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ascii="仿宋_GB2312" w:eastAsia="仿宋_GB2312"/>
                <w:color w:val="auto"/>
                <w:sz w:val="28"/>
                <w:szCs w:val="28"/>
                <w:highlight w:val="none"/>
              </w:rPr>
              <w:t>加强噪声污染治理</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完成声环境功能区划分情况评估工作</w:t>
            </w:r>
            <w:r>
              <w:rPr>
                <w:rFonts w:hint="eastAsia" w:ascii="仿宋_GB2312" w:eastAsia="仿宋_GB2312"/>
                <w:color w:val="auto"/>
                <w:sz w:val="28"/>
                <w:szCs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6月底前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color w:val="auto"/>
                <w:sz w:val="28"/>
                <w:szCs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加大</w:t>
            </w:r>
            <w:r>
              <w:rPr>
                <w:rFonts w:hint="eastAsia" w:ascii="仿宋_GB2312" w:eastAsia="仿宋_GB2312"/>
                <w:color w:val="auto"/>
                <w:sz w:val="28"/>
                <w:szCs w:val="28"/>
                <w:highlight w:val="none"/>
                <w:lang w:val="en-US" w:eastAsia="zh-CN"/>
              </w:rPr>
              <w:t>对</w:t>
            </w:r>
            <w:r>
              <w:rPr>
                <w:rFonts w:hint="eastAsia" w:ascii="仿宋_GB2312" w:eastAsia="仿宋_GB2312"/>
                <w:color w:val="auto"/>
                <w:sz w:val="28"/>
                <w:szCs w:val="28"/>
                <w:highlight w:val="none"/>
              </w:rPr>
              <w:t>夜间施工</w:t>
            </w:r>
            <w:r>
              <w:rPr>
                <w:rFonts w:hint="eastAsia" w:ascii="仿宋_GB2312" w:eastAsia="仿宋_GB2312"/>
                <w:color w:val="auto"/>
                <w:sz w:val="28"/>
                <w:szCs w:val="28"/>
                <w:highlight w:val="none"/>
                <w:lang w:val="en-US" w:eastAsia="zh-CN"/>
              </w:rPr>
              <w:t>噪声扰民的违法行为</w:t>
            </w:r>
            <w:r>
              <w:rPr>
                <w:rFonts w:hint="eastAsia" w:ascii="仿宋_GB2312" w:eastAsia="仿宋_GB2312"/>
                <w:color w:val="auto"/>
                <w:sz w:val="28"/>
                <w:szCs w:val="28"/>
                <w:highlight w:val="none"/>
              </w:rPr>
              <w:t>查处力度。优化夜间施工证明办理条件和程序</w:t>
            </w:r>
            <w:r>
              <w:rPr>
                <w:rFonts w:hint="eastAsia" w:ascii="仿宋_GB2312" w:eastAsia="仿宋_GB2312"/>
                <w:color w:val="auto"/>
                <w:sz w:val="28"/>
                <w:szCs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201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jc w:val="both"/>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区住建委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560" w:firstLineChars="200"/>
              <w:jc w:val="both"/>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区城管委</w:t>
            </w:r>
          </w:p>
        </w:tc>
        <w:tc>
          <w:tcPr>
            <w:tcW w:w="2318" w:type="dxa"/>
            <w:gridSpan w:val="5"/>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各镇街（地区）</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加大</w:t>
            </w:r>
            <w:r>
              <w:rPr>
                <w:rFonts w:hint="eastAsia" w:ascii="仿宋_GB2312" w:eastAsia="仿宋_GB2312"/>
                <w:color w:val="auto"/>
                <w:sz w:val="28"/>
                <w:szCs w:val="28"/>
                <w:highlight w:val="none"/>
              </w:rPr>
              <w:t>对工业噪声固定设备和生产经营活动噪声扰民的</w:t>
            </w:r>
            <w:r>
              <w:rPr>
                <w:rFonts w:hint="eastAsia" w:ascii="仿宋_GB2312" w:eastAsia="仿宋_GB2312"/>
                <w:color w:val="auto"/>
                <w:sz w:val="28"/>
                <w:szCs w:val="28"/>
                <w:highlight w:val="none"/>
                <w:lang w:val="en-US" w:eastAsia="zh-CN"/>
              </w:rPr>
              <w:t>违法行为查处力度</w:t>
            </w:r>
            <w:r>
              <w:rPr>
                <w:rFonts w:hint="eastAsia" w:ascii="仿宋_GB2312" w:eastAsia="仿宋_GB2312"/>
                <w:color w:val="auto"/>
                <w:sz w:val="28"/>
                <w:szCs w:val="28"/>
                <w:highlight w:val="none"/>
              </w:rPr>
              <w:t>。督促提醒工业企业固定设备运行使用过程中，落实噪声控制措施，减少噪声扰民</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加大</w:t>
            </w:r>
            <w:r>
              <w:rPr>
                <w:rFonts w:hint="eastAsia" w:ascii="仿宋_GB2312" w:eastAsia="仿宋_GB2312"/>
                <w:color w:val="auto"/>
                <w:sz w:val="28"/>
                <w:szCs w:val="28"/>
                <w:highlight w:val="none"/>
              </w:rPr>
              <w:t>对商业、服务业固定设备和经营活动等噪声扰民的</w:t>
            </w:r>
            <w:r>
              <w:rPr>
                <w:rFonts w:hint="eastAsia" w:ascii="仿宋_GB2312" w:eastAsia="仿宋_GB2312"/>
                <w:color w:val="auto"/>
                <w:sz w:val="28"/>
                <w:szCs w:val="28"/>
                <w:highlight w:val="none"/>
                <w:lang w:val="en-US" w:eastAsia="zh-CN"/>
              </w:rPr>
              <w:t>违法行为查处力度</w:t>
            </w:r>
            <w:r>
              <w:rPr>
                <w:rFonts w:hint="eastAsia" w:ascii="仿宋_GB2312" w:eastAsia="仿宋_GB2312"/>
                <w:color w:val="auto"/>
                <w:sz w:val="28"/>
                <w:szCs w:val="28"/>
                <w:highlight w:val="none"/>
              </w:rPr>
              <w:t>。各镇街（地区）、中关村密云园结合日常巡查检查，督促提醒商业企业在装卸货、固定设备运行、音响器材使用等过程中，落实噪声控制措施，减少噪声扰民。</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201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pacing w:val="-20"/>
                <w:sz w:val="28"/>
                <w:szCs w:val="28"/>
                <w:highlight w:val="none"/>
                <w:lang w:val="en-US" w:eastAsia="zh-CN"/>
              </w:rPr>
            </w:pPr>
            <w:r>
              <w:rPr>
                <w:rFonts w:hint="eastAsia" w:ascii="仿宋_GB2312" w:eastAsia="仿宋_GB2312"/>
                <w:color w:val="auto"/>
                <w:spacing w:val="-20"/>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各镇街（地区）</w:t>
            </w:r>
          </w:p>
        </w:tc>
        <w:tc>
          <w:tcPr>
            <w:tcW w:w="2318" w:type="dxa"/>
            <w:gridSpan w:val="5"/>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中关村密云园</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加大</w:t>
            </w:r>
            <w:r>
              <w:rPr>
                <w:rFonts w:hint="eastAsia" w:ascii="仿宋_GB2312" w:eastAsia="仿宋_GB2312"/>
                <w:color w:val="auto"/>
                <w:sz w:val="28"/>
                <w:szCs w:val="28"/>
                <w:highlight w:val="none"/>
              </w:rPr>
              <w:t>对</w:t>
            </w:r>
            <w:r>
              <w:rPr>
                <w:rFonts w:hint="eastAsia" w:ascii="仿宋_GB2312" w:eastAsia="仿宋_GB2312"/>
                <w:color w:val="auto"/>
                <w:sz w:val="28"/>
                <w:szCs w:val="28"/>
                <w:highlight w:val="none"/>
                <w:lang w:val="en-US" w:eastAsia="zh-CN"/>
              </w:rPr>
              <w:t>街道、公园、广场等公共场所社会</w:t>
            </w:r>
            <w:r>
              <w:rPr>
                <w:rFonts w:hint="eastAsia" w:ascii="仿宋_GB2312" w:eastAsia="仿宋_GB2312"/>
                <w:color w:val="auto"/>
                <w:sz w:val="28"/>
                <w:szCs w:val="28"/>
                <w:highlight w:val="none"/>
              </w:rPr>
              <w:t>噪声扰民的</w:t>
            </w:r>
            <w:r>
              <w:rPr>
                <w:rFonts w:hint="eastAsia" w:ascii="仿宋_GB2312" w:eastAsia="仿宋_GB2312"/>
                <w:color w:val="auto"/>
                <w:sz w:val="28"/>
                <w:szCs w:val="28"/>
                <w:highlight w:val="none"/>
                <w:lang w:val="en-US" w:eastAsia="zh-CN"/>
              </w:rPr>
              <w:t>违法行为查处力度</w:t>
            </w:r>
            <w:r>
              <w:rPr>
                <w:rFonts w:hint="eastAsia" w:ascii="仿宋_GB2312" w:eastAsia="仿宋_GB2312"/>
                <w:color w:val="auto"/>
                <w:sz w:val="28"/>
                <w:szCs w:val="28"/>
                <w:highlight w:val="none"/>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区公安分局</w:t>
            </w:r>
            <w:r>
              <w:rPr>
                <w:rFonts w:hint="eastAsia" w:ascii="仿宋_GB2312" w:eastAsia="仿宋_GB2312"/>
                <w:color w:val="auto"/>
                <w:sz w:val="28"/>
                <w:szCs w:val="28"/>
                <w:highlight w:val="none"/>
                <w:lang w:val="en-US" w:eastAsia="zh-CN"/>
              </w:rPr>
              <w:t xml:space="preserve"> </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21</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ascii="仿宋_GB2312" w:eastAsia="仿宋_GB2312"/>
                <w:color w:val="auto"/>
                <w:sz w:val="28"/>
                <w:szCs w:val="28"/>
                <w:highlight w:val="none"/>
              </w:rPr>
              <w:t>加强噪声污染治理</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中、高考期间对考点周边及重点区域的施工、餐饮、健身、娱乐等商业经营场所进行巡查检查。</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204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w:t>
            </w:r>
            <w:r>
              <w:rPr>
                <w:rFonts w:hint="eastAsia"/>
                <w:color w:val="auto"/>
                <w:sz w:val="28"/>
                <w:szCs w:val="28"/>
                <w:highlight w:val="none"/>
                <w:lang w:val="en-US" w:eastAsia="zh-CN"/>
              </w:rPr>
              <w:t>生态环境局</w:t>
            </w:r>
          </w:p>
        </w:tc>
        <w:tc>
          <w:tcPr>
            <w:tcW w:w="229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区教委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区住建委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区公安分局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加强本区交通噪声污染防治，针对交通噪声扰民突出区域制定交通噪声缓解方案。</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color w:val="auto"/>
                <w:sz w:val="28"/>
                <w:szCs w:val="28"/>
                <w:highlight w:val="none"/>
                <w:lang w:val="en-US" w:eastAsia="zh-CN"/>
              </w:rPr>
              <w:t>年底前</w:t>
            </w:r>
          </w:p>
        </w:tc>
        <w:tc>
          <w:tcPr>
            <w:tcW w:w="204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区交通综合治理专班</w:t>
            </w:r>
          </w:p>
        </w:tc>
        <w:tc>
          <w:tcPr>
            <w:tcW w:w="229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区交通局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区公路分局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
                <w:szCs w:val="2"/>
                <w:highlight w:val="none"/>
                <w:lang w:val="en-US" w:eastAsia="zh-CN"/>
              </w:rPr>
              <w:t>191</w:t>
            </w:r>
            <w:r>
              <w:rPr>
                <w:rFonts w:hint="eastAsia" w:cs="仿宋_GB2312"/>
                <w:i w:val="0"/>
                <w:iCs w:val="0"/>
                <w:color w:val="auto"/>
                <w:sz w:val="28"/>
                <w:szCs w:val="22"/>
                <w:highlight w:val="none"/>
                <w:lang w:val="en-US" w:eastAsia="zh-CN" w:bidi="ar-SA"/>
              </w:rPr>
              <w:t>22</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提升接诉即办工作成效</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color w:val="auto"/>
                <w:sz w:val="28"/>
                <w:szCs w:val="28"/>
                <w:highlight w:val="none"/>
                <w:lang w:val="en-US" w:eastAsia="zh-CN" w:bidi="ar-SA"/>
              </w:rPr>
              <w:t>加强生态环境类诉求办理工作，全区结合生态环境治理工作，健全生态环境接诉即办“管家”机制，落实属地责任，加强日常巡查检查，重点解决市民反映集中的油烟、噪声等共性问题，进一步提升诉求办理解决率和满意率。</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ascii="仿宋_GB2312" w:hAnsi="仿宋_GB2312" w:eastAsia="仿宋_GB2312" w:cs="仿宋_GB2312"/>
                <w:i w:val="0"/>
                <w:iCs w:val="0"/>
                <w:color w:val="auto"/>
                <w:spacing w:val="-8"/>
                <w:sz w:val="28"/>
                <w:szCs w:val="22"/>
                <w:highlight w:val="none"/>
                <w:lang w:val="en-US" w:eastAsia="en-US" w:bidi="ar-SA"/>
              </w:rPr>
            </w:pPr>
            <w:r>
              <w:rPr>
                <w:rFonts w:hint="eastAsia" w:ascii="仿宋_GB2312" w:hAnsi="仿宋_GB2312" w:eastAsia="仿宋_GB2312" w:cs="仿宋_GB2312"/>
                <w:i w:val="0"/>
                <w:iCs w:val="0"/>
                <w:color w:val="auto"/>
                <w:spacing w:val="-8"/>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8"/>
                <w:sz w:val="28"/>
                <w:szCs w:val="22"/>
                <w:highlight w:val="none"/>
                <w:lang w:val="en-US" w:eastAsia="en-US" w:bidi="ar-SA"/>
              </w:rPr>
              <w:t>实施</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tc>
        <w:tc>
          <w:tcPr>
            <w:tcW w:w="2306" w:type="dxa"/>
            <w:gridSpan w:val="4"/>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ascii="仿宋_GB2312" w:eastAsia="仿宋_GB2312"/>
                <w:color w:val="auto"/>
                <w:sz w:val="28"/>
                <w:szCs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五、“一微克”行动区级示范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54"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w w:val="100"/>
                <w:sz w:val="28"/>
                <w:highlight w:val="none"/>
              </w:rPr>
            </w:pPr>
            <w:r>
              <w:rPr>
                <w:rFonts w:hint="eastAsia" w:cs="仿宋_GB2312"/>
                <w:i w:val="0"/>
                <w:iCs w:val="0"/>
                <w:color w:val="auto"/>
                <w:sz w:val="28"/>
                <w:szCs w:val="22"/>
                <w:highlight w:val="none"/>
                <w:lang w:val="en-US" w:eastAsia="zh-CN" w:bidi="ar-SA"/>
              </w:rPr>
              <w:t>23</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燃气锅炉深度治理</w:t>
            </w:r>
            <w:r>
              <w:rPr>
                <w:rFonts w:hint="eastAsia" w:cs="仿宋_GB2312"/>
                <w:i w:val="0"/>
                <w:iCs w:val="0"/>
                <w:color w:val="auto"/>
                <w:sz w:val="28"/>
                <w:szCs w:val="22"/>
                <w:highlight w:val="none"/>
                <w:lang w:val="en-US" w:eastAsia="zh-CN" w:bidi="ar-SA"/>
              </w:rPr>
              <w:t>、叉车电动化</w:t>
            </w:r>
            <w:r>
              <w:rPr>
                <w:rFonts w:hint="eastAsia" w:ascii="仿宋_GB2312" w:hAnsi="仿宋_GB2312" w:eastAsia="仿宋_GB2312" w:cs="仿宋_GB2312"/>
                <w:i w:val="0"/>
                <w:iCs w:val="0"/>
                <w:color w:val="auto"/>
                <w:sz w:val="28"/>
                <w:szCs w:val="22"/>
                <w:highlight w:val="none"/>
                <w:lang w:val="en-US" w:eastAsia="en-US" w:bidi="ar-SA"/>
              </w:rPr>
              <w:t>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i w:val="0"/>
                <w:iCs w:val="0"/>
                <w:color w:val="auto"/>
                <w:sz w:val="28"/>
                <w:highlight w:val="none"/>
              </w:rPr>
            </w:pPr>
            <w:r>
              <w:rPr>
                <w:rFonts w:hint="eastAsia" w:cs="仿宋_GB2312"/>
                <w:color w:val="auto"/>
                <w:sz w:val="28"/>
                <w:szCs w:val="28"/>
                <w:highlight w:val="none"/>
                <w:lang w:val="en-US" w:eastAsia="zh-CN" w:bidi="ar-SA"/>
              </w:rPr>
              <w:t>按照全市统一部署，积极稳妥</w:t>
            </w:r>
            <w:r>
              <w:rPr>
                <w:rFonts w:hint="eastAsia" w:ascii="仿宋_GB2312" w:hAnsi="仿宋_GB2312" w:eastAsia="仿宋_GB2312" w:cs="仿宋_GB2312"/>
                <w:color w:val="auto"/>
                <w:sz w:val="28"/>
                <w:szCs w:val="28"/>
                <w:highlight w:val="none"/>
                <w:lang w:val="en-US" w:eastAsia="en-US" w:bidi="ar-SA"/>
              </w:rPr>
              <w:t>组织</w:t>
            </w:r>
            <w:r>
              <w:rPr>
                <w:rFonts w:hint="eastAsia" w:ascii="仿宋_GB2312" w:hAnsi="仿宋_GB2312" w:eastAsia="仿宋_GB2312" w:cs="仿宋_GB2312"/>
                <w:color w:val="auto"/>
                <w:sz w:val="28"/>
                <w:szCs w:val="28"/>
                <w:highlight w:val="none"/>
                <w:lang w:val="en-US" w:eastAsia="zh-CN" w:bidi="ar-SA"/>
              </w:rPr>
              <w:t>城西北集中供热中心160蒸吨</w:t>
            </w:r>
            <w:r>
              <w:rPr>
                <w:rFonts w:hint="eastAsia" w:ascii="仿宋_GB2312" w:hAnsi="仿宋_GB2312" w:eastAsia="仿宋_GB2312" w:cs="仿宋_GB2312"/>
                <w:color w:val="auto"/>
                <w:sz w:val="28"/>
                <w:szCs w:val="28"/>
                <w:highlight w:val="none"/>
                <w:lang w:val="en-US" w:eastAsia="en-US" w:bidi="ar-SA"/>
              </w:rPr>
              <w:t>燃气锅炉开展深度低氮改造。</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按时间节点</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区国资委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54"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rFonts w:hint="eastAsia"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23</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燃气锅炉深度治理</w:t>
            </w:r>
            <w:r>
              <w:rPr>
                <w:rFonts w:hint="eastAsia" w:cs="仿宋_GB2312"/>
                <w:i w:val="0"/>
                <w:iCs w:val="0"/>
                <w:color w:val="auto"/>
                <w:sz w:val="28"/>
                <w:szCs w:val="22"/>
                <w:highlight w:val="none"/>
                <w:lang w:val="en-US" w:eastAsia="zh-CN" w:bidi="ar-SA"/>
              </w:rPr>
              <w:t>、叉车电动化</w:t>
            </w:r>
            <w:r>
              <w:rPr>
                <w:rFonts w:hint="eastAsia" w:ascii="仿宋_GB2312" w:hAnsi="仿宋_GB2312" w:eastAsia="仿宋_GB2312" w:cs="仿宋_GB2312"/>
                <w:i w:val="0"/>
                <w:iCs w:val="0"/>
                <w:color w:val="auto"/>
                <w:sz w:val="28"/>
                <w:szCs w:val="22"/>
                <w:highlight w:val="none"/>
                <w:lang w:val="en-US" w:eastAsia="en-US" w:bidi="ar-SA"/>
              </w:rPr>
              <w:t>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rFonts w:hint="eastAsia" w:ascii="仿宋_GB2312" w:hAnsi="仿宋_GB2312" w:eastAsia="仿宋_GB2312" w:cs="仿宋_GB2312"/>
                <w:i w:val="0"/>
                <w:iCs w:val="0"/>
                <w:color w:val="auto"/>
                <w:spacing w:val="-15"/>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以3吨及以下叉车为重点，积极推动区属国有企业开展叉车电动化工作。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区国资委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54"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rFonts w:hint="eastAsia" w:cs="仿宋_GB2312"/>
                <w:i w:val="0"/>
                <w:iCs w:val="0"/>
                <w:color w:val="auto"/>
                <w:sz w:val="28"/>
                <w:szCs w:val="22"/>
                <w:highlight w:val="none"/>
                <w:lang w:val="en-US" w:eastAsia="zh-CN" w:bidi="ar-SA"/>
              </w:rPr>
            </w:pPr>
          </w:p>
        </w:tc>
        <w:tc>
          <w:tcPr>
            <w:tcW w:w="85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rFonts w:hint="eastAsia" w:ascii="仿宋_GB2312" w:hAnsi="仿宋_GB2312" w:eastAsia="仿宋_GB2312" w:cs="仿宋_GB2312"/>
                <w:i w:val="0"/>
                <w:iCs w:val="0"/>
                <w:color w:val="auto"/>
                <w:spacing w:val="-15"/>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en-US" w:bidi="ar-SA"/>
              </w:rPr>
              <w:t>以工业园区、物流基地等场所内3吨及以下叉车为重点，加快推动叉车电动化</w:t>
            </w:r>
            <w:r>
              <w:rPr>
                <w:rFonts w:hint="eastAsia" w:ascii="仿宋_GB2312" w:hAnsi="仿宋_GB2312" w:eastAsia="仿宋_GB2312" w:cs="仿宋_GB2312"/>
                <w:i w:val="0"/>
                <w:iCs w:val="0"/>
                <w:color w:val="auto"/>
                <w:sz w:val="28"/>
                <w:szCs w:val="22"/>
                <w:highlight w:val="none"/>
                <w:lang w:val="en-US" w:eastAsia="zh-CN" w:bidi="ar-SA"/>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168" w:type="dxa"/>
            <w:gridSpan w:val="5"/>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16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ascii="仿宋_GB2312" w:eastAsia="仿宋_GB2312"/>
                <w:color w:val="auto"/>
                <w:sz w:val="28"/>
                <w:szCs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六、加强大气环境治理能力建设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24</w:t>
            </w:r>
          </w:p>
        </w:tc>
        <w:tc>
          <w:tcPr>
            <w:tcW w:w="855" w:type="dxa"/>
            <w:vMerge w:val="restart"/>
            <w:vAlign w:val="center"/>
          </w:tcPr>
          <w:p>
            <w:pPr>
              <w:pStyle w:val="16"/>
              <w:spacing w:before="1" w:line="339" w:lineRule="exact"/>
              <w:ind w:left="101" w:right="90"/>
              <w:jc w:val="both"/>
              <w:rPr>
                <w:i w:val="0"/>
                <w:iCs w:val="0"/>
                <w:color w:val="auto"/>
                <w:sz w:val="28"/>
                <w:highlight w:val="none"/>
              </w:rPr>
            </w:pPr>
            <w:r>
              <w:rPr>
                <w:i w:val="0"/>
                <w:iCs w:val="0"/>
                <w:color w:val="auto"/>
                <w:sz w:val="28"/>
                <w:highlight w:val="none"/>
              </w:rPr>
              <w:t>加强</w:t>
            </w:r>
          </w:p>
          <w:p>
            <w:pPr>
              <w:pStyle w:val="16"/>
              <w:spacing w:before="1"/>
              <w:ind w:left="120"/>
              <w:jc w:val="both"/>
              <w:rPr>
                <w:i w:val="0"/>
                <w:iCs w:val="0"/>
                <w:color w:val="auto"/>
                <w:sz w:val="28"/>
                <w:highlight w:val="none"/>
              </w:rPr>
            </w:pPr>
            <w:r>
              <w:rPr>
                <w:i w:val="0"/>
                <w:iCs w:val="0"/>
                <w:color w:val="auto"/>
                <w:spacing w:val="-1"/>
                <w:sz w:val="28"/>
                <w:highlight w:val="none"/>
              </w:rPr>
              <w:t>区域</w:t>
            </w:r>
          </w:p>
          <w:p>
            <w:pPr>
              <w:pStyle w:val="16"/>
              <w:spacing w:before="1" w:line="339" w:lineRule="exact"/>
              <w:ind w:left="120"/>
              <w:jc w:val="both"/>
              <w:rPr>
                <w:i w:val="0"/>
                <w:iCs w:val="0"/>
                <w:color w:val="auto"/>
                <w:sz w:val="28"/>
                <w:highlight w:val="none"/>
              </w:rPr>
            </w:pPr>
            <w:r>
              <w:rPr>
                <w:i w:val="0"/>
                <w:iCs w:val="0"/>
                <w:color w:val="auto"/>
                <w:spacing w:val="-1"/>
                <w:sz w:val="28"/>
                <w:highlight w:val="none"/>
              </w:rPr>
              <w:t>联防</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联控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落实京津冀生态环境执法联动工作机制，以空气重污染、秸秆焚烧等时段为重点，对涉气固定源和重型柴油车、重型燃气车等与交界市（区、县）开展联动执法，共同排查、打击交界处大气违法行为。</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pacing w:val="-1"/>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pacing w:val="-1"/>
                <w:sz w:val="28"/>
                <w:highlight w:val="none"/>
              </w:rPr>
              <w:t>实施</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区烟花办</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jc w:val="both"/>
              <w:textAlignment w:val="auto"/>
              <w:outlineLvl w:val="9"/>
              <w:rPr>
                <w:rFonts w:hint="eastAsia"/>
                <w:i w:val="0"/>
                <w:iCs w:val="0"/>
                <w:color w:val="auto"/>
                <w:sz w:val="28"/>
                <w:highlight w:val="none"/>
              </w:rPr>
            </w:pPr>
            <w:r>
              <w:rPr>
                <w:rFonts w:hint="eastAsia"/>
                <w:i w:val="0"/>
                <w:iCs w:val="0"/>
                <w:color w:val="auto"/>
                <w:sz w:val="28"/>
                <w:highlight w:val="none"/>
              </w:rPr>
              <w:t>强化区域重污染应对；完善空气重污染绩效分级管理，推动企业绩效评级提升，更新应急减排清单。</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依法依规启动重污染天气预警，</w:t>
            </w:r>
            <w:r>
              <w:rPr>
                <w:rFonts w:hint="eastAsia"/>
                <w:i w:val="0"/>
                <w:iCs w:val="0"/>
                <w:color w:val="auto"/>
                <w:sz w:val="28"/>
                <w:highlight w:val="none"/>
                <w:lang w:val="en-US" w:eastAsia="zh-CN"/>
              </w:rPr>
              <w:t>在</w:t>
            </w:r>
            <w:r>
              <w:rPr>
                <w:rFonts w:hint="eastAsia"/>
                <w:i w:val="0"/>
                <w:iCs w:val="0"/>
                <w:color w:val="auto"/>
                <w:sz w:val="28"/>
                <w:highlight w:val="none"/>
              </w:rPr>
              <w:t>生态环境部</w:t>
            </w:r>
            <w:r>
              <w:rPr>
                <w:rFonts w:hint="eastAsia"/>
                <w:i w:val="0"/>
                <w:iCs w:val="0"/>
                <w:color w:val="auto"/>
                <w:sz w:val="28"/>
                <w:highlight w:val="none"/>
                <w:lang w:val="en-US" w:eastAsia="zh-CN"/>
              </w:rPr>
              <w:t>和北京市</w:t>
            </w:r>
            <w:r>
              <w:rPr>
                <w:rFonts w:hint="eastAsia"/>
                <w:i w:val="0"/>
                <w:iCs w:val="0"/>
                <w:color w:val="auto"/>
                <w:sz w:val="28"/>
                <w:highlight w:val="none"/>
              </w:rPr>
              <w:t>统筹下，开展区域联防联控。空气重污染期间，各成员单位组织落实各项减排措施，并加强督查检查执法。</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空气重污染应急指挥部成员单位</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i w:val="0"/>
                <w:iCs w:val="0"/>
                <w:color w:val="auto"/>
                <w:sz w:val="28"/>
                <w:highlight w:val="none"/>
              </w:rPr>
              <w:t>强化督导、执法和信息公开</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全面落实环境保护“党政同责、一岗双责</w:t>
            </w:r>
            <w:r>
              <w:rPr>
                <w:i w:val="0"/>
                <w:iCs w:val="0"/>
                <w:color w:val="auto"/>
                <w:spacing w:val="-286"/>
                <w:w w:val="170"/>
                <w:sz w:val="28"/>
                <w:highlight w:val="none"/>
              </w:rPr>
              <w:t>”</w:t>
            </w:r>
            <w:r>
              <w:rPr>
                <w:i w:val="0"/>
                <w:iCs w:val="0"/>
                <w:color w:val="auto"/>
                <w:spacing w:val="-236"/>
                <w:w w:val="170"/>
                <w:sz w:val="28"/>
                <w:highlight w:val="none"/>
              </w:rPr>
              <w:t xml:space="preserve"> </w:t>
            </w:r>
            <w:r>
              <w:rPr>
                <w:i w:val="0"/>
                <w:iCs w:val="0"/>
                <w:color w:val="auto"/>
                <w:sz w:val="28"/>
                <w:highlight w:val="none"/>
              </w:rPr>
              <w:t>要求，每月对各镇街（地区）PM</w:t>
            </w:r>
            <w:r>
              <w:rPr>
                <w:i w:val="0"/>
                <w:iCs w:val="0"/>
                <w:color w:val="auto"/>
                <w:position w:val="-3"/>
                <w:sz w:val="14"/>
                <w:highlight w:val="none"/>
              </w:rPr>
              <w:t xml:space="preserve">2.5 </w:t>
            </w:r>
            <w:r>
              <w:rPr>
                <w:i w:val="0"/>
                <w:iCs w:val="0"/>
                <w:color w:val="auto"/>
                <w:sz w:val="28"/>
                <w:highlight w:val="none"/>
              </w:rPr>
              <w:t>浓度、粗</w:t>
            </w:r>
            <w:r>
              <w:rPr>
                <w:i w:val="0"/>
                <w:iCs w:val="0"/>
                <w:color w:val="auto"/>
                <w:spacing w:val="-4"/>
                <w:sz w:val="28"/>
                <w:highlight w:val="none"/>
              </w:rPr>
              <w:t>颗粒物浓度、涉气类环境执法情况等进行排</w:t>
            </w:r>
            <w:r>
              <w:rPr>
                <w:i w:val="0"/>
                <w:iCs w:val="0"/>
                <w:color w:val="auto"/>
                <w:spacing w:val="-3"/>
                <w:sz w:val="28"/>
                <w:highlight w:val="none"/>
              </w:rPr>
              <w:t>名，定期在政府常务会上进行通报。</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4"/>
                <w:sz w:val="28"/>
                <w:highlight w:val="none"/>
              </w:rPr>
            </w:pPr>
            <w:r>
              <w:rPr>
                <w:rFonts w:hint="eastAsia"/>
                <w:i w:val="0"/>
                <w:iCs w:val="0"/>
                <w:color w:val="auto"/>
                <w:spacing w:val="-4"/>
                <w:sz w:val="28"/>
                <w:highlight w:val="none"/>
              </w:rPr>
              <w:t>生态环境、公安、城管执法、市场监管等部门依据职责，组织开展贯穿全年的环境问题专项执法检查，重点加强对餐饮、汽修、VOCs和NOx排放重点企业、施工工地等单位的执法检查。强化排污许可证后监管执法，严格查处无证和不按证排污行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4"/>
                <w:sz w:val="28"/>
                <w:highlight w:val="none"/>
              </w:rPr>
            </w:pPr>
            <w:r>
              <w:rPr>
                <w:rFonts w:hint="eastAsia"/>
                <w:i w:val="0"/>
                <w:iCs w:val="0"/>
                <w:color w:val="auto"/>
                <w:spacing w:val="-4"/>
                <w:sz w:val="28"/>
                <w:highlight w:val="none"/>
              </w:rPr>
              <w:t>整治建筑垃圾违法违规行为，</w:t>
            </w:r>
            <w:r>
              <w:rPr>
                <w:rFonts w:hint="eastAsia"/>
                <w:i w:val="0"/>
                <w:iCs w:val="0"/>
                <w:color w:val="auto"/>
                <w:spacing w:val="-4"/>
                <w:sz w:val="28"/>
                <w:highlight w:val="none"/>
                <w:lang w:val="en-US" w:eastAsia="zh-CN"/>
              </w:rPr>
              <w:t>区城管委牵头，</w:t>
            </w:r>
            <w:r>
              <w:rPr>
                <w:rFonts w:hint="eastAsia"/>
                <w:i w:val="0"/>
                <w:iCs w:val="0"/>
                <w:color w:val="auto"/>
                <w:spacing w:val="-4"/>
                <w:sz w:val="28"/>
                <w:highlight w:val="none"/>
              </w:rPr>
              <w:t>加大对道路遗撒、扬尘、冒黑烟等问题的查处力度，对违法行为依法处理处置，对典型案例加强宣传曝光，形成震慑。</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落实环境信息依法披露改革要求，督促重点排污单位、实施强制性清洁生产审核企业等依法披露年度报告等环境信息。</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eastAsia="仿宋_GB2312"/>
                <w:i w:val="0"/>
                <w:iCs w:val="0"/>
                <w:color w:val="auto"/>
                <w:spacing w:val="-5"/>
                <w:sz w:val="28"/>
                <w:highlight w:val="none"/>
                <w:lang w:val="en-US" w:eastAsia="zh-CN"/>
              </w:rPr>
            </w:pPr>
            <w:r>
              <w:rPr>
                <w:rFonts w:hint="eastAsia"/>
                <w:i w:val="0"/>
                <w:iCs w:val="0"/>
                <w:color w:val="auto"/>
                <w:spacing w:val="-5"/>
                <w:sz w:val="28"/>
                <w:highlight w:val="none"/>
                <w:lang w:val="en-US" w:eastAsia="zh-CN"/>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2"/>
                <w:sz w:val="28"/>
                <w:highlight w:val="none"/>
              </w:rPr>
            </w:pPr>
            <w:r>
              <w:rPr>
                <w:i w:val="0"/>
                <w:iCs w:val="0"/>
                <w:color w:val="auto"/>
                <w:spacing w:val="-2"/>
                <w:sz w:val="28"/>
                <w:highlight w:val="none"/>
              </w:rPr>
              <w:t xml:space="preserve">区公安分局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pacing w:val="-5"/>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139" w:firstLineChars="0"/>
              <w:jc w:val="center"/>
              <w:textAlignment w:val="auto"/>
              <w:outlineLvl w:val="9"/>
              <w:rPr>
                <w:i w:val="0"/>
                <w:iCs w:val="0"/>
                <w:color w:val="auto"/>
                <w:sz w:val="28"/>
                <w:highlight w:val="none"/>
              </w:rPr>
            </w:pPr>
            <w:r>
              <w:rPr>
                <w:i w:val="0"/>
                <w:iCs w:val="0"/>
                <w:color w:val="auto"/>
                <w:sz w:val="28"/>
                <w:highlight w:val="none"/>
              </w:rPr>
              <w:t>区委宣传部</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139" w:firstLineChars="0"/>
              <w:jc w:val="center"/>
              <w:textAlignment w:val="auto"/>
              <w:outlineLvl w:val="9"/>
              <w:rPr>
                <w:i w:val="0"/>
                <w:iCs w:val="0"/>
                <w:color w:val="auto"/>
                <w:sz w:val="28"/>
                <w:highlight w:val="none"/>
              </w:rPr>
            </w:pPr>
            <w:r>
              <w:rPr>
                <w:i w:val="0"/>
                <w:iCs w:val="0"/>
                <w:color w:val="auto"/>
                <w:sz w:val="28"/>
                <w:highlight w:val="none"/>
              </w:rPr>
              <w:t>区融媒体中心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40" w:lineRule="exact"/>
              <w:ind w:left="119"/>
              <w:jc w:val="both"/>
              <w:textAlignment w:val="auto"/>
              <w:outlineLvl w:val="9"/>
              <w:rPr>
                <w:i w:val="0"/>
                <w:iCs w:val="0"/>
                <w:color w:val="auto"/>
                <w:sz w:val="28"/>
                <w:highlight w:val="none"/>
              </w:rPr>
            </w:pPr>
            <w:r>
              <w:rPr>
                <w:rFonts w:hint="eastAsia"/>
                <w:i w:val="0"/>
                <w:iCs w:val="0"/>
                <w:color w:val="auto"/>
                <w:sz w:val="28"/>
                <w:highlight w:val="none"/>
              </w:rPr>
              <w:t>发挥生态环境经济激励引导作用</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形成绿色引领企业名录或清单，通过绿色金融政</w:t>
            </w:r>
            <w:r>
              <w:rPr>
                <w:rFonts w:hint="eastAsia"/>
                <w:i w:val="0"/>
                <w:iCs w:val="0"/>
                <w:color w:val="auto"/>
                <w:spacing w:val="-11"/>
                <w:sz w:val="28"/>
                <w:highlight w:val="none"/>
              </w:rPr>
              <w:t>策鼓励引领企业绿色发展，发挥财政激励引导作用。</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强项目储备与资金使用管理，并结合辖区实际，相应加大财政投入力度。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pacing w:val="-15"/>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tabs>
                <w:tab w:val="left" w:pos="4256"/>
              </w:tabs>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充分发挥施工扬尘环保税调控作用，</w:t>
            </w:r>
            <w:r>
              <w:rPr>
                <w:rFonts w:hint="eastAsia"/>
                <w:i w:val="0"/>
                <w:iCs w:val="0"/>
                <w:color w:val="auto"/>
                <w:sz w:val="28"/>
                <w:highlight w:val="none"/>
                <w:lang w:val="en-US" w:eastAsia="zh-CN"/>
              </w:rPr>
              <w:t>落实</w:t>
            </w:r>
            <w:r>
              <w:rPr>
                <w:rFonts w:hint="eastAsia"/>
                <w:i w:val="0"/>
                <w:iCs w:val="0"/>
                <w:color w:val="auto"/>
                <w:sz w:val="28"/>
                <w:highlight w:val="none"/>
              </w:rPr>
              <w:t>完善“绿牌”工地表彰和施工扬尘处罚等信息共享机制，实现纳税主体和施工主体信息畅通，确保依法足额征收施工扬尘环保税。</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pacing w:val="-15"/>
                <w:sz w:val="28"/>
                <w:highlight w:val="none"/>
              </w:rPr>
              <w:t>年底前</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税务局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区住建委</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城管委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99" w:leftChars="0" w:right="91" w:rightChars="0"/>
              <w:jc w:val="center"/>
              <w:textAlignment w:val="auto"/>
              <w:outlineLvl w:val="9"/>
              <w:rPr>
                <w:rFonts w:hint="eastAsia" w:eastAsia="仿宋_GB2312"/>
                <w:i w:val="0"/>
                <w:iCs w:val="0"/>
                <w:color w:val="auto"/>
                <w:w w:val="100"/>
                <w:sz w:val="28"/>
                <w:highlight w:val="none"/>
                <w:lang w:val="en-US" w:eastAsia="zh-CN"/>
              </w:rPr>
            </w:pPr>
            <w:r>
              <w:rPr>
                <w:i w:val="0"/>
                <w:iCs w:val="0"/>
                <w:color w:val="auto"/>
                <w:sz w:val="28"/>
                <w:highlight w:val="none"/>
              </w:rPr>
              <w:t>2</w:t>
            </w:r>
            <w:r>
              <w:rPr>
                <w:rFonts w:hint="eastAsia"/>
                <w:i w:val="0"/>
                <w:iCs w:val="0"/>
                <w:color w:val="auto"/>
                <w:sz w:val="28"/>
                <w:highlight w:val="none"/>
                <w:lang w:val="en-US" w:eastAsia="zh-CN"/>
              </w:rPr>
              <w:t>7</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6"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提升监管能力</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完善“监测-通报-溯源-整改提升</w:t>
            </w:r>
            <w:r>
              <w:rPr>
                <w:i w:val="0"/>
                <w:iCs w:val="0"/>
                <w:color w:val="auto"/>
                <w:w w:val="180"/>
                <w:sz w:val="28"/>
                <w:highlight w:val="none"/>
              </w:rPr>
              <w:t>”</w:t>
            </w:r>
            <w:r>
              <w:rPr>
                <w:i w:val="0"/>
                <w:iCs w:val="0"/>
                <w:color w:val="auto"/>
                <w:spacing w:val="7"/>
                <w:sz w:val="28"/>
                <w:highlight w:val="none"/>
              </w:rPr>
              <w:t>监管模式，实现</w:t>
            </w:r>
            <w:r>
              <w:rPr>
                <w:i w:val="0"/>
                <w:iCs w:val="0"/>
                <w:color w:val="auto"/>
                <w:sz w:val="28"/>
                <w:highlight w:val="none"/>
              </w:rPr>
              <w:t>VOCs</w:t>
            </w:r>
            <w:r>
              <w:rPr>
                <w:i w:val="0"/>
                <w:iCs w:val="0"/>
                <w:color w:val="auto"/>
                <w:spacing w:val="-2"/>
                <w:sz w:val="28"/>
                <w:highlight w:val="none"/>
              </w:rPr>
              <w:t>精准治理</w:t>
            </w:r>
            <w:r>
              <w:rPr>
                <w:rFonts w:hint="eastAsia"/>
                <w:i w:val="0"/>
                <w:iCs w:val="0"/>
                <w:color w:val="auto"/>
                <w:spacing w:val="-2"/>
                <w:sz w:val="28"/>
                <w:highlight w:val="none"/>
                <w:lang w:eastAsia="zh-CN"/>
              </w:rPr>
              <w:t>。</w:t>
            </w:r>
            <w:r>
              <w:rPr>
                <w:i w:val="0"/>
                <w:iCs w:val="0"/>
                <w:color w:val="auto"/>
                <w:spacing w:val="-3"/>
                <w:w w:val="105"/>
                <w:sz w:val="28"/>
                <w:highlight w:val="none"/>
              </w:rPr>
              <w:t>充分应用“一微克</w:t>
            </w:r>
            <w:r>
              <w:rPr>
                <w:i w:val="0"/>
                <w:iCs w:val="0"/>
                <w:color w:val="auto"/>
                <w:spacing w:val="-3"/>
                <w:w w:val="115"/>
                <w:sz w:val="28"/>
                <w:highlight w:val="none"/>
              </w:rPr>
              <w:t>”</w:t>
            </w:r>
            <w:r>
              <w:rPr>
                <w:i w:val="0"/>
                <w:iCs w:val="0"/>
                <w:color w:val="auto"/>
                <w:spacing w:val="-3"/>
                <w:w w:val="105"/>
                <w:sz w:val="28"/>
                <w:highlight w:val="none"/>
              </w:rPr>
              <w:t>精细化管理平台，</w:t>
            </w:r>
            <w:r>
              <w:rPr>
                <w:rFonts w:hint="eastAsia"/>
                <w:i w:val="0"/>
                <w:iCs w:val="0"/>
                <w:color w:val="auto"/>
                <w:spacing w:val="-3"/>
                <w:w w:val="105"/>
                <w:sz w:val="28"/>
                <w:highlight w:val="none"/>
                <w:lang w:val="en-US" w:eastAsia="zh-CN"/>
              </w:rPr>
              <w:t>形成问题快速发现、快速处置、快速督办、快速解决的工作闭环</w:t>
            </w:r>
            <w:r>
              <w:rPr>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区生态环境</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加强精细化管控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各镇街（地区）、中关村密云园加强精细化管理工作，推进新技术应用，定期开展巡查检查，完善更新污染源台账，充分发挥环保网格化管理及“街乡吹哨、部门</w:t>
            </w:r>
            <w:r>
              <w:rPr>
                <w:rFonts w:hint="eastAsia"/>
                <w:i w:val="0"/>
                <w:iCs w:val="0"/>
                <w:color w:val="auto"/>
                <w:spacing w:val="-3"/>
                <w:sz w:val="28"/>
                <w:highlight w:val="none"/>
                <w:lang w:val="en-US" w:eastAsia="zh-CN"/>
              </w:rPr>
              <w:t>报道”机制</w:t>
            </w:r>
            <w:r>
              <w:rPr>
                <w:i w:val="0"/>
                <w:iCs w:val="0"/>
                <w:color w:val="auto"/>
                <w:spacing w:val="-3"/>
                <w:sz w:val="28"/>
                <w:highlight w:val="none"/>
              </w:rPr>
              <w:t>作用，对突出环境问题及时发现、快速解决定期更新网格化环境监管人员基本信息，推进镇街综合执法力量进网格。</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相关区直部门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eastAsia="仿宋_GB2312"/>
                <w:i w:val="0"/>
                <w:iCs w:val="0"/>
                <w:color w:val="auto"/>
                <w:sz w:val="28"/>
                <w:highlight w:val="none"/>
                <w:lang w:eastAsia="zh-CN"/>
              </w:rPr>
            </w:pPr>
            <w:r>
              <w:rPr>
                <w:i w:val="0"/>
                <w:iCs w:val="0"/>
                <w:color w:val="auto"/>
                <w:sz w:val="28"/>
                <w:highlight w:val="none"/>
              </w:rPr>
              <w:t>组织开展道路积尘负荷监测、涉气类环境问题暗查暗访、裸地图斑遥感监测、空气质量数据服务等项目，各镇街（地区）、中关村密云园根据项目结果，开展排查，对排查出的突出问题，拿出专项工作方案，责任到人，进一步压实属地责任</w:t>
            </w:r>
            <w:r>
              <w:rPr>
                <w:rFonts w:hint="eastAsia"/>
                <w:i w:val="0"/>
                <w:iCs w:val="0"/>
                <w:color w:val="auto"/>
                <w:sz w:val="28"/>
                <w:highlight w:val="none"/>
                <w:lang w:eastAsia="zh-CN"/>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强化督查考核</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2"/>
                <w:sz w:val="28"/>
                <w:highlight w:val="none"/>
              </w:rPr>
              <w:t>加强督查检查，将2023年大气污染防治各项措施纳入年度重点督查计划。将年度重点工作纳入全区党建统领综合考核评价体系，对各镇街（地区）、相关部门进行考核评价。</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区委办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区政府办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eastAsia="方正小标宋_GBK"/>
          <w:color w:val="auto"/>
          <w:sz w:val="32"/>
          <w:szCs w:val="32"/>
          <w:highlight w:val="none"/>
          <w:lang w:eastAsia="zh-CN"/>
        </w:rPr>
      </w:pPr>
      <w:r>
        <w:rPr>
          <w:rFonts w:hint="eastAsia" w:ascii="方正小标宋_GBK" w:hAnsi="方正小标宋_GBK" w:eastAsia="方正小标宋_GBK" w:cs="方正小标宋_GBK"/>
          <w:color w:val="auto"/>
          <w:sz w:val="44"/>
          <w:szCs w:val="44"/>
          <w:highlight w:val="none"/>
        </w:rPr>
        <w:t>北京市密云区水污染防治2023年行动计划</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tbl>
      <w:tblPr>
        <w:tblStyle w:val="13"/>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54"/>
        <w:gridCol w:w="5933"/>
        <w:gridCol w:w="1200"/>
        <w:gridCol w:w="2053"/>
        <w:gridCol w:w="5"/>
        <w:gridCol w:w="161"/>
        <w:gridCol w:w="222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序号</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重点任务</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工作措施</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完成</w:t>
            </w:r>
          </w:p>
          <w:p>
            <w:pPr>
              <w:adjustRightInd w:val="0"/>
              <w:snapToGrid w:val="0"/>
              <w:jc w:val="center"/>
              <w:rPr>
                <w:rFonts w:eastAsia="黑体"/>
                <w:color w:val="auto"/>
                <w:sz w:val="28"/>
                <w:szCs w:val="28"/>
                <w:highlight w:val="none"/>
              </w:rPr>
            </w:pPr>
            <w:r>
              <w:rPr>
                <w:rFonts w:hint="eastAsia" w:eastAsia="黑体"/>
                <w:color w:val="auto"/>
                <w:sz w:val="28"/>
                <w:szCs w:val="28"/>
                <w:highlight w:val="none"/>
              </w:rPr>
              <w:t>时限</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牵头部门</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主责单位</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lang w:val="en-US" w:eastAsia="zh-Hans"/>
              </w:rPr>
            </w:pPr>
            <w:r>
              <w:rPr>
                <w:rFonts w:hint="eastAsia" w:eastAsia="黑体"/>
                <w:color w:val="auto"/>
                <w:sz w:val="28"/>
                <w:szCs w:val="28"/>
                <w:highlight w:val="none"/>
                <w:lang w:val="en-US" w:eastAsia="zh-Hans"/>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目标任务</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地表水国考断面水质达到国家的目标要求</w:t>
            </w:r>
            <w:r>
              <w:rPr>
                <w:rFonts w:hint="eastAsia" w:ascii="仿宋_GB2312" w:eastAsia="仿宋_GB2312"/>
                <w:color w:val="auto"/>
                <w:sz w:val="28"/>
                <w:szCs w:val="28"/>
                <w:highlight w:val="none"/>
                <w:lang w:eastAsia="zh-CN"/>
              </w:rPr>
              <w:t>；市考断面力争全部达到相应考核要求</w:t>
            </w:r>
            <w:r>
              <w:rPr>
                <w:rFonts w:hint="eastAsia" w:ascii="仿宋_GB2312" w:eastAsia="仿宋_GB2312"/>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区城管委</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adjustRightInd w:val="0"/>
              <w:snapToGrid w:val="0"/>
              <w:jc w:val="center"/>
              <w:rPr>
                <w:rFonts w:hint="default"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区城管委</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区住建委</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石城镇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高岭镇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太师屯镇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冯家峪镇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巨各庄镇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穆家峪镇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溪翁庄镇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鼓楼街道</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果园街道</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十里堡镇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西田各庄镇</w:t>
            </w:r>
          </w:p>
          <w:p>
            <w:pPr>
              <w:keepNext w:val="0"/>
              <w:keepLines w:val="0"/>
              <w:pageBreakBefore w:val="0"/>
              <w:widowControl w:val="0"/>
              <w:kinsoku/>
              <w:wordWrap/>
              <w:overflowPunct/>
              <w:topLinePunct w:val="0"/>
              <w:autoSpaceDE w:val="0"/>
              <w:autoSpaceDN w:val="0"/>
              <w:bidi w:val="0"/>
              <w:adjustRightInd w:val="0"/>
              <w:snapToGrid w:val="0"/>
              <w:spacing w:line="280" w:lineRule="exact"/>
              <w:ind w:firstLine="280" w:firstLineChars="100"/>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中关村密云园</w:t>
            </w: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区发改委</w:t>
            </w:r>
          </w:p>
          <w:p>
            <w:pPr>
              <w:adjustRightInd w:val="0"/>
              <w:snapToGrid w:val="0"/>
              <w:jc w:val="center"/>
              <w:rPr>
                <w:rFonts w:hint="default" w:ascii="仿宋_GB2312" w:hAnsi="仿宋_GB2312" w:eastAsia="仿宋_GB2312" w:cs="仿宋_GB2312"/>
                <w:color w:val="auto"/>
                <w:sz w:val="28"/>
                <w:szCs w:val="28"/>
                <w:highlight w:val="none"/>
                <w:u w:val="none" w:color="auto"/>
                <w:lang w:eastAsia="zh-Hans"/>
              </w:rPr>
            </w:pPr>
            <w:r>
              <w:rPr>
                <w:rFonts w:hint="eastAsia" w:ascii="仿宋_GB2312" w:hAnsi="仿宋_GB2312" w:eastAsia="仿宋_GB2312" w:cs="仿宋_GB2312"/>
                <w:color w:val="auto"/>
                <w:sz w:val="28"/>
                <w:szCs w:val="28"/>
                <w:highlight w:val="none"/>
                <w:u w:val="none" w:color="auto"/>
                <w:lang w:val="en-US" w:eastAsia="zh-Hans"/>
              </w:rPr>
              <w:t>区规自分局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区农业农村局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区园林绿化局</w:t>
            </w:r>
          </w:p>
          <w:p>
            <w:pPr>
              <w:adjustRightInd w:val="0"/>
              <w:snapToGrid w:val="0"/>
              <w:jc w:val="center"/>
              <w:rPr>
                <w:rFonts w:hint="default"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黑体" w:eastAsia="仿宋_GB2312" w:cs="仿宋_GB2312"/>
                <w:color w:val="auto"/>
                <w:sz w:val="28"/>
                <w:szCs w:val="28"/>
                <w:highlight w:val="none"/>
                <w:u w:val="none" w:color="auto"/>
              </w:rPr>
            </w:pPr>
            <w:r>
              <w:rPr>
                <w:rFonts w:hint="eastAsia" w:ascii="仿宋_GB2312" w:hAnsi="宋体" w:eastAsia="仿宋_GB2312" w:cs="宋体"/>
                <w:color w:val="auto"/>
                <w:sz w:val="28"/>
                <w:szCs w:val="28"/>
                <w:highlight w:val="none"/>
              </w:rPr>
              <w:t>密云水库</w:t>
            </w:r>
            <w:r>
              <w:rPr>
                <w:rFonts w:hint="eastAsia" w:ascii="仿宋_GB2312" w:hAnsi="宋体" w:eastAsia="仿宋_GB2312" w:cs="宋体"/>
                <w:color w:val="auto"/>
                <w:sz w:val="28"/>
                <w:szCs w:val="28"/>
                <w:highlight w:val="none"/>
                <w:lang w:eastAsia="zh-CN"/>
              </w:rPr>
              <w:t>、沙厂水库</w:t>
            </w:r>
            <w:r>
              <w:rPr>
                <w:rFonts w:hint="eastAsia" w:ascii="仿宋_GB2312" w:hAnsi="宋体" w:eastAsia="仿宋_GB2312" w:cs="宋体"/>
                <w:color w:val="auto"/>
                <w:sz w:val="28"/>
                <w:szCs w:val="28"/>
                <w:highlight w:val="none"/>
              </w:rPr>
              <w:t>集中式饮用水水源地水质保持稳定达标</w:t>
            </w:r>
            <w:r>
              <w:rPr>
                <w:rFonts w:hint="eastAsia" w:ascii="仿宋_GB2312" w:hAnsi="宋体" w:eastAsia="仿宋_GB2312" w:cs="宋体"/>
                <w:color w:val="auto"/>
                <w:sz w:val="28"/>
                <w:szCs w:val="28"/>
                <w:highlight w:val="none"/>
                <w:lang w:eastAsia="zh-CN"/>
              </w:rPr>
              <w:t>；</w:t>
            </w:r>
            <w:r>
              <w:rPr>
                <w:rFonts w:hint="eastAsia" w:ascii="仿宋_GB2312" w:hAnsi="宋体" w:eastAsia="仿宋_GB2312" w:cs="宋体"/>
                <w:color w:val="auto"/>
                <w:sz w:val="28"/>
                <w:szCs w:val="28"/>
                <w:highlight w:val="none"/>
              </w:rPr>
              <w:t>地下水水质总体保持稳定。</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CN"/>
              </w:rPr>
            </w:pP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eastAsia="仿宋_GB2312"/>
                <w:color w:val="auto"/>
                <w:sz w:val="28"/>
                <w:szCs w:val="28"/>
                <w:highlight w:val="none"/>
                <w:lang w:val="en-US" w:eastAsia="zh-CN"/>
              </w:rPr>
              <w:t>区生态环境局</w:t>
            </w:r>
            <w:r>
              <w:rPr>
                <w:rFonts w:hint="eastAsia" w:ascii="仿宋_GB2312" w:hAnsi="仿宋_GB2312" w:eastAsia="仿宋_GB2312" w:cs="仿宋_GB2312"/>
                <w:color w:val="auto"/>
                <w:sz w:val="28"/>
                <w:szCs w:val="28"/>
                <w:highlight w:val="none"/>
                <w:u w:val="none" w:color="auto"/>
                <w:lang w:val="en-US" w:eastAsia="zh-CN"/>
              </w:rPr>
              <w:t>区水务局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adjustRightInd w:val="0"/>
              <w:snapToGrid w:val="0"/>
              <w:jc w:val="center"/>
              <w:rPr>
                <w:rFonts w:hint="eastAsia"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p>
            <w:pPr>
              <w:pStyle w:val="9"/>
              <w:jc w:val="center"/>
              <w:rPr>
                <w:rFonts w:hint="eastAsia"/>
                <w:color w:val="auto"/>
                <w:sz w:val="28"/>
                <w:szCs w:val="28"/>
                <w:highlight w:val="none"/>
                <w:lang w:val="en-US" w:eastAsia="zh-CN"/>
              </w:rPr>
            </w:pPr>
          </w:p>
          <w:p>
            <w:pPr>
              <w:pStyle w:val="9"/>
              <w:jc w:val="center"/>
              <w:rPr>
                <w:rFonts w:hint="eastAsia"/>
                <w:color w:val="auto"/>
                <w:sz w:val="28"/>
                <w:szCs w:val="28"/>
                <w:highlight w:val="none"/>
                <w:lang w:val="en-US" w:eastAsia="zh-CN"/>
              </w:rPr>
            </w:pPr>
          </w:p>
        </w:tc>
        <w:tc>
          <w:tcPr>
            <w:tcW w:w="2386" w:type="dxa"/>
            <w:gridSpan w:val="3"/>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Calibri" w:hAnsi="Calibri" w:eastAsia="仿宋_GB2312" w:cs="Times New Roman"/>
                <w:color w:val="auto"/>
                <w:kern w:val="2"/>
                <w:sz w:val="28"/>
                <w:szCs w:val="28"/>
                <w:highlight w:val="none"/>
                <w:lang w:val="en-US" w:eastAsia="zh-CN" w:bidi="ar-SA"/>
              </w:rPr>
            </w:pPr>
          </w:p>
        </w:tc>
        <w:tc>
          <w:tcPr>
            <w:tcW w:w="2341"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Calibri" w:hAnsi="Calibri" w:eastAsia="仿宋_GB2312" w:cs="Times New Roman"/>
                <w:color w:val="auto"/>
                <w:kern w:val="2"/>
                <w:sz w:val="28"/>
                <w:szCs w:val="28"/>
                <w:highlight w:val="no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629" w:type="dxa"/>
            <w:tcBorders>
              <w:left w:val="single" w:color="auto" w:sz="4" w:space="0"/>
              <w:right w:val="single" w:color="auto" w:sz="4" w:space="0"/>
            </w:tcBorders>
            <w:vAlign w:val="center"/>
          </w:tcPr>
          <w:p>
            <w:pPr>
              <w:adjustRightInd w:val="0"/>
              <w:snapToGrid w:val="0"/>
              <w:jc w:val="center"/>
              <w:rPr>
                <w:rFonts w:hint="eastAsia" w:ascii="仿宋_GB2312" w:eastAsia="仿宋_GB2312" w:cs="Times New Roman"/>
                <w:b w:val="0"/>
                <w:bCs w:val="0"/>
                <w:color w:val="auto"/>
                <w:sz w:val="28"/>
                <w:szCs w:val="28"/>
                <w:highlight w:val="none"/>
                <w:lang w:val="en-US" w:eastAsia="zh-CN"/>
              </w:rPr>
            </w:pPr>
            <w:r>
              <w:rPr>
                <w:rFonts w:hint="eastAsia" w:ascii="仿宋_GB2312" w:eastAsia="仿宋_GB2312" w:cs="Times New Roman"/>
                <w:b w:val="0"/>
                <w:bCs w:val="0"/>
                <w:color w:val="auto"/>
                <w:sz w:val="28"/>
                <w:szCs w:val="28"/>
                <w:highlight w:val="none"/>
                <w:lang w:val="en-US" w:eastAsia="zh-Hans"/>
              </w:rPr>
              <w:t>2</w:t>
            </w:r>
          </w:p>
        </w:tc>
        <w:tc>
          <w:tcPr>
            <w:tcW w:w="854" w:type="dxa"/>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b w:val="0"/>
                <w:bCs w:val="0"/>
                <w:color w:val="auto"/>
                <w:sz w:val="28"/>
                <w:szCs w:val="28"/>
                <w:highlight w:val="none"/>
                <w:lang w:val="en-US" w:eastAsia="zh-Hans"/>
              </w:rPr>
            </w:pPr>
            <w:r>
              <w:rPr>
                <w:rFonts w:hint="eastAsia" w:ascii="仿宋_GB2312" w:eastAsia="仿宋_GB2312" w:cs="Times New Roman"/>
                <w:b w:val="0"/>
                <w:bCs w:val="0"/>
                <w:color w:val="auto"/>
                <w:sz w:val="28"/>
                <w:szCs w:val="28"/>
                <w:highlight w:val="none"/>
                <w:lang w:val="en-US" w:eastAsia="zh-Hans"/>
              </w:rPr>
              <w:t>深入实施总量减排</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Hans"/>
              </w:rPr>
            </w:pPr>
            <w:r>
              <w:rPr>
                <w:rFonts w:hint="eastAsia" w:ascii="仿宋_GB2312" w:eastAsia="仿宋_GB2312" w:cs="Times New Roman"/>
                <w:b w:val="0"/>
                <w:bCs w:val="0"/>
                <w:color w:val="auto"/>
                <w:sz w:val="28"/>
                <w:szCs w:val="28"/>
                <w:highlight w:val="none"/>
                <w:lang w:val="en-US" w:eastAsia="zh-Hans"/>
              </w:rPr>
              <w:t>实现主要水污染物排放总量持续下降，完成化学需氧量（COD）、氨氮（NH3-N）</w:t>
            </w:r>
            <w:r>
              <w:rPr>
                <w:rFonts w:hint="eastAsia" w:ascii="仿宋_GB2312" w:eastAsia="仿宋_GB2312" w:cs="Times New Roman"/>
                <w:b w:val="0"/>
                <w:bCs w:val="0"/>
                <w:color w:val="auto"/>
                <w:sz w:val="28"/>
                <w:szCs w:val="28"/>
                <w:highlight w:val="none"/>
                <w:lang w:val="en-US" w:eastAsia="zh-CN"/>
              </w:rPr>
              <w:t>市级下达的</w:t>
            </w:r>
            <w:r>
              <w:rPr>
                <w:rFonts w:hint="eastAsia" w:ascii="仿宋_GB2312" w:eastAsia="仿宋_GB2312" w:cs="Times New Roman"/>
                <w:b w:val="0"/>
                <w:bCs w:val="0"/>
                <w:color w:val="auto"/>
                <w:sz w:val="28"/>
                <w:szCs w:val="28"/>
                <w:highlight w:val="none"/>
                <w:lang w:val="en-US" w:eastAsia="zh-Hans"/>
              </w:rPr>
              <w:t>减排目标要求。</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tc>
        <w:tc>
          <w:tcPr>
            <w:tcW w:w="2386"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区经信局</w:t>
            </w:r>
          </w:p>
          <w:p>
            <w:pPr>
              <w:adjustRightInd w:val="0"/>
              <w:snapToGrid w:val="0"/>
              <w:jc w:val="center"/>
              <w:rPr>
                <w:rFonts w:hint="eastAsia" w:eastAsia="仿宋_GB2312" w:cs="Times New Roman"/>
                <w:color w:val="auto"/>
                <w:sz w:val="28"/>
                <w:szCs w:val="28"/>
                <w:highlight w:val="none"/>
                <w:lang w:val="en-US" w:eastAsia="zh-Hans"/>
              </w:rPr>
            </w:pPr>
            <w:r>
              <w:rPr>
                <w:rFonts w:hint="eastAsia" w:ascii="仿宋_GB2312" w:hAnsi="仿宋_GB2312" w:eastAsia="仿宋_GB2312" w:cs="仿宋_GB2312"/>
                <w:color w:val="auto"/>
                <w:sz w:val="28"/>
                <w:szCs w:val="28"/>
                <w:highlight w:val="none"/>
                <w:u w:val="none" w:color="auto"/>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color w:val="auto"/>
                <w:sz w:val="28"/>
                <w:szCs w:val="28"/>
                <w:highlight w:val="none"/>
              </w:rPr>
            </w:pPr>
            <w:r>
              <w:rPr>
                <w:rFonts w:hint="eastAsia" w:ascii="仿宋_GB2312" w:eastAsia="仿宋_GB2312"/>
                <w:color w:val="auto"/>
                <w:sz w:val="28"/>
                <w:szCs w:val="28"/>
                <w:highlight w:val="none"/>
                <w:lang w:val="en-US" w:eastAsia="zh-CN"/>
              </w:rPr>
              <w:t>3</w:t>
            </w:r>
          </w:p>
          <w:p>
            <w:pPr>
              <w:pStyle w:val="9"/>
              <w:jc w:val="center"/>
              <w:rPr>
                <w:rFonts w:hint="eastAsia"/>
                <w:color w:val="auto"/>
                <w:sz w:val="28"/>
                <w:szCs w:val="28"/>
                <w:highlight w:val="none"/>
              </w:rPr>
            </w:pP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Calibri" w:eastAsia="仿宋_GB2312" w:cs="Times New Roman"/>
                <w:b w:val="0"/>
                <w:bCs w:val="0"/>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val="en-US" w:eastAsia="zh-Hans"/>
              </w:rPr>
              <w:t>落实</w:t>
            </w:r>
            <w:r>
              <w:rPr>
                <w:rFonts w:hint="eastAsia" w:ascii="仿宋_GB2312" w:eastAsia="仿宋_GB2312"/>
                <w:b w:val="0"/>
                <w:bCs w:val="0"/>
                <w:color w:val="auto"/>
                <w:sz w:val="28"/>
                <w:szCs w:val="28"/>
                <w:highlight w:val="none"/>
              </w:rPr>
              <w:t>《北京市密云水库流域水生态保护与发展规划（2020年-2035年）》</w:t>
            </w:r>
            <w:r>
              <w:rPr>
                <w:rFonts w:hint="eastAsia" w:ascii="仿宋_GB2312" w:eastAsia="仿宋_GB2312"/>
                <w:b w:val="0"/>
                <w:bCs w:val="0"/>
                <w:color w:val="auto"/>
                <w:sz w:val="28"/>
                <w:szCs w:val="28"/>
                <w:highlight w:val="none"/>
                <w:lang w:eastAsia="zh-CN"/>
              </w:rPr>
              <w:t>、</w:t>
            </w:r>
            <w:r>
              <w:rPr>
                <w:rFonts w:hint="eastAsia" w:ascii="仿宋_GB2312" w:eastAsia="仿宋_GB2312"/>
                <w:b w:val="0"/>
                <w:bCs w:val="0"/>
                <w:color w:val="auto"/>
                <w:sz w:val="28"/>
                <w:szCs w:val="28"/>
                <w:highlight w:val="none"/>
              </w:rPr>
              <w:t>《</w:t>
            </w:r>
            <w:r>
              <w:rPr>
                <w:rFonts w:hint="eastAsia" w:ascii="仿宋_GB2312" w:eastAsia="仿宋_GB2312"/>
                <w:b w:val="0"/>
                <w:bCs w:val="0"/>
                <w:color w:val="auto"/>
                <w:sz w:val="28"/>
                <w:szCs w:val="28"/>
                <w:highlight w:val="none"/>
                <w:lang w:eastAsia="zh-CN"/>
              </w:rPr>
              <w:t>密云区</w:t>
            </w:r>
            <w:r>
              <w:rPr>
                <w:rFonts w:hint="eastAsia" w:ascii="仿宋_GB2312" w:eastAsia="仿宋_GB2312"/>
                <w:b w:val="0"/>
                <w:bCs w:val="0"/>
                <w:color w:val="auto"/>
                <w:sz w:val="28"/>
                <w:szCs w:val="28"/>
                <w:highlight w:val="none"/>
              </w:rPr>
              <w:t>密云水库流域生态保护</w:t>
            </w:r>
            <w:r>
              <w:rPr>
                <w:rFonts w:hint="eastAsia" w:ascii="仿宋_GB2312" w:eastAsia="仿宋_GB2312"/>
                <w:b w:val="0"/>
                <w:bCs w:val="0"/>
                <w:color w:val="auto"/>
                <w:sz w:val="28"/>
                <w:szCs w:val="28"/>
                <w:highlight w:val="none"/>
                <w:lang w:eastAsia="zh-CN"/>
              </w:rPr>
              <w:t>和绿色</w:t>
            </w:r>
            <w:r>
              <w:rPr>
                <w:rFonts w:hint="eastAsia" w:ascii="仿宋_GB2312" w:eastAsia="仿宋_GB2312"/>
                <w:b w:val="0"/>
                <w:bCs w:val="0"/>
                <w:color w:val="auto"/>
                <w:sz w:val="28"/>
                <w:szCs w:val="28"/>
                <w:highlight w:val="none"/>
              </w:rPr>
              <w:t>发展</w:t>
            </w:r>
            <w:r>
              <w:rPr>
                <w:rFonts w:hint="eastAsia" w:ascii="仿宋_GB2312" w:eastAsia="仿宋_GB2312"/>
                <w:b w:val="0"/>
                <w:bCs w:val="0"/>
                <w:color w:val="auto"/>
                <w:sz w:val="28"/>
                <w:szCs w:val="28"/>
                <w:highlight w:val="none"/>
                <w:lang w:eastAsia="zh-CN"/>
              </w:rPr>
              <w:t>实施方案</w:t>
            </w:r>
            <w:r>
              <w:rPr>
                <w:rFonts w:hint="eastAsia" w:ascii="仿宋_GB2312" w:eastAsia="仿宋_GB2312"/>
                <w:b w:val="0"/>
                <w:bCs w:val="0"/>
                <w:color w:val="auto"/>
                <w:sz w:val="28"/>
                <w:szCs w:val="28"/>
                <w:highlight w:val="none"/>
              </w:rPr>
              <w:t>》</w:t>
            </w:r>
            <w:r>
              <w:rPr>
                <w:rFonts w:ascii="仿宋_GB2312" w:hAnsi="宋体" w:eastAsia="仿宋_GB2312" w:cs="仿宋_GB2312"/>
                <w:color w:val="auto"/>
                <w:kern w:val="0"/>
                <w:sz w:val="28"/>
                <w:szCs w:val="28"/>
                <w:highlight w:val="none"/>
                <w:lang w:bidi="ar"/>
              </w:rPr>
              <w:t>，</w:t>
            </w:r>
            <w:r>
              <w:rPr>
                <w:rFonts w:hint="eastAsia" w:ascii="仿宋_GB2312" w:eastAsia="仿宋_GB2312"/>
                <w:b w:val="0"/>
                <w:bCs w:val="0"/>
                <w:color w:val="auto"/>
                <w:sz w:val="28"/>
                <w:szCs w:val="28"/>
                <w:highlight w:val="none"/>
              </w:rPr>
              <w:t>2023年密云水库流域水质稳定保持Ⅱ类，入库河流总氮浓度得到有效控制。</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eastAsia="zh-CN"/>
              </w:rPr>
            </w:pPr>
          </w:p>
          <w:p>
            <w:pPr>
              <w:adjustRightInd w:val="0"/>
              <w:snapToGrid w:val="0"/>
              <w:jc w:val="center"/>
              <w:rPr>
                <w:rFonts w:hint="eastAsia"/>
                <w:b w:val="0"/>
                <w:bCs w:val="0"/>
                <w:color w:val="auto"/>
                <w:sz w:val="28"/>
                <w:szCs w:val="28"/>
                <w:highlight w:val="none"/>
                <w:lang w:eastAsia="zh-CN"/>
              </w:rPr>
            </w:pPr>
            <w:r>
              <w:rPr>
                <w:rFonts w:hint="eastAsia"/>
                <w:b w:val="0"/>
                <w:bCs w:val="0"/>
                <w:color w:val="auto"/>
                <w:sz w:val="28"/>
                <w:szCs w:val="28"/>
                <w:highlight w:val="none"/>
                <w:lang w:eastAsia="zh-CN"/>
              </w:rPr>
              <w:t>密云水库流域生态保护</w:t>
            </w:r>
          </w:p>
          <w:p>
            <w:pPr>
              <w:adjustRightInd w:val="0"/>
              <w:snapToGrid w:val="0"/>
              <w:jc w:val="center"/>
              <w:rPr>
                <w:rFonts w:eastAsia="仿宋_GB2312"/>
                <w:b w:val="0"/>
                <w:bCs w:val="0"/>
                <w:color w:val="auto"/>
                <w:sz w:val="28"/>
                <w:szCs w:val="28"/>
                <w:highlight w:val="none"/>
              </w:rPr>
            </w:pPr>
            <w:r>
              <w:rPr>
                <w:rFonts w:hint="eastAsia"/>
                <w:b w:val="0"/>
                <w:bCs w:val="0"/>
                <w:color w:val="auto"/>
                <w:sz w:val="28"/>
                <w:szCs w:val="28"/>
                <w:highlight w:val="none"/>
                <w:lang w:eastAsia="zh-CN"/>
              </w:rPr>
              <w:t>和绿色发展专班</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Hans" w:bidi="ar-SA"/>
              </w:rPr>
            </w:pPr>
          </w:p>
        </w:tc>
        <w:tc>
          <w:tcPr>
            <w:tcW w:w="234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区财政局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区发改委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区农业农村局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区园林绿化局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宋体" w:hAnsi="宋体" w:eastAsia="仿宋_GB2312" w:cs="宋体"/>
                <w:color w:val="auto"/>
                <w:kern w:val="0"/>
                <w:sz w:val="28"/>
                <w:szCs w:val="28"/>
                <w:highlight w:val="none"/>
                <w:lang w:val="en-US" w:eastAsia="zh-CN" w:bidi="ar-SA"/>
              </w:rPr>
            </w:pPr>
            <w:r>
              <w:rPr>
                <w:rFonts w:hint="eastAsia" w:eastAsia="仿宋_GB2312"/>
                <w:b w:val="0"/>
                <w:bCs w:val="0"/>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_GB2312" w:eastAsia="仿宋_GB2312"/>
                <w:color w:val="auto"/>
                <w:sz w:val="28"/>
                <w:szCs w:val="28"/>
                <w:highlight w:val="none"/>
                <w:lang w:eastAsia="zh-Hans"/>
              </w:rPr>
            </w:pPr>
            <w:r>
              <w:rPr>
                <w:rFonts w:hint="eastAsia" w:ascii="仿宋_GB2312" w:eastAsia="仿宋_GB2312"/>
                <w:b w:val="0"/>
                <w:bCs w:val="0"/>
                <w:color w:val="auto"/>
                <w:sz w:val="28"/>
                <w:szCs w:val="28"/>
                <w:highlight w:val="none"/>
                <w:lang w:val="en-US" w:eastAsia="zh-Hans"/>
              </w:rPr>
              <w:t>落实《北京市密云水库</w:t>
            </w:r>
            <w:r>
              <w:rPr>
                <w:rFonts w:hint="eastAsia"/>
                <w:b w:val="0"/>
                <w:bCs w:val="0"/>
                <w:color w:val="auto"/>
                <w:sz w:val="28"/>
                <w:szCs w:val="28"/>
                <w:highlight w:val="none"/>
                <w:lang w:val="en-US" w:eastAsia="zh-CN"/>
              </w:rPr>
              <w:t>上游</w:t>
            </w:r>
            <w:r>
              <w:rPr>
                <w:rFonts w:hint="eastAsia" w:ascii="仿宋_GB2312" w:eastAsia="仿宋_GB2312"/>
                <w:b w:val="0"/>
                <w:bCs w:val="0"/>
                <w:color w:val="auto"/>
                <w:sz w:val="28"/>
                <w:szCs w:val="28"/>
                <w:highlight w:val="none"/>
                <w:lang w:val="en-US" w:eastAsia="zh-Hans"/>
              </w:rPr>
              <w:t>地区空间保护规划( 2021-2035 年)》</w:t>
            </w:r>
            <w:r>
              <w:rPr>
                <w:rFonts w:hint="default" w:ascii="仿宋_GB2312" w:eastAsia="仿宋_GB2312"/>
                <w:b w:val="0"/>
                <w:bCs w:val="0"/>
                <w:color w:val="auto"/>
                <w:sz w:val="28"/>
                <w:szCs w:val="28"/>
                <w:highlight w:val="none"/>
                <w:lang w:eastAsia="zh-Hans"/>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规</w:t>
            </w:r>
            <w:r>
              <w:rPr>
                <w:rFonts w:hint="eastAsia" w:eastAsia="仿宋_GB2312"/>
                <w:b w:val="0"/>
                <w:bCs w:val="0"/>
                <w:color w:val="auto"/>
                <w:sz w:val="28"/>
                <w:szCs w:val="28"/>
                <w:highlight w:val="none"/>
                <w:lang w:eastAsia="zh-CN"/>
              </w:rPr>
              <w:t>自分局</w:t>
            </w: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continue"/>
            <w:tcBorders>
              <w:left w:val="single" w:color="auto" w:sz="4" w:space="0"/>
              <w:right w:val="single" w:color="auto" w:sz="4" w:space="0"/>
            </w:tcBorders>
            <w:vAlign w:val="center"/>
          </w:tcPr>
          <w:p>
            <w:pPr>
              <w:pStyle w:val="9"/>
              <w:jc w:val="center"/>
              <w:rPr>
                <w:rFonts w:hint="eastAsia"/>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lang w:val="en-US" w:eastAsia="zh-Hans"/>
              </w:rPr>
            </w:pPr>
            <w:r>
              <w:rPr>
                <w:rFonts w:hint="eastAsia" w:ascii="仿宋_GB2312" w:hAnsi="Times New Roman" w:eastAsia="仿宋_GB2312" w:cs="Times New Roman"/>
                <w:color w:val="auto"/>
                <w:kern w:val="2"/>
                <w:sz w:val="28"/>
                <w:szCs w:val="28"/>
                <w:highlight w:val="none"/>
                <w:lang w:val="en-US" w:eastAsia="zh-CN" w:bidi="ar-SA"/>
              </w:rPr>
              <w:t>健全密云水库及上游流域水生态环境监测体系，发挥水环境风险预警监控能力。</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tc>
        <w:tc>
          <w:tcPr>
            <w:tcW w:w="234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区发改委</w:t>
            </w:r>
          </w:p>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区财政局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kinsoku/>
              <w:wordWrap/>
              <w:overflowPunct/>
              <w:topLinePunct w:val="0"/>
              <w:autoSpaceDE/>
              <w:autoSpaceDN/>
              <w:bidi w:val="0"/>
              <w:adjustRightInd w:val="0"/>
              <w:snapToGrid w:val="0"/>
              <w:spacing w:line="360" w:lineRule="exact"/>
              <w:jc w:val="center"/>
              <w:outlineLvl w:val="9"/>
              <w:rPr>
                <w:rFonts w:hint="default" w:ascii="宋体" w:hAnsi="宋体" w:eastAsia="仿宋_GB2312" w:cs="宋体"/>
                <w:color w:val="auto"/>
                <w:kern w:val="0"/>
                <w:sz w:val="28"/>
                <w:szCs w:val="28"/>
                <w:highlight w:val="none"/>
                <w:lang w:val="en-US" w:eastAsia="zh-CN" w:bidi="ar-SA"/>
              </w:rPr>
            </w:pPr>
            <w:r>
              <w:rPr>
                <w:rFonts w:hint="eastAsia" w:eastAsia="仿宋_GB2312"/>
                <w:b w:val="0"/>
                <w:bCs w:val="0"/>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hAnsi="Calibri" w:eastAsia="仿宋_GB2312" w:cs="Times New Roman"/>
                <w:color w:val="auto"/>
                <w:kern w:val="2"/>
                <w:sz w:val="28"/>
                <w:szCs w:val="28"/>
                <w:highlight w:val="none"/>
                <w:lang w:val="en-US" w:eastAsia="zh-CN" w:bidi="ar-SA"/>
              </w:rPr>
            </w:pPr>
            <w:r>
              <w:rPr>
                <w:rFonts w:hint="eastAsia" w:hAnsi="Calibri" w:cs="Times New Roman"/>
                <w:color w:val="auto"/>
                <w:kern w:val="2"/>
                <w:sz w:val="28"/>
                <w:szCs w:val="28"/>
                <w:highlight w:val="none"/>
                <w:lang w:val="en-US" w:eastAsia="zh-CN" w:bidi="ar-SA"/>
              </w:rPr>
              <w:t>3</w:t>
            </w:r>
          </w:p>
        </w:tc>
        <w:tc>
          <w:tcPr>
            <w:tcW w:w="854" w:type="dxa"/>
            <w:vMerge w:val="restart"/>
            <w:tcBorders>
              <w:left w:val="single" w:color="auto" w:sz="4" w:space="0"/>
              <w:right w:val="single" w:color="auto" w:sz="4" w:space="0"/>
            </w:tcBorders>
            <w:vAlign w:val="center"/>
          </w:tcPr>
          <w:p>
            <w:pPr>
              <w:adjustRightInd w:val="0"/>
              <w:snapToGrid w:val="0"/>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left"/>
              <w:rPr>
                <w:rFonts w:hint="eastAsia" w:ascii="仿宋_GB2312"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rPr>
              <w:t>落实《密云水库上游流域“两市三区”生态环境联建联防联治合作协议》，针对京冀两地潮河、白河等主要入库河流周边开展污染状况调查、综合治理、联合执法、联合监测等相关工作；完善上下游流域应急处置机制；</w:t>
            </w:r>
            <w:r>
              <w:rPr>
                <w:rFonts w:hint="eastAsia" w:ascii="仿宋_GB2312" w:eastAsia="仿宋_GB2312"/>
                <w:color w:val="auto"/>
                <w:sz w:val="28"/>
                <w:szCs w:val="28"/>
                <w:highlight w:val="none"/>
                <w:lang w:val="en-US" w:eastAsia="zh-CN"/>
              </w:rPr>
              <w:t>推进密云水库上游流域“两市三区”综合协调指挥中心建设。</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长期实施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eastAsia="zh-CN"/>
              </w:rPr>
              <w:t>区</w:t>
            </w:r>
            <w:r>
              <w:rPr>
                <w:rFonts w:hint="eastAsia" w:ascii="仿宋_GB2312" w:hAnsi="Times New Roman" w:eastAsia="仿宋_GB2312" w:cs="Times New Roman"/>
                <w:color w:val="auto"/>
                <w:kern w:val="2"/>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区发改委</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区财政局</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p>
            <w:pPr>
              <w:pStyle w:val="11"/>
              <w:adjustRightInd w:val="0"/>
              <w:snapToGrid w:val="0"/>
              <w:spacing w:before="0" w:beforeAutospacing="0" w:after="0" w:afterAutospacing="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Hans" w:bidi="ar-SA"/>
              </w:rPr>
              <w:t>区应急局</w:t>
            </w:r>
          </w:p>
          <w:p>
            <w:pPr>
              <w:pStyle w:val="11"/>
              <w:adjustRightInd w:val="0"/>
              <w:snapToGrid w:val="0"/>
              <w:spacing w:before="0" w:beforeAutospacing="0" w:after="0" w:afterAutospacing="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区园林绿化局</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区农业农村局</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Hans" w:bidi="ar-SA"/>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r>
              <w:rPr>
                <w:rFonts w:hint="default" w:ascii="Times New Roman" w:hAnsi="Times New Roman" w:eastAsia="仿宋_GB2312" w:cs="Times New Roman"/>
                <w:color w:val="auto"/>
                <w:kern w:val="2"/>
                <w:sz w:val="28"/>
                <w:szCs w:val="28"/>
                <w:highlight w:val="none"/>
                <w:lang w:val="en-US" w:eastAsia="zh-Hans" w:bidi="ar-SA"/>
              </w:rPr>
              <w:t xml:space="preserve">           </w:t>
            </w:r>
            <w:r>
              <w:rPr>
                <w:rFonts w:hint="eastAsia" w:ascii="Times New Roman" w:hAnsi="Times New Roman" w:eastAsia="仿宋_GB2312" w:cs="Times New Roman"/>
                <w:color w:val="auto"/>
                <w:kern w:val="2"/>
                <w:sz w:val="28"/>
                <w:szCs w:val="28"/>
                <w:highlight w:val="none"/>
                <w:lang w:val="en-US" w:eastAsia="zh-Hans" w:bidi="ar-SA"/>
              </w:rPr>
              <w:t>区规自分局</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Hans" w:bidi="ar-SA"/>
              </w:rPr>
              <w:t>密云水库管理处</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密云水库综合</w:t>
            </w:r>
          </w:p>
          <w:p>
            <w:pPr>
              <w:pStyle w:val="11"/>
              <w:adjustRightInd w:val="0"/>
              <w:snapToGrid w:val="0"/>
              <w:spacing w:before="0" w:beforeAutospacing="0" w:after="0" w:afterAutospacing="0"/>
              <w:jc w:val="center"/>
              <w:rPr>
                <w:rFonts w:hint="eastAsia" w:ascii="宋体" w:hAnsi="宋体" w:eastAsia="仿宋_GB2312" w:cs="宋体"/>
                <w:color w:val="auto"/>
                <w:kern w:val="0"/>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libri" w:hAnsi="Calibri"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rPr>
              <w:t>继续实施潮河流域生态环境保护综合规划，开展规划年度评估</w:t>
            </w:r>
            <w:r>
              <w:rPr>
                <w:rFonts w:hint="eastAsia" w:ascii="仿宋_GB2312" w:eastAsia="仿宋_GB2312"/>
                <w:color w:val="auto"/>
                <w:sz w:val="28"/>
                <w:szCs w:val="28"/>
                <w:highlight w:val="none"/>
                <w:lang w:eastAsia="zh-CN"/>
              </w:rPr>
              <w:t>；加快编制实施</w:t>
            </w:r>
            <w:r>
              <w:rPr>
                <w:rFonts w:hint="eastAsia" w:ascii="仿宋_GB2312" w:eastAsia="仿宋_GB2312"/>
                <w:color w:val="auto"/>
                <w:sz w:val="28"/>
                <w:szCs w:val="28"/>
                <w:highlight w:val="none"/>
              </w:rPr>
              <w:t>白河流域生态环境保护规划</w:t>
            </w:r>
            <w:r>
              <w:rPr>
                <w:rFonts w:hint="eastAsia" w:ascii="仿宋_GB2312" w:eastAsia="仿宋_GB2312"/>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r>
              <w:rPr>
                <w:rFonts w:hint="default" w:ascii="Times New Roman" w:hAnsi="Times New Roman" w:eastAsia="仿宋_GB2312" w:cs="Times New Roman"/>
                <w:color w:val="auto"/>
                <w:kern w:val="2"/>
                <w:sz w:val="28"/>
                <w:szCs w:val="28"/>
                <w:highlight w:val="none"/>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CN"/>
              </w:rPr>
              <w:t xml:space="preserve">      </w:t>
            </w:r>
            <w:r>
              <w:rPr>
                <w:rFonts w:hint="default" w:ascii="Times New Roman" w:hAnsi="Times New Roman" w:eastAsia="仿宋_GB2312" w:cs="Times New Roman"/>
                <w:color w:val="auto"/>
                <w:kern w:val="2"/>
                <w:sz w:val="28"/>
                <w:szCs w:val="28"/>
                <w:highlight w:val="none"/>
              </w:rPr>
              <w:t xml:space="preserve"> </w:t>
            </w:r>
            <w:r>
              <w:rPr>
                <w:rFonts w:hint="eastAsia" w:ascii="Times New Roman" w:hAnsi="Times New Roman" w:eastAsia="仿宋_GB2312" w:cs="Times New Roman"/>
                <w:color w:val="auto"/>
                <w:kern w:val="2"/>
                <w:sz w:val="28"/>
                <w:szCs w:val="28"/>
                <w:highlight w:val="none"/>
                <w:lang w:val="en-US" w:eastAsia="zh-Hans"/>
              </w:rPr>
              <w:t>区园林绿化局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区农业农村局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w:t>
            </w:r>
            <w:r>
              <w:rPr>
                <w:rFonts w:hint="eastAsia" w:ascii="Times New Roman" w:hAnsi="Times New Roman" w:eastAsia="仿宋_GB2312" w:cs="Times New Roman"/>
                <w:color w:val="auto"/>
                <w:kern w:val="2"/>
                <w:sz w:val="28"/>
                <w:szCs w:val="28"/>
                <w:highlight w:val="none"/>
                <w:lang w:val="en-US" w:eastAsia="zh-CN"/>
              </w:rPr>
              <w:t>农业服务</w:t>
            </w:r>
            <w:r>
              <w:rPr>
                <w:rFonts w:hint="eastAsia" w:ascii="Times New Roman" w:hAnsi="Times New Roman" w:eastAsia="仿宋_GB2312" w:cs="Times New Roman"/>
                <w:color w:val="auto"/>
                <w:kern w:val="2"/>
                <w:sz w:val="28"/>
                <w:szCs w:val="28"/>
                <w:highlight w:val="none"/>
                <w:lang w:val="en-US" w:eastAsia="zh-Hans"/>
              </w:rPr>
              <w:t>中心</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eastAsia" w:ascii="Times New Roman" w:hAnsi="Times New Roman" w:eastAsia="仿宋_GB2312" w:cs="Times New Roman"/>
                <w:color w:val="auto"/>
                <w:kern w:val="2"/>
                <w:sz w:val="28"/>
                <w:szCs w:val="28"/>
                <w:highlight w:val="none"/>
                <w:lang w:val="en-US" w:eastAsia="zh-Hans"/>
              </w:rPr>
              <w:t>区城管委</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CN"/>
              </w:rPr>
              <w:t xml:space="preserve">      </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区国资委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Hans"/>
              </w:rPr>
              <w:t>区规自分局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eastAsia" w:ascii="Times New Roman" w:hAnsi="Times New Roman" w:eastAsia="仿宋_GB2312" w:cs="Times New Roman"/>
                <w:color w:val="auto"/>
                <w:kern w:val="2"/>
                <w:sz w:val="28"/>
                <w:szCs w:val="28"/>
                <w:highlight w:val="none"/>
                <w:lang w:val="en-US" w:eastAsia="zh-Hans"/>
              </w:rPr>
              <w:t>密云水库综合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rPr>
              <w:t>相关镇</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Hans"/>
              </w:rPr>
              <w:t>区发改委</w:t>
            </w:r>
          </w:p>
          <w:p>
            <w:pPr>
              <w:pStyle w:val="11"/>
              <w:adjustRightInd w:val="0"/>
              <w:snapToGrid w:val="0"/>
              <w:spacing w:before="0" w:beforeAutospacing="0" w:after="0" w:afterAutospacing="0"/>
              <w:jc w:val="center"/>
              <w:rPr>
                <w:rFonts w:hint="default" w:ascii="宋体" w:hAnsi="宋体" w:eastAsia="仿宋_GB2312" w:cs="宋体"/>
                <w:color w:val="auto"/>
                <w:kern w:val="0"/>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Hans"/>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3</w:t>
            </w:r>
          </w:p>
        </w:tc>
        <w:tc>
          <w:tcPr>
            <w:tcW w:w="854"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val="en-US" w:eastAsia="zh-Hans"/>
              </w:rPr>
              <w:t>按照潮河流域生态环境保护综合规划</w:t>
            </w:r>
            <w:r>
              <w:rPr>
                <w:rFonts w:hint="eastAsia" w:ascii="仿宋_GB2312" w:eastAsia="仿宋_GB2312"/>
                <w:b w:val="0"/>
                <w:bCs w:val="0"/>
                <w:color w:val="auto"/>
                <w:sz w:val="28"/>
                <w:szCs w:val="28"/>
                <w:highlight w:val="none"/>
                <w:lang w:val="en-US" w:eastAsia="zh-CN"/>
              </w:rPr>
              <w:t>要求</w:t>
            </w:r>
            <w:r>
              <w:rPr>
                <w:rFonts w:hint="eastAsia" w:ascii="仿宋_GB2312" w:eastAsia="仿宋_GB2312"/>
                <w:b w:val="0"/>
                <w:bCs w:val="0"/>
                <w:color w:val="auto"/>
                <w:sz w:val="28"/>
                <w:szCs w:val="28"/>
                <w:highlight w:val="none"/>
                <w:lang w:val="en-US" w:eastAsia="zh-Hans"/>
              </w:rPr>
              <w:t>，开展修复治理，实施古北口镇雾灵溪谷生态修复工程及云冶矿业矿山修复工程。</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ind w:left="-110" w:leftChars="-50" w:right="-110" w:rightChars="-5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eastAsia="zh-CN"/>
              </w:rPr>
              <w:t>区生态环境局</w:t>
            </w:r>
          </w:p>
          <w:p>
            <w:pPr>
              <w:adjustRightInd w:val="0"/>
              <w:snapToGrid w:val="0"/>
              <w:jc w:val="center"/>
              <w:rPr>
                <w:rFonts w:hint="eastAsia"/>
                <w:color w:val="auto"/>
                <w:sz w:val="28"/>
                <w:szCs w:val="28"/>
                <w:highlight w:val="none"/>
                <w:lang w:val="en-US" w:eastAsia="zh-CN"/>
              </w:rPr>
            </w:pPr>
            <w:r>
              <w:rPr>
                <w:rFonts w:hint="eastAsia" w:eastAsia="仿宋_GB2312"/>
                <w:color w:val="auto"/>
                <w:sz w:val="28"/>
                <w:szCs w:val="28"/>
                <w:highlight w:val="none"/>
                <w:lang w:val="en-US" w:eastAsia="zh-Hans"/>
              </w:rPr>
              <w:t>区规自分局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古北口镇</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冯家峪镇</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仿宋_GB2312" w:cs="宋体"/>
                <w:b w:val="0"/>
                <w:bCs w:val="0"/>
                <w:color w:val="auto"/>
                <w:kern w:val="0"/>
                <w:sz w:val="28"/>
                <w:szCs w:val="28"/>
                <w:highlight w:val="none"/>
                <w:lang w:val="en-US" w:eastAsia="zh-CN" w:bidi="ar-SA"/>
              </w:rPr>
            </w:pPr>
            <w:r>
              <w:rPr>
                <w:rFonts w:hint="eastAsia" w:eastAsia="仿宋_GB2312"/>
                <w:color w:val="auto"/>
                <w:sz w:val="28"/>
                <w:szCs w:val="28"/>
                <w:highlight w:val="none"/>
                <w:lang w:val="en-US" w:eastAsia="zh-Hans"/>
              </w:rPr>
              <w:t>区</w:t>
            </w:r>
            <w:r>
              <w:rPr>
                <w:rFonts w:hint="eastAsia" w:eastAsia="仿宋_GB2312"/>
                <w:color w:val="auto"/>
                <w:sz w:val="28"/>
                <w:szCs w:val="28"/>
                <w:highlight w:val="none"/>
                <w:lang w:val="en-US" w:eastAsia="zh-CN"/>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libri" w:hAnsi="Calibri" w:eastAsia="仿宋_GB2312" w:cs="Times New Roman"/>
                <w:b w:val="0"/>
                <w:bCs w:val="0"/>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eastAsia="zh-CN"/>
              </w:rPr>
              <w:t>按照市水务局要求，配合</w:t>
            </w:r>
            <w:r>
              <w:rPr>
                <w:rFonts w:hint="eastAsia" w:eastAsia="仿宋_GB2312"/>
                <w:color w:val="auto"/>
                <w:sz w:val="28"/>
                <w:szCs w:val="28"/>
                <w:highlight w:val="none"/>
                <w:lang w:val="en-US" w:eastAsia="zh-CN"/>
              </w:rPr>
              <w:t>开展密云水库及上游流域（京冀区域）总氮溯源解析；加强</w:t>
            </w:r>
            <w:r>
              <w:rPr>
                <w:rFonts w:hint="eastAsia" w:ascii="仿宋_GB2312" w:eastAsia="仿宋_GB2312"/>
                <w:b w:val="0"/>
                <w:bCs w:val="0"/>
                <w:color w:val="auto"/>
                <w:sz w:val="28"/>
                <w:szCs w:val="28"/>
                <w:highlight w:val="none"/>
              </w:rPr>
              <w:t>上下游协作共治，继续实施《京冀密云水库水源保护共同行动方案》</w:t>
            </w:r>
            <w:r>
              <w:rPr>
                <w:rFonts w:hint="eastAsia" w:ascii="仿宋_GB2312" w:eastAsia="仿宋_GB2312"/>
                <w:b w:val="0"/>
                <w:bCs w:val="0"/>
                <w:color w:val="auto"/>
                <w:sz w:val="28"/>
                <w:szCs w:val="28"/>
                <w:highlight w:val="none"/>
                <w:lang w:eastAsia="zh-CN"/>
              </w:rPr>
              <w:t>；实施</w:t>
            </w:r>
            <w:r>
              <w:rPr>
                <w:rFonts w:hint="eastAsia" w:ascii="仿宋_GB2312" w:eastAsia="仿宋_GB2312"/>
                <w:b w:val="0"/>
                <w:bCs w:val="0"/>
                <w:color w:val="auto"/>
                <w:sz w:val="28"/>
                <w:szCs w:val="28"/>
                <w:highlight w:val="none"/>
              </w:rPr>
              <w:t>新一轮密云水库上游潮白河流域水源涵养区横向生态保护补偿协议</w:t>
            </w:r>
            <w:r>
              <w:rPr>
                <w:rFonts w:hint="eastAsia" w:ascii="仿宋_GB2312" w:eastAsia="仿宋_GB2312"/>
                <w:b w:val="0"/>
                <w:bCs w:val="0"/>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水务局</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b w:val="0"/>
                <w:bCs w:val="0"/>
                <w:color w:val="auto"/>
                <w:sz w:val="28"/>
                <w:szCs w:val="28"/>
                <w:highlight w:val="none"/>
                <w:lang w:val="en-US"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pacing w:val="-20"/>
                <w:sz w:val="28"/>
                <w:szCs w:val="28"/>
                <w:highlight w:val="none"/>
                <w:lang w:eastAsia="zh-CN"/>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水务局</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区生态环境局</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执法大队</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Hans" w:bidi="ar-SA"/>
              </w:rPr>
            </w:pP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alibri" w:hAnsi="Calibri"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lang w:eastAsia="zh-CN"/>
              </w:rPr>
            </w:pPr>
            <w:r>
              <w:rPr>
                <w:rFonts w:hint="eastAsia" w:ascii="仿宋_GB2312" w:eastAsia="仿宋_GB2312" w:cs="Times New Roman"/>
                <w:b w:val="0"/>
                <w:bCs w:val="0"/>
                <w:color w:val="auto"/>
                <w:sz w:val="28"/>
                <w:szCs w:val="28"/>
                <w:highlight w:val="none"/>
                <w:lang w:val="en-US" w:eastAsia="zh-CN"/>
              </w:rPr>
              <w:t>落实《</w:t>
            </w:r>
            <w:r>
              <w:rPr>
                <w:rFonts w:hint="eastAsia" w:ascii="仿宋_GB2312" w:eastAsia="仿宋_GB2312" w:cs="Times New Roman"/>
                <w:b w:val="0"/>
                <w:bCs w:val="0"/>
                <w:color w:val="auto"/>
                <w:sz w:val="28"/>
                <w:szCs w:val="28"/>
                <w:highlight w:val="none"/>
                <w:lang w:val="en-US" w:eastAsia="zh-Hans"/>
              </w:rPr>
              <w:t>密云区密云水库总氮治理工作方案（2022年-2025年）</w:t>
            </w:r>
            <w:r>
              <w:rPr>
                <w:rFonts w:hint="eastAsia" w:ascii="仿宋_GB2312" w:eastAsia="仿宋_GB2312" w:cs="Times New Roman"/>
                <w:b w:val="0"/>
                <w:bCs w:val="0"/>
                <w:color w:val="auto"/>
                <w:sz w:val="28"/>
                <w:szCs w:val="28"/>
                <w:highlight w:val="none"/>
                <w:lang w:val="en-US" w:eastAsia="zh-CN"/>
              </w:rPr>
              <w:t>》，科学、精准管控密云水库总氮。</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eastAsia="zh-CN"/>
              </w:rPr>
            </w:pPr>
            <w:r>
              <w:rPr>
                <w:rFonts w:hint="eastAsia" w:eastAsia="仿宋_GB2312"/>
                <w:color w:val="auto"/>
                <w:sz w:val="28"/>
                <w:szCs w:val="28"/>
                <w:highlight w:val="none"/>
                <w:lang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cs="Times New Roman"/>
                <w:b w:val="0"/>
                <w:bCs w:val="0"/>
                <w:color w:val="auto"/>
                <w:kern w:val="2"/>
                <w:sz w:val="28"/>
                <w:szCs w:val="28"/>
                <w:highlight w:val="none"/>
                <w:lang w:val="en-US" w:eastAsia="zh-CN" w:bidi="ar-SA"/>
              </w:rPr>
              <w:t>总氮治理专项工作小组成员单位</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CN"/>
              </w:rPr>
            </w:pPr>
            <w:r>
              <w:rPr>
                <w:rFonts w:hint="eastAsia" w:ascii="Calibri" w:hAnsi="Calibri" w:cs="Times New Roman"/>
                <w:color w:val="auto"/>
                <w:kern w:val="2"/>
                <w:sz w:val="28"/>
                <w:szCs w:val="28"/>
                <w:highlight w:val="none"/>
                <w:lang w:val="en-US" w:eastAsia="zh-CN" w:bidi="ar-SA"/>
              </w:rPr>
              <w:t>组织实施全市最严的</w:t>
            </w:r>
            <w:r>
              <w:rPr>
                <w:rFonts w:hint="eastAsia" w:ascii="Calibri" w:hAnsi="Calibri" w:eastAsia="仿宋_GB2312" w:cs="Times New Roman"/>
                <w:color w:val="auto"/>
                <w:kern w:val="2"/>
                <w:sz w:val="28"/>
                <w:szCs w:val="28"/>
                <w:highlight w:val="none"/>
                <w:lang w:val="en-US" w:eastAsia="zh-CN" w:bidi="ar-SA"/>
              </w:rPr>
              <w:t>水环境跨界断面考核</w:t>
            </w:r>
            <w:r>
              <w:rPr>
                <w:rFonts w:hint="eastAsia" w:ascii="Calibri" w:hAnsi="Calibri" w:cs="Times New Roman"/>
                <w:color w:val="auto"/>
                <w:kern w:val="2"/>
                <w:sz w:val="28"/>
                <w:szCs w:val="28"/>
                <w:highlight w:val="none"/>
                <w:lang w:val="en-US" w:eastAsia="zh-CN" w:bidi="ar-SA"/>
              </w:rPr>
              <w:t>补偿办法</w:t>
            </w:r>
            <w:r>
              <w:rPr>
                <w:rFonts w:hint="eastAsia" w:eastAsia="仿宋_GB2312" w:cs="Times New Roman"/>
                <w:color w:val="auto"/>
                <w:kern w:val="2"/>
                <w:sz w:val="28"/>
                <w:szCs w:val="28"/>
                <w:highlight w:val="none"/>
                <w:lang w:val="en-US" w:eastAsia="zh-CN" w:bidi="ar-SA"/>
              </w:rPr>
              <w:t>，结合实际情况及时修订</w:t>
            </w:r>
            <w:r>
              <w:rPr>
                <w:rFonts w:hint="eastAsia" w:cs="Times New Roman"/>
                <w:color w:val="auto"/>
                <w:kern w:val="2"/>
                <w:sz w:val="28"/>
                <w:szCs w:val="28"/>
                <w:highlight w:val="none"/>
                <w:lang w:val="en-US" w:eastAsia="zh-CN" w:bidi="ar-SA"/>
              </w:rPr>
              <w:t>考核</w:t>
            </w:r>
            <w:r>
              <w:rPr>
                <w:rFonts w:hint="eastAsia" w:eastAsia="仿宋_GB2312" w:cs="Times New Roman"/>
                <w:color w:val="auto"/>
                <w:kern w:val="2"/>
                <w:sz w:val="28"/>
                <w:szCs w:val="28"/>
                <w:highlight w:val="none"/>
                <w:lang w:val="en-US" w:eastAsia="zh-CN" w:bidi="ar-SA"/>
              </w:rPr>
              <w:t>办法，促进水环境质量改善。</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长期实施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相关镇街（地区）中关村密云园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CN"/>
              </w:rPr>
            </w:pPr>
            <w:r>
              <w:rPr>
                <w:rFonts w:hint="eastAsia" w:ascii="仿宋_GB2312" w:eastAsia="仿宋_GB2312" w:cs="Times New Roman"/>
                <w:b w:val="0"/>
                <w:bCs w:val="0"/>
                <w:color w:val="auto"/>
                <w:sz w:val="28"/>
                <w:szCs w:val="28"/>
                <w:highlight w:val="none"/>
                <w:lang w:val="en-US" w:eastAsia="zh-CN"/>
              </w:rPr>
              <w:t>为保障密云水库水源地水质和减少富营养化风险，开展</w:t>
            </w:r>
            <w:r>
              <w:rPr>
                <w:rFonts w:hint="eastAsia" w:cs="Times New Roman"/>
                <w:b w:val="0"/>
                <w:bCs w:val="0"/>
                <w:color w:val="auto"/>
                <w:sz w:val="28"/>
                <w:szCs w:val="28"/>
                <w:highlight w:val="none"/>
                <w:lang w:val="en-US" w:eastAsia="zh-CN"/>
              </w:rPr>
              <w:t>饮用水源地农业面源风险调查及评估。</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pStyle w:val="2"/>
              <w:keepNext w:val="0"/>
              <w:keepLines w:val="0"/>
              <w:pageBreakBefore w:val="0"/>
              <w:widowControl w:val="0"/>
              <w:kinsoku/>
              <w:wordWrap/>
              <w:overflowPunct/>
              <w:topLinePunct w:val="0"/>
              <w:bidi w:val="0"/>
              <w:spacing w:line="360" w:lineRule="exact"/>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区农服中心</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w:t>
            </w:r>
          </w:p>
          <w:p>
            <w:pPr>
              <w:adjustRightInd w:val="0"/>
              <w:snapToGrid w:val="0"/>
              <w:jc w:val="center"/>
              <w:rPr>
                <w:rFonts w:hint="eastAsia" w:eastAsia="仿宋_GB2312"/>
                <w:color w:val="auto"/>
                <w:sz w:val="28"/>
                <w:szCs w:val="28"/>
                <w:highlight w:val="none"/>
                <w:lang w:val="en-US" w:eastAsia="zh-CN"/>
              </w:rPr>
            </w:pPr>
          </w:p>
          <w:p>
            <w:pPr>
              <w:pStyle w:val="9"/>
              <w:jc w:val="center"/>
              <w:rPr>
                <w:color w:val="auto"/>
                <w:sz w:val="28"/>
                <w:szCs w:val="28"/>
                <w:highlight w:val="none"/>
              </w:rPr>
            </w:pPr>
          </w:p>
          <w:p>
            <w:pPr>
              <w:jc w:val="center"/>
              <w:rPr>
                <w:color w:val="auto"/>
                <w:sz w:val="28"/>
                <w:szCs w:val="28"/>
                <w:highlight w:val="none"/>
              </w:rPr>
            </w:pP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加强饮用水保护</w:t>
            </w: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完善重要饮用水水源地名录，9月底前制定出台饮用水水源地名录，动态更新水源地取水量数据并与生态环境部门共享。</w:t>
            </w:r>
          </w:p>
        </w:tc>
        <w:tc>
          <w:tcPr>
            <w:tcW w:w="1200"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ascii="仿宋_GB2312" w:eastAsia="仿宋_GB2312"/>
                <w:b w:val="0"/>
                <w:bCs w:val="0"/>
                <w:color w:val="auto"/>
                <w:sz w:val="28"/>
                <w:szCs w:val="28"/>
                <w:highlight w:val="none"/>
                <w:lang w:val="en-US" w:eastAsia="zh-Hans"/>
              </w:rPr>
              <w:t>长期实施</w:t>
            </w:r>
          </w:p>
        </w:tc>
        <w:tc>
          <w:tcPr>
            <w:tcW w:w="2053"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tc>
        <w:tc>
          <w:tcPr>
            <w:tcW w:w="2386" w:type="dxa"/>
            <w:gridSpan w:val="3"/>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b w:val="0"/>
                <w:bCs w:val="0"/>
                <w:color w:val="auto"/>
                <w:kern w:val="2"/>
                <w:sz w:val="28"/>
                <w:szCs w:val="28"/>
                <w:highlight w:val="none"/>
                <w:lang w:val="en-US" w:eastAsia="zh-CN" w:bidi="ar-SA"/>
              </w:rPr>
              <w:t>区卫健委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p>
            <w:pPr>
              <w:pStyle w:val="9"/>
              <w:jc w:val="center"/>
              <w:rPr>
                <w:rFonts w:hint="eastAsia"/>
                <w:color w:val="auto"/>
                <w:sz w:val="28"/>
                <w:szCs w:val="28"/>
                <w:highlight w:val="none"/>
                <w:lang w:val="en-US" w:eastAsia="zh-CN"/>
              </w:rPr>
            </w:pP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eastAsia="仿宋_GB2312" w:cs="Times New Roman"/>
                <w:b w:val="0"/>
                <w:bCs w:val="0"/>
                <w:color w:val="auto"/>
                <w:kern w:val="2"/>
                <w:sz w:val="28"/>
                <w:szCs w:val="28"/>
                <w:highlight w:val="none"/>
                <w:lang w:val="en-US" w:eastAsia="zh-CN" w:bidi="ar-SA"/>
              </w:rPr>
            </w:pPr>
            <w:r>
              <w:rPr>
                <w:rFonts w:hint="eastAsia" w:eastAsia="仿宋_GB2312" w:cs="Times New Roman"/>
                <w:b w:val="0"/>
                <w:bCs w:val="0"/>
                <w:color w:val="auto"/>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加强饮用水供水厂站水源水和出厂水水质检测；推进对水质不达标的饮用水水源，采取水源置换、集中供水、深度处理等措施确保饮用水安全。</w:t>
            </w:r>
          </w:p>
        </w:tc>
        <w:tc>
          <w:tcPr>
            <w:tcW w:w="1200" w:type="dxa"/>
            <w:vMerge w:val="continue"/>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2053" w:type="dxa"/>
            <w:vMerge w:val="continue"/>
            <w:tcBorders>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386" w:type="dxa"/>
            <w:gridSpan w:val="3"/>
            <w:vMerge w:val="continue"/>
            <w:tcBorders>
              <w:left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eastAsia="zh-CN"/>
              </w:rPr>
            </w:pPr>
          </w:p>
        </w:tc>
        <w:tc>
          <w:tcPr>
            <w:tcW w:w="2341" w:type="dxa"/>
            <w:vMerge w:val="continue"/>
            <w:tcBorders>
              <w:left w:val="single" w:color="auto" w:sz="4" w:space="0"/>
              <w:right w:val="single" w:color="auto" w:sz="4" w:space="0"/>
            </w:tcBorders>
            <w:vAlign w:val="center"/>
          </w:tcPr>
          <w:p>
            <w:pPr>
              <w:adjustRightInd w:val="0"/>
              <w:snapToGrid w:val="0"/>
              <w:jc w:val="center"/>
              <w:rPr>
                <w:rFonts w:hint="default" w:eastAsia="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加强农村水源保护巡查，确保水源井周边30米范围内无污水、无垃圾、无厕所、无养殖粪污等污染源。</w:t>
            </w:r>
          </w:p>
        </w:tc>
        <w:tc>
          <w:tcPr>
            <w:tcW w:w="120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386" w:type="dxa"/>
            <w:gridSpan w:val="3"/>
            <w:vMerge w:val="continue"/>
            <w:tcBorders>
              <w:left w:val="single" w:color="auto" w:sz="4" w:space="0"/>
              <w:bottom w:val="single" w:color="auto" w:sz="4" w:space="0"/>
              <w:right w:val="single" w:color="auto" w:sz="4" w:space="0"/>
            </w:tcBorders>
            <w:vAlign w:val="center"/>
          </w:tcPr>
          <w:p>
            <w:pPr>
              <w:pStyle w:val="9"/>
              <w:jc w:val="center"/>
              <w:rPr>
                <w:rFonts w:hint="eastAsia"/>
                <w:color w:val="auto"/>
                <w:sz w:val="28"/>
                <w:szCs w:val="28"/>
                <w:highlight w:val="none"/>
                <w:lang w:val="en-US" w:eastAsia="zh-CN"/>
              </w:rPr>
            </w:pP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eastAsia="仿宋_GB2312"/>
                <w:b w:val="0"/>
                <w:bCs w:val="0"/>
                <w:color w:val="auto"/>
                <w:sz w:val="28"/>
                <w:szCs w:val="28"/>
                <w:highlight w:val="none"/>
                <w:lang w:val="en-US" w:eastAsia="zh-Hans"/>
              </w:rPr>
            </w:pPr>
            <w:r>
              <w:rPr>
                <w:rFonts w:hint="eastAsia" w:ascii="宋体" w:hAnsi="宋体" w:eastAsia="仿宋_GB2312" w:cs="宋体"/>
                <w:color w:val="auto"/>
                <w:kern w:val="0"/>
                <w:sz w:val="28"/>
                <w:szCs w:val="28"/>
                <w:highlight w:val="none"/>
                <w:lang w:val="en-US" w:eastAsia="zh-CN" w:bidi="ar-SA"/>
              </w:rPr>
              <w:t>结合饮用水水源地名录及区域规划，统筹实施辖区集中式饮用水水源保护区划定和优化调整。推进乡镇级水源地保护区补充划定工作。</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CN"/>
              </w:rPr>
              <w:t>长期实施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r>
              <w:rPr>
                <w:rFonts w:hint="default" w:ascii="宋体"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629" w:type="dxa"/>
            <w:vMerge w:val="continue"/>
            <w:tcBorders>
              <w:left w:val="single" w:color="auto" w:sz="4" w:space="0"/>
              <w:right w:val="single" w:color="auto" w:sz="4" w:space="0"/>
            </w:tcBorders>
            <w:vAlign w:val="center"/>
          </w:tcPr>
          <w:p>
            <w:pPr>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仿宋_GB2312" w:eastAsia="仿宋_GB2312"/>
                <w:color w:val="auto"/>
                <w:sz w:val="28"/>
                <w:szCs w:val="28"/>
                <w:highlight w:val="none"/>
              </w:rPr>
            </w:pPr>
            <w:r>
              <w:rPr>
                <w:rFonts w:hint="eastAsia" w:ascii="宋体" w:hAnsi="宋体" w:eastAsia="仿宋_GB2312" w:cs="宋体"/>
                <w:color w:val="auto"/>
                <w:kern w:val="0"/>
                <w:sz w:val="28"/>
                <w:szCs w:val="28"/>
                <w:highlight w:val="none"/>
                <w:lang w:val="en-US" w:eastAsia="zh-CN" w:bidi="ar-SA"/>
              </w:rPr>
              <w:t>开展全区饮用水水源地环境状况年度调查评估，按国家要求完成系统填报，年底前提交评估报告，实现水源地</w:t>
            </w:r>
            <w:r>
              <w:rPr>
                <w:rFonts w:hint="default" w:ascii="宋体" w:hAnsi="宋体" w:eastAsia="仿宋_GB2312" w:cs="宋体"/>
                <w:color w:val="auto"/>
                <w:kern w:val="0"/>
                <w:sz w:val="28"/>
                <w:szCs w:val="28"/>
                <w:highlight w:val="none"/>
                <w:lang w:val="en-US" w:eastAsia="zh-CN" w:bidi="ar-SA"/>
              </w:rPr>
              <w:t>“</w:t>
            </w:r>
            <w:r>
              <w:rPr>
                <w:rFonts w:hint="eastAsia" w:ascii="宋体" w:hAnsi="宋体" w:eastAsia="仿宋_GB2312" w:cs="宋体"/>
                <w:color w:val="auto"/>
                <w:kern w:val="0"/>
                <w:sz w:val="28"/>
                <w:szCs w:val="28"/>
                <w:highlight w:val="none"/>
                <w:lang w:val="en-US" w:eastAsia="zh-CN" w:bidi="ar-SA"/>
              </w:rPr>
              <w:t>一源一档</w:t>
            </w:r>
            <w:r>
              <w:rPr>
                <w:rFonts w:hint="default" w:ascii="宋体" w:hAnsi="宋体" w:eastAsia="仿宋_GB2312" w:cs="宋体"/>
                <w:color w:val="auto"/>
                <w:kern w:val="0"/>
                <w:sz w:val="28"/>
                <w:szCs w:val="28"/>
                <w:highlight w:val="none"/>
                <w:lang w:val="en-US" w:eastAsia="zh-CN" w:bidi="ar-SA"/>
              </w:rPr>
              <w:t>”</w:t>
            </w:r>
            <w:r>
              <w:rPr>
                <w:rFonts w:hint="eastAsia" w:ascii="宋体" w:hAnsi="宋体" w:eastAsia="仿宋_GB2312" w:cs="宋体"/>
                <w:color w:val="auto"/>
                <w:kern w:val="0"/>
                <w:sz w:val="28"/>
                <w:szCs w:val="28"/>
                <w:highlight w:val="none"/>
                <w:lang w:val="en-US" w:eastAsia="zh-CN" w:bidi="ar-SA"/>
              </w:rPr>
              <w:t>动态管理。</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长期实施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keepNext w:val="0"/>
              <w:keepLines w:val="0"/>
              <w:pageBreakBefore w:val="0"/>
              <w:kinsoku/>
              <w:wordWrap/>
              <w:overflowPunct/>
              <w:topLinePunct w:val="0"/>
              <w:bidi w:val="0"/>
              <w:adjustRightInd w:val="0"/>
              <w:snapToGrid w:val="0"/>
              <w:spacing w:line="320" w:lineRule="exact"/>
              <w:jc w:val="center"/>
              <w:rPr>
                <w:rFonts w:hint="default"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密云水库综合</w:t>
            </w:r>
          </w:p>
          <w:p>
            <w:pPr>
              <w:keepNext w:val="0"/>
              <w:keepLines w:val="0"/>
              <w:pageBreakBefore w:val="0"/>
              <w:kinsoku/>
              <w:wordWrap/>
              <w:overflowPunct/>
              <w:topLinePunct w:val="0"/>
              <w:bidi w:val="0"/>
              <w:adjustRightInd w:val="0"/>
              <w:snapToGrid w:val="0"/>
              <w:spacing w:line="320" w:lineRule="exact"/>
              <w:jc w:val="center"/>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Hans"/>
              </w:rPr>
              <w:t>相关镇</w:t>
            </w:r>
            <w:r>
              <w:rPr>
                <w:rFonts w:hint="eastAsia" w:eastAsia="仿宋_GB2312"/>
                <w:color w:val="auto"/>
                <w:sz w:val="28"/>
                <w:szCs w:val="28"/>
                <w:highlight w:val="none"/>
                <w:lang w:val="en-US" w:eastAsia="zh-CN"/>
              </w:rPr>
              <w:t>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r>
              <w:rPr>
                <w:rFonts w:hint="default" w:ascii="宋体"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629" w:type="dxa"/>
            <w:vMerge w:val="restart"/>
            <w:tcBorders>
              <w:left w:val="single" w:color="auto" w:sz="4" w:space="0"/>
              <w:right w:val="single" w:color="auto" w:sz="4" w:space="0"/>
            </w:tcBorders>
            <w:vAlign w:val="center"/>
          </w:tcPr>
          <w:p>
            <w:pPr>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4</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加强饮用水保护</w:t>
            </w:r>
          </w:p>
        </w:tc>
        <w:tc>
          <w:tcPr>
            <w:tcW w:w="593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left"/>
              <w:rPr>
                <w:rFonts w:hint="eastAsia" w:ascii="仿宋_GB2312" w:hAnsi="Times New Roman" w:eastAsia="仿宋_GB2312" w:cs="Times New Roman"/>
                <w:color w:val="auto"/>
                <w:kern w:val="2"/>
                <w:sz w:val="28"/>
                <w:szCs w:val="28"/>
                <w:highlight w:val="none"/>
              </w:rPr>
            </w:pPr>
            <w:r>
              <w:rPr>
                <w:rFonts w:hint="eastAsia" w:eastAsia="仿宋_GB2312"/>
                <w:color w:val="auto"/>
                <w:sz w:val="28"/>
                <w:szCs w:val="28"/>
                <w:highlight w:val="none"/>
                <w:lang w:val="en-US" w:eastAsia="zh-Hans"/>
              </w:rPr>
              <w:t>开展水源地专项执法和日常监管,加强</w:t>
            </w:r>
            <w:r>
              <w:rPr>
                <w:rFonts w:hint="default" w:eastAsia="仿宋_GB2312"/>
                <w:color w:val="auto"/>
                <w:sz w:val="28"/>
                <w:szCs w:val="28"/>
                <w:highlight w:val="none"/>
                <w:lang w:val="en-US" w:eastAsia="zh-Hans"/>
              </w:rPr>
              <w:t>“</w:t>
            </w:r>
            <w:r>
              <w:rPr>
                <w:rFonts w:hint="eastAsia" w:eastAsia="仿宋_GB2312"/>
                <w:color w:val="auto"/>
                <w:sz w:val="28"/>
                <w:szCs w:val="28"/>
                <w:highlight w:val="none"/>
                <w:lang w:val="en-US" w:eastAsia="zh-Hans"/>
              </w:rPr>
              <w:t>三监联动</w:t>
            </w:r>
            <w:r>
              <w:rPr>
                <w:rFonts w:hint="default" w:eastAsia="仿宋_GB2312"/>
                <w:color w:val="auto"/>
                <w:sz w:val="28"/>
                <w:szCs w:val="28"/>
                <w:highlight w:val="none"/>
                <w:lang w:val="en-US" w:eastAsia="zh-Hans"/>
              </w:rPr>
              <w:t>”</w:t>
            </w:r>
            <w:r>
              <w:rPr>
                <w:rFonts w:hint="eastAsia" w:eastAsia="仿宋_GB2312"/>
                <w:color w:val="auto"/>
                <w:sz w:val="28"/>
                <w:szCs w:val="28"/>
                <w:highlight w:val="none"/>
                <w:lang w:val="en-US" w:eastAsia="zh-Hans"/>
              </w:rPr>
              <w:t>，动态清理整治水源保护区内影响水源安全的排污口、垃圾堆放等环境问题，因地制宜完善水源保护区（水源井）封闭隔离设施和标志标识牌。</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rPr>
              <w:t>长期实施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Hans"/>
              </w:rPr>
              <w:t>区生态环境局</w:t>
            </w: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区生态环境局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密云水库综合</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执法大队</w:t>
            </w:r>
          </w:p>
          <w:p>
            <w:pPr>
              <w:keepNext w:val="0"/>
              <w:keepLines w:val="0"/>
              <w:pageBreakBefore w:val="0"/>
              <w:kinsoku/>
              <w:wordWrap/>
              <w:overflowPunct/>
              <w:topLinePunct w:val="0"/>
              <w:bidi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相关镇街（地区）</w:t>
            </w:r>
          </w:p>
          <w:p>
            <w:pPr>
              <w:keepNext w:val="0"/>
              <w:keepLines w:val="0"/>
              <w:pageBreakBefore w:val="0"/>
              <w:kinsoku/>
              <w:wordWrap/>
              <w:overflowPunct/>
              <w:topLinePunct w:val="0"/>
              <w:bidi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default"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定期向社会公开城镇集中式生活饮用水安全状况信息；推进农村集中式生活饮用水安全状况信息公开，年底前实现乡镇级生活饮用水安全状况定期公开。</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长期实施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区卫健委</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相关镇街（地区）</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Hans"/>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default"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color w:val="auto"/>
                <w:sz w:val="28"/>
                <w:szCs w:val="28"/>
                <w:highlight w:val="none"/>
              </w:rPr>
            </w:pPr>
            <w:r>
              <w:rPr>
                <w:rFonts w:hint="eastAsia" w:ascii="仿宋_GB2312" w:eastAsia="仿宋_GB2312"/>
                <w:color w:val="auto"/>
                <w:sz w:val="28"/>
                <w:szCs w:val="28"/>
                <w:highlight w:val="none"/>
                <w:lang w:val="en-US" w:eastAsia="zh-CN"/>
              </w:rPr>
              <w:t>5</w:t>
            </w:r>
          </w:p>
          <w:p>
            <w:pPr>
              <w:pStyle w:val="9"/>
              <w:jc w:val="center"/>
              <w:rPr>
                <w:color w:val="auto"/>
                <w:sz w:val="28"/>
                <w:szCs w:val="28"/>
                <w:highlight w:val="none"/>
              </w:rPr>
            </w:pP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加强地下水保护</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落实辖区地下水水质保持方案，确保地下水质保持稳定。对辖区地下水污染风险监控点开展丰、枯水期监测。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ascii="仿宋_GB2312" w:hAnsi="宋体" w:eastAsia="仿宋_GB2312" w:cs="仿宋_GB2312"/>
                <w:color w:val="auto"/>
                <w:kern w:val="0"/>
                <w:sz w:val="28"/>
                <w:szCs w:val="28"/>
                <w:highlight w:val="none"/>
                <w:lang w:bidi="ar"/>
              </w:rPr>
              <w:t>长期实施</w:t>
            </w:r>
          </w:p>
        </w:tc>
        <w:tc>
          <w:tcPr>
            <w:tcW w:w="205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86"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Times New Roman"/>
                <w:color w:val="auto"/>
                <w:kern w:val="2"/>
                <w:sz w:val="28"/>
                <w:szCs w:val="28"/>
                <w:highlight w:val="none"/>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推进地下水超采治理，</w:t>
            </w:r>
            <w:r>
              <w:rPr>
                <w:rFonts w:hint="eastAsia" w:ascii="仿宋_GB2312" w:hAnsi="Times New Roman" w:eastAsia="仿宋_GB2312" w:cs="Times New Roman"/>
                <w:color w:val="auto"/>
                <w:kern w:val="2"/>
                <w:sz w:val="28"/>
                <w:szCs w:val="28"/>
                <w:highlight w:val="none"/>
                <w:lang w:val="en-US" w:eastAsia="zh-CN" w:bidi="ar-SA"/>
              </w:rPr>
              <w:t>配合</w:t>
            </w:r>
            <w:r>
              <w:rPr>
                <w:rFonts w:hint="eastAsia" w:ascii="仿宋_GB2312" w:hAnsi="Times New Roman" w:eastAsia="仿宋_GB2312" w:cs="Times New Roman"/>
                <w:color w:val="auto"/>
                <w:kern w:val="2"/>
                <w:sz w:val="28"/>
                <w:szCs w:val="28"/>
                <w:highlight w:val="none"/>
                <w:lang w:val="en-US" w:eastAsia="zh-Hans" w:bidi="ar-SA"/>
              </w:rPr>
              <w:t>制定北京市新三年地下水超采治理行动方案，促进北京市地下水涵养和保护。</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eastAsia="仿宋_GB2312" w:cs="Times New Roman"/>
                <w:color w:val="auto"/>
                <w:sz w:val="28"/>
                <w:szCs w:val="28"/>
                <w:highlight w:val="none"/>
                <w:lang w:val="en-US" w:eastAsia="zh-CN"/>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p>
        </w:tc>
        <w:tc>
          <w:tcPr>
            <w:tcW w:w="2386"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r>
              <w:rPr>
                <w:rFonts w:hint="eastAsia" w:ascii="Times New Roman" w:hAnsi="Times New Roman" w:cs="Times New Roman"/>
                <w:color w:val="auto"/>
                <w:kern w:val="2"/>
                <w:sz w:val="28"/>
                <w:szCs w:val="28"/>
                <w:highlight w:val="none"/>
                <w:lang w:val="en-US" w:eastAsia="zh-CN"/>
              </w:rPr>
              <w:t>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cs="Times New Roman"/>
                <w:color w:val="auto"/>
                <w:kern w:val="2"/>
                <w:sz w:val="28"/>
                <w:szCs w:val="28"/>
                <w:highlight w:val="none"/>
                <w:lang w:val="en-US" w:eastAsia="zh-CN"/>
              </w:rPr>
            </w:pPr>
            <w:r>
              <w:rPr>
                <w:rFonts w:hint="eastAsia" w:ascii="Times New Roman" w:hAnsi="Times New Roman" w:cs="Times New Roman"/>
                <w:color w:val="auto"/>
                <w:kern w:val="2"/>
                <w:sz w:val="28"/>
                <w:szCs w:val="28"/>
                <w:highlight w:val="none"/>
                <w:lang w:val="en-US" w:eastAsia="zh-CN"/>
              </w:rPr>
              <w:t>园林绿化局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cs="Times New Roman"/>
                <w:color w:val="auto"/>
                <w:kern w:val="2"/>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各</w:t>
            </w:r>
            <w:r>
              <w:rPr>
                <w:rFonts w:hint="eastAsia" w:eastAsia="仿宋_GB2312"/>
                <w:color w:val="auto"/>
                <w:sz w:val="28"/>
                <w:szCs w:val="28"/>
                <w:highlight w:val="none"/>
                <w:lang w:val="en-US" w:eastAsia="zh-CN"/>
              </w:rPr>
              <w:t>镇街（地区）</w:t>
            </w:r>
          </w:p>
          <w:p>
            <w:pPr>
              <w:keepNext w:val="0"/>
              <w:keepLines w:val="0"/>
              <w:pageBreakBefore w:val="0"/>
              <w:widowControl/>
              <w:kinsoku/>
              <w:wordWrap/>
              <w:overflowPunct/>
              <w:topLinePunct w:val="0"/>
              <w:bidi w:val="0"/>
              <w:spacing w:line="320" w:lineRule="exact"/>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629" w:type="dxa"/>
            <w:vMerge w:val="continue"/>
            <w:tcBorders>
              <w:left w:val="single" w:color="auto" w:sz="4" w:space="0"/>
              <w:right w:val="single" w:color="auto" w:sz="4" w:space="0"/>
            </w:tcBorders>
            <w:vAlign w:val="center"/>
          </w:tcPr>
          <w:p>
            <w:pPr>
              <w:pStyle w:val="9"/>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仿宋_GB2312" w:eastAsia="仿宋_GB2312"/>
                <w:color w:val="auto"/>
                <w:sz w:val="28"/>
                <w:szCs w:val="28"/>
                <w:highlight w:val="none"/>
              </w:rPr>
              <w:t>定期开展地下水环境质量监测和监督性监测。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实施</w:t>
            </w:r>
          </w:p>
        </w:tc>
        <w:tc>
          <w:tcPr>
            <w:tcW w:w="205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Times New Roman" w:hAnsi="Times New Roman" w:eastAsia="仿宋_GB2312" w:cs="Times New Roman"/>
                <w:color w:val="auto"/>
                <w:kern w:val="2"/>
                <w:sz w:val="28"/>
                <w:szCs w:val="28"/>
                <w:highlight w:val="none"/>
                <w:lang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629" w:type="dxa"/>
            <w:vMerge w:val="continue"/>
            <w:tcBorders>
              <w:left w:val="single" w:color="auto" w:sz="4" w:space="0"/>
              <w:right w:val="single" w:color="auto" w:sz="4" w:space="0"/>
            </w:tcBorders>
            <w:vAlign w:val="center"/>
          </w:tcPr>
          <w:p>
            <w:pPr>
              <w:pStyle w:val="9"/>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建立地下水污染风险源分类分级方法，完成</w:t>
            </w:r>
            <w:r>
              <w:rPr>
                <w:rFonts w:hint="eastAsia" w:ascii="仿宋_GB2312" w:hAnsi="Times New Roman" w:eastAsia="仿宋_GB2312" w:cs="Times New Roman"/>
                <w:color w:val="auto"/>
                <w:kern w:val="2"/>
                <w:sz w:val="28"/>
                <w:szCs w:val="28"/>
                <w:highlight w:val="none"/>
                <w:lang w:val="en-US" w:eastAsia="zh-CN" w:bidi="ar-SA"/>
              </w:rPr>
              <w:t>市级下达的</w:t>
            </w:r>
            <w:r>
              <w:rPr>
                <w:rFonts w:hint="eastAsia" w:ascii="仿宋_GB2312" w:hAnsi="Times New Roman" w:eastAsia="仿宋_GB2312" w:cs="Times New Roman"/>
                <w:color w:val="auto"/>
                <w:kern w:val="2"/>
                <w:sz w:val="28"/>
                <w:szCs w:val="28"/>
                <w:highlight w:val="none"/>
                <w:lang w:val="en-US" w:eastAsia="zh-Hans" w:bidi="ar-SA"/>
              </w:rPr>
              <w:t>地下水风险源信息调查</w:t>
            </w:r>
            <w:r>
              <w:rPr>
                <w:rFonts w:hint="eastAsia" w:ascii="仿宋_GB2312" w:hAnsi="Times New Roman" w:eastAsia="仿宋_GB2312" w:cs="Times New Roman"/>
                <w:color w:val="auto"/>
                <w:kern w:val="2"/>
                <w:sz w:val="28"/>
                <w:szCs w:val="28"/>
                <w:highlight w:val="none"/>
                <w:lang w:val="en-US" w:eastAsia="zh-CN" w:bidi="ar-SA"/>
              </w:rPr>
              <w:t>任务</w:t>
            </w:r>
            <w:r>
              <w:rPr>
                <w:rFonts w:hint="eastAsia" w:ascii="仿宋_GB2312" w:hAnsi="Times New Roman" w:eastAsia="仿宋_GB2312" w:cs="Times New Roman"/>
                <w:color w:val="auto"/>
                <w:kern w:val="2"/>
                <w:sz w:val="28"/>
                <w:szCs w:val="28"/>
                <w:highlight w:val="none"/>
                <w:lang w:val="en-US" w:eastAsia="zh-Hans" w:bidi="ar-SA"/>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各</w:t>
            </w:r>
            <w:r>
              <w:rPr>
                <w:rFonts w:hint="eastAsia" w:eastAsia="仿宋_GB2312"/>
                <w:color w:val="auto"/>
                <w:sz w:val="28"/>
                <w:szCs w:val="28"/>
                <w:highlight w:val="none"/>
                <w:lang w:val="en-US" w:eastAsia="zh-CN"/>
              </w:rPr>
              <w:t>镇街（地区）</w:t>
            </w:r>
          </w:p>
          <w:p>
            <w:pPr>
              <w:pStyle w:val="11"/>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创建节水型社会</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rPr>
            </w:pPr>
            <w:r>
              <w:rPr>
                <w:rFonts w:hint="eastAsia" w:ascii="仿宋_GB2312" w:eastAsia="仿宋_GB2312"/>
                <w:color w:val="auto"/>
                <w:sz w:val="28"/>
                <w:szCs w:val="28"/>
                <w:highlight w:val="none"/>
                <w:lang w:eastAsia="zh-CN"/>
              </w:rPr>
              <w:t>持续推进节水型社会建设</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全区生产生活用水总量</w:t>
            </w:r>
            <w:r>
              <w:rPr>
                <w:rFonts w:hint="eastAsia"/>
                <w:color w:val="auto"/>
                <w:sz w:val="28"/>
                <w:szCs w:val="28"/>
                <w:highlight w:val="none"/>
                <w:lang w:eastAsia="zh-CN"/>
              </w:rPr>
              <w:t>、</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val="en-US" w:eastAsia="zh-CN"/>
              </w:rPr>
              <w:t>GDP</w:t>
            </w:r>
            <w:r>
              <w:rPr>
                <w:rFonts w:hint="eastAsia" w:ascii="仿宋_GB2312" w:eastAsia="仿宋_GB2312"/>
                <w:color w:val="auto"/>
                <w:sz w:val="28"/>
                <w:szCs w:val="28"/>
                <w:highlight w:val="none"/>
              </w:rPr>
              <w:t>用水量</w:t>
            </w:r>
            <w:r>
              <w:rPr>
                <w:rFonts w:hint="eastAsia" w:ascii="仿宋_GB2312" w:eastAsia="仿宋_GB2312"/>
                <w:color w:val="auto"/>
                <w:sz w:val="28"/>
                <w:szCs w:val="28"/>
                <w:highlight w:val="none"/>
                <w:lang w:eastAsia="zh-CN"/>
              </w:rPr>
              <w:t>比</w:t>
            </w: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lang w:val="en-US" w:eastAsia="zh-CN"/>
              </w:rPr>
              <w:t>22</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eastAsia="zh-CN"/>
              </w:rPr>
              <w:t>下降</w:t>
            </w:r>
            <w:r>
              <w:rPr>
                <w:rFonts w:hint="eastAsia"/>
                <w:b w:val="0"/>
                <w:bCs w:val="0"/>
                <w:color w:val="auto"/>
                <w:sz w:val="28"/>
                <w:szCs w:val="28"/>
                <w:highlight w:val="none"/>
                <w:lang w:val="en-US" w:eastAsia="zh-CN"/>
              </w:rPr>
              <w:t>率完成市级下达的任务指标</w:t>
            </w:r>
            <w:r>
              <w:rPr>
                <w:rFonts w:hint="eastAsia" w:ascii="仿宋_GB2312" w:eastAsia="仿宋_GB2312"/>
                <w:b w:val="0"/>
                <w:bCs w:val="0"/>
                <w:color w:val="auto"/>
                <w:sz w:val="28"/>
                <w:szCs w:val="28"/>
                <w:highlight w:val="none"/>
              </w:rPr>
              <w:t>。</w:t>
            </w:r>
          </w:p>
          <w:p>
            <w:pPr>
              <w:adjustRightInd w:val="0"/>
              <w:snapToGrid w:val="0"/>
              <w:jc w:val="left"/>
              <w:rPr>
                <w:rFonts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按照《潮河流域生态环境保护综合规划（2019-2025年）》要求，潮河流域7个镇用水总量控制在2700万立方米。</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tc>
        <w:tc>
          <w:tcPr>
            <w:tcW w:w="2386" w:type="dxa"/>
            <w:gridSpan w:val="3"/>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各镇街（地区）</w:t>
            </w:r>
          </w:p>
          <w:p>
            <w:pPr>
              <w:adjustRightInd w:val="0"/>
              <w:snapToGrid w:val="0"/>
              <w:jc w:val="center"/>
              <w:rPr>
                <w:rFonts w:hint="eastAsia"/>
                <w:color w:val="auto"/>
                <w:sz w:val="28"/>
                <w:szCs w:val="28"/>
                <w:highlight w:val="none"/>
                <w:lang w:eastAsia="zh-CN"/>
              </w:rPr>
            </w:pPr>
            <w:r>
              <w:rPr>
                <w:rFonts w:hint="eastAsia" w:eastAsia="仿宋_GB2312"/>
                <w:color w:val="auto"/>
                <w:sz w:val="28"/>
                <w:szCs w:val="28"/>
                <w:highlight w:val="none"/>
                <w:lang w:val="en-US" w:eastAsia="zh-CN"/>
              </w:rPr>
              <w:t>中关村密云园</w:t>
            </w:r>
          </w:p>
          <w:p>
            <w:pPr>
              <w:pStyle w:val="9"/>
              <w:jc w:val="center"/>
              <w:rPr>
                <w:rFonts w:hint="eastAsia"/>
                <w:color w:val="auto"/>
                <w:sz w:val="28"/>
                <w:szCs w:val="28"/>
                <w:highlight w:val="none"/>
                <w:lang w:eastAsia="zh-CN"/>
              </w:rPr>
            </w:pP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进一步加强用水总量管控，提高用水效率。结合</w:t>
            </w:r>
            <w:r>
              <w:rPr>
                <w:rFonts w:hint="eastAsia" w:ascii="仿宋_GB2312" w:eastAsia="仿宋_GB2312" w:cs="Times New Roman"/>
                <w:color w:val="auto"/>
                <w:sz w:val="28"/>
                <w:szCs w:val="28"/>
                <w:highlight w:val="none"/>
                <w:lang w:eastAsia="zh-CN"/>
              </w:rPr>
              <w:t>全</w:t>
            </w:r>
            <w:r>
              <w:rPr>
                <w:rFonts w:hint="eastAsia" w:ascii="仿宋_GB2312" w:eastAsia="仿宋_GB2312" w:cs="Times New Roman"/>
                <w:color w:val="auto"/>
                <w:sz w:val="28"/>
                <w:szCs w:val="28"/>
                <w:highlight w:val="none"/>
              </w:rPr>
              <w:t>区用水实际情况，将用水总量</w:t>
            </w:r>
            <w:r>
              <w:rPr>
                <w:rFonts w:hint="eastAsia" w:ascii="仿宋_GB2312" w:eastAsia="仿宋_GB2312" w:cs="Times New Roman"/>
                <w:color w:val="auto"/>
                <w:sz w:val="28"/>
                <w:szCs w:val="28"/>
                <w:highlight w:val="none"/>
                <w:lang w:eastAsia="zh-CN"/>
              </w:rPr>
              <w:t>控制要求</w:t>
            </w:r>
            <w:r>
              <w:rPr>
                <w:rFonts w:hint="eastAsia" w:ascii="仿宋_GB2312" w:eastAsia="仿宋_GB2312" w:cs="Times New Roman"/>
                <w:color w:val="auto"/>
                <w:sz w:val="28"/>
                <w:szCs w:val="28"/>
                <w:highlight w:val="none"/>
              </w:rPr>
              <w:t>进一步分解下达至</w:t>
            </w:r>
            <w:r>
              <w:rPr>
                <w:rFonts w:hint="eastAsia" w:ascii="仿宋_GB2312" w:eastAsia="仿宋_GB2312" w:cs="Times New Roman"/>
                <w:color w:val="auto"/>
                <w:sz w:val="28"/>
                <w:szCs w:val="28"/>
                <w:highlight w:val="none"/>
                <w:lang w:eastAsia="zh-CN"/>
              </w:rPr>
              <w:t>镇街（地区）</w:t>
            </w:r>
            <w:r>
              <w:rPr>
                <w:rFonts w:hint="eastAsia" w:ascii="仿宋_GB2312" w:eastAsia="仿宋_GB2312" w:cs="Times New Roman"/>
                <w:color w:val="auto"/>
                <w:sz w:val="28"/>
                <w:szCs w:val="28"/>
                <w:highlight w:val="none"/>
              </w:rPr>
              <w:t>，并细化管控措施。</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rPr>
            </w:pPr>
            <w:r>
              <w:rPr>
                <w:rFonts w:hint="eastAsia" w:eastAsia="仿宋_GB2312"/>
                <w:color w:val="auto"/>
                <w:sz w:val="28"/>
                <w:szCs w:val="28"/>
                <w:highlight w:val="none"/>
              </w:rPr>
              <w:t>年底前</w:t>
            </w: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pStyle w:val="9"/>
              <w:jc w:val="center"/>
              <w:rPr>
                <w:rFonts w:hint="eastAsia"/>
                <w:color w:val="auto"/>
                <w:sz w:val="28"/>
                <w:szCs w:val="28"/>
                <w:highlight w:val="none"/>
                <w:lang w:eastAsia="zh-CN"/>
              </w:rPr>
            </w:pP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629" w:type="dxa"/>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7</w:t>
            </w:r>
          </w:p>
        </w:tc>
        <w:tc>
          <w:tcPr>
            <w:tcW w:w="854" w:type="dxa"/>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强化生活污染治理</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sz w:val="28"/>
                <w:szCs w:val="28"/>
                <w:highlight w:val="none"/>
                <w:lang w:val="en-US" w:eastAsia="zh-CN"/>
              </w:rPr>
              <w:t>实施第四个三年城市水环境治理三年行动方案，累计新（改）建污水收集管线</w:t>
            </w:r>
            <w:r>
              <w:rPr>
                <w:rFonts w:hint="eastAsia" w:cs="Times New Roman"/>
                <w:b w:val="0"/>
                <w:bCs w:val="0"/>
                <w:color w:val="auto"/>
                <w:sz w:val="28"/>
                <w:szCs w:val="28"/>
                <w:highlight w:val="none"/>
                <w:lang w:val="en-US" w:eastAsia="zh-CN"/>
              </w:rPr>
              <w:t>60</w:t>
            </w:r>
            <w:r>
              <w:rPr>
                <w:rFonts w:hint="eastAsia" w:ascii="仿宋_GB2312" w:eastAsia="仿宋_GB2312" w:cs="Times New Roman"/>
                <w:color w:val="auto"/>
                <w:sz w:val="28"/>
                <w:szCs w:val="28"/>
                <w:highlight w:val="none"/>
                <w:lang w:val="en-US" w:eastAsia="zh-CN"/>
              </w:rPr>
              <w:t>公里，强化再生水配置利用能力，2023年持续推进园林绿化再生水替代工程。</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eastAsia="仿宋_GB2312" w:cs="Times New Roman"/>
                <w:color w:val="auto"/>
                <w:sz w:val="28"/>
                <w:szCs w:val="28"/>
                <w:highlight w:val="none"/>
                <w:lang w:val="en-US" w:eastAsia="zh-CN"/>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区园林绿化局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区园林绿化中心</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相关镇街（地区）</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区发改委</w:t>
            </w:r>
          </w:p>
          <w:p>
            <w:pPr>
              <w:adjustRightInd w:val="0"/>
              <w:snapToGrid w:val="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7"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7</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强化生活污染治理</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lang w:val="en-US" w:eastAsia="zh-CN"/>
              </w:rPr>
              <w:t>加大雨污混接错接巡查整治力度，由相关部门牵头，督促相关属地对新发现的错接混接点位及时处置，逐步实现动态清零，积极推进中心城区合流溢流口治理。</w:t>
            </w:r>
          </w:p>
          <w:p>
            <w:pPr>
              <w:adjustRightInd w:val="0"/>
              <w:snapToGrid w:val="0"/>
              <w:jc w:val="left"/>
              <w:rPr>
                <w:color w:val="auto"/>
                <w:sz w:val="28"/>
                <w:szCs w:val="28"/>
                <w:highlight w:val="none"/>
              </w:rPr>
            </w:pPr>
            <w:r>
              <w:rPr>
                <w:rFonts w:hint="eastAsia" w:ascii="仿宋_GB2312" w:eastAsia="仿宋_GB2312" w:cs="Times New Roman"/>
                <w:color w:val="auto"/>
                <w:sz w:val="28"/>
                <w:szCs w:val="28"/>
                <w:highlight w:val="none"/>
                <w:lang w:val="en-US" w:eastAsia="zh-CN"/>
              </w:rPr>
              <w:t>区发改委、区城管委、区水务局等相关部门，围绕密云新城及</w:t>
            </w:r>
            <w:r>
              <w:rPr>
                <w:rFonts w:hint="eastAsia" w:cs="Times New Roman"/>
                <w:color w:val="auto"/>
                <w:sz w:val="28"/>
                <w:szCs w:val="28"/>
                <w:highlight w:val="none"/>
                <w:lang w:val="en-US" w:eastAsia="zh-CN"/>
              </w:rPr>
              <w:t>相关镇街（地区、园区）</w:t>
            </w:r>
            <w:r>
              <w:rPr>
                <w:rFonts w:hint="eastAsia" w:ascii="仿宋_GB2312" w:eastAsia="仿宋_GB2312" w:cs="Times New Roman"/>
                <w:color w:val="auto"/>
                <w:sz w:val="28"/>
                <w:szCs w:val="28"/>
                <w:highlight w:val="none"/>
                <w:lang w:val="en-US" w:eastAsia="zh-CN"/>
              </w:rPr>
              <w:t>雨污合流问题谋划项目，包括但不限于：1.雨污管网现状调查（说清管网分布现状、健康情况）；2.密云镇李各庄村平房区，十里堡镇双井、燕落寨地区，溪翁庄镇东营子村、尖岩村、走马庄村、石墙沟等村庄，污水、雨水管网建设；3.白河城区段河道治理。</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宋体" w:hAnsi="Courier New" w:eastAsia="仿宋_GB2312" w:cs="仿宋_GB2312"/>
                <w:color w:val="auto"/>
                <w:sz w:val="28"/>
                <w:szCs w:val="28"/>
                <w:highlight w:val="none"/>
                <w:lang w:val="en-US" w:eastAsia="zh-CN" w:bidi="ar-SA"/>
              </w:rPr>
            </w:pPr>
            <w:r>
              <w:rPr>
                <w:rFonts w:hint="eastAsia" w:ascii="宋体" w:hAnsi="Courier New" w:eastAsia="仿宋_GB2312" w:cs="仿宋_GB2312"/>
                <w:color w:val="auto"/>
                <w:sz w:val="28"/>
                <w:szCs w:val="28"/>
                <w:highlight w:val="none"/>
                <w:lang w:val="en-US" w:eastAsia="zh-CN" w:bidi="ar-SA"/>
              </w:rPr>
              <w:t>区水务局</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宋体" w:hAnsi="Courier New" w:eastAsia="仿宋_GB2312" w:cs="仿宋_GB2312"/>
                <w:color w:val="auto"/>
                <w:sz w:val="28"/>
                <w:szCs w:val="28"/>
                <w:highlight w:val="none"/>
                <w:lang w:val="en-US" w:eastAsia="zh-CN" w:bidi="ar-SA"/>
              </w:rPr>
            </w:pPr>
            <w:r>
              <w:rPr>
                <w:rFonts w:hint="eastAsia" w:ascii="宋体" w:hAnsi="Courier New" w:eastAsia="仿宋_GB2312" w:cs="仿宋_GB2312"/>
                <w:color w:val="auto"/>
                <w:sz w:val="28"/>
                <w:szCs w:val="28"/>
                <w:highlight w:val="none"/>
                <w:lang w:val="en-US" w:eastAsia="zh-CN" w:bidi="ar-SA"/>
              </w:rPr>
              <w:t xml:space="preserve">区城管委    </w:t>
            </w:r>
          </w:p>
          <w:p>
            <w:pPr>
              <w:pStyle w:val="2"/>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color w:val="auto"/>
                <w:highlight w:val="none"/>
              </w:rPr>
            </w:pPr>
            <w:r>
              <w:rPr>
                <w:rFonts w:hint="eastAsia" w:ascii="宋体" w:hAnsi="Courier New" w:eastAsia="仿宋_GB2312" w:cs="仿宋_GB2312"/>
                <w:color w:val="auto"/>
                <w:sz w:val="28"/>
                <w:szCs w:val="28"/>
                <w:highlight w:val="none"/>
                <w:lang w:val="en-US" w:eastAsia="zh-CN" w:bidi="ar-SA"/>
              </w:rPr>
              <w:t>区住建委</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p>
            <w:pPr>
              <w:spacing w:line="36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区城管委</w:t>
            </w:r>
          </w:p>
          <w:p>
            <w:pPr>
              <w:spacing w:line="360" w:lineRule="exact"/>
              <w:jc w:val="center"/>
              <w:rPr>
                <w:rFonts w:hint="eastAsia" w:eastAsia="仿宋_GB2312"/>
                <w:color w:val="auto"/>
                <w:sz w:val="28"/>
                <w:szCs w:val="28"/>
                <w:highlight w:val="none"/>
                <w:lang w:val="en-US" w:eastAsia="zh-CN"/>
              </w:rPr>
            </w:pPr>
            <w:r>
              <w:rPr>
                <w:rFonts w:hint="eastAsia" w:ascii="宋体" w:hAnsi="宋体" w:eastAsia="仿宋_GB2312" w:cs="宋体"/>
                <w:color w:val="auto"/>
                <w:kern w:val="0"/>
                <w:sz w:val="28"/>
                <w:szCs w:val="28"/>
                <w:highlight w:val="none"/>
                <w:lang w:val="en-US" w:eastAsia="zh-Hans" w:bidi="ar-SA"/>
              </w:rPr>
              <w:t>区</w:t>
            </w:r>
            <w:r>
              <w:rPr>
                <w:rFonts w:hint="eastAsia" w:ascii="宋体" w:hAnsi="宋体" w:eastAsia="仿宋_GB2312" w:cs="宋体"/>
                <w:color w:val="auto"/>
                <w:kern w:val="0"/>
                <w:sz w:val="28"/>
                <w:szCs w:val="28"/>
                <w:highlight w:val="none"/>
                <w:lang w:val="en-US" w:eastAsia="zh-CN" w:bidi="ar-SA"/>
              </w:rPr>
              <w:t>发改委</w:t>
            </w:r>
          </w:p>
          <w:p>
            <w:pPr>
              <w:spacing w:line="36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区住建委</w:t>
            </w:r>
          </w:p>
          <w:p>
            <w:pPr>
              <w:adjustRightInd w:val="0"/>
              <w:snapToGrid w:val="0"/>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相关镇街（地区）</w:t>
            </w:r>
          </w:p>
          <w:p>
            <w:pPr>
              <w:adjustRightInd w:val="0"/>
              <w:snapToGrid w:val="0"/>
              <w:jc w:val="center"/>
              <w:rPr>
                <w:rFonts w:hint="eastAsia"/>
                <w:color w:val="auto"/>
                <w:sz w:val="28"/>
                <w:szCs w:val="28"/>
                <w:highlight w:val="none"/>
                <w:lang w:eastAsia="zh-CN"/>
              </w:rPr>
            </w:pPr>
            <w:r>
              <w:rPr>
                <w:rFonts w:hint="eastAsia" w:eastAsia="仿宋_GB2312"/>
                <w:color w:val="auto"/>
                <w:sz w:val="28"/>
                <w:szCs w:val="28"/>
                <w:highlight w:val="none"/>
                <w:lang w:val="en-US" w:eastAsia="zh-CN"/>
              </w:rPr>
              <w:t>中关村密云园</w:t>
            </w:r>
          </w:p>
          <w:p>
            <w:pPr>
              <w:spacing w:line="360" w:lineRule="exact"/>
              <w:jc w:val="center"/>
              <w:rPr>
                <w:rFonts w:hint="default" w:eastAsia="仿宋_GB2312"/>
                <w:color w:val="auto"/>
                <w:spacing w:val="-20"/>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仿宋_GB2312" w:cs="宋体"/>
                <w:color w:val="auto"/>
                <w:kern w:val="0"/>
                <w:sz w:val="28"/>
                <w:szCs w:val="28"/>
                <w:highlight w:val="none"/>
                <w:lang w:val="en-US" w:eastAsia="zh-CN" w:bidi="ar-SA"/>
              </w:rPr>
            </w:pPr>
            <w:r>
              <w:rPr>
                <w:rFonts w:hint="eastAsia" w:ascii="宋体" w:hAnsi="宋体" w:eastAsia="仿宋_GB2312" w:cs="宋体"/>
                <w:color w:val="auto"/>
                <w:kern w:val="0"/>
                <w:sz w:val="28"/>
                <w:szCs w:val="28"/>
                <w:highlight w:val="none"/>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仿宋_GB2312" w:cs="宋体"/>
                <w:color w:val="auto"/>
                <w:kern w:val="0"/>
                <w:sz w:val="28"/>
                <w:szCs w:val="28"/>
                <w:highlight w:val="none"/>
                <w:lang w:val="en-US" w:eastAsia="zh-Hans" w:bidi="ar-SA"/>
              </w:rPr>
            </w:pPr>
            <w:r>
              <w:rPr>
                <w:rFonts w:hint="eastAsia" w:ascii="宋体" w:hAnsi="宋体" w:eastAsia="仿宋_GB2312" w:cs="宋体"/>
                <w:color w:val="auto"/>
                <w:kern w:val="0"/>
                <w:sz w:val="28"/>
                <w:szCs w:val="28"/>
                <w:highlight w:val="none"/>
                <w:lang w:val="en-US" w:eastAsia="zh-Hans" w:bidi="ar-SA"/>
              </w:rPr>
              <w:t>区生态环境局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4"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加强汛期雨水面源污染和溢流污染防治，持续开展</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清管行动</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清河行动</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，聚焦汛期水质波动明显的河流，提前对雨水管涵、雨污合流管涵、雨水口（雨箅子）等进行全面清掏并加大巡查、清理力度。</w:t>
            </w:r>
          </w:p>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主汛期开展雨后入河排口排污检查，加强对重点断面的监测和溯源排查。</w:t>
            </w:r>
          </w:p>
          <w:p>
            <w:pPr>
              <w:adjustRightInd w:val="0"/>
              <w:snapToGrid w:val="0"/>
              <w:jc w:val="left"/>
              <w:rPr>
                <w:rFonts w:ascii="仿宋_GB2312" w:eastAsia="仿宋_GB2312"/>
                <w:color w:val="auto"/>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城区污水处理厂加强联动联调，雨前提前加大抽升处理，降低管网液位，实现管网腾容，最大程度减少污水溢流排河。</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9月底前</w:t>
            </w:r>
          </w:p>
        </w:tc>
        <w:tc>
          <w:tcPr>
            <w:tcW w:w="20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区城管委</w:t>
            </w:r>
          </w:p>
          <w:p>
            <w:pPr>
              <w:spacing w:line="400" w:lineRule="exact"/>
              <w:jc w:val="center"/>
              <w:rPr>
                <w:rFonts w:eastAsia="仿宋_GB2312"/>
                <w:color w:val="auto"/>
                <w:sz w:val="28"/>
                <w:szCs w:val="28"/>
                <w:highlight w:val="none"/>
              </w:rPr>
            </w:pPr>
            <w:r>
              <w:rPr>
                <w:rFonts w:hint="eastAsia" w:eastAsia="仿宋_GB2312"/>
                <w:color w:val="auto"/>
                <w:sz w:val="28"/>
                <w:szCs w:val="28"/>
                <w:highlight w:val="none"/>
                <w:lang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区城管委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区生态环境局</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密云水库综合执法大队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auto"/>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8</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持续推进农村污染防治</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加快农村污水处理设施建设，优化完善适合本地区的农村生活污水治理模式和技术工艺，以“污水收集管网+厂站”集中处理模式</w:t>
            </w:r>
            <w:r>
              <w:rPr>
                <w:rFonts w:hint="eastAsia" w:cs="Times New Roman"/>
                <w:color w:val="auto"/>
                <w:sz w:val="28"/>
                <w:szCs w:val="28"/>
                <w:highlight w:val="none"/>
                <w:lang w:val="en-US" w:eastAsia="zh-CN"/>
              </w:rPr>
              <w:t>完成</w:t>
            </w:r>
            <w:r>
              <w:rPr>
                <w:rFonts w:hint="eastAsia" w:cs="Times New Roman"/>
                <w:b w:val="0"/>
                <w:bCs w:val="0"/>
                <w:color w:val="auto"/>
                <w:sz w:val="28"/>
                <w:szCs w:val="28"/>
                <w:highlight w:val="none"/>
                <w:lang w:val="en-US" w:eastAsia="zh-CN"/>
              </w:rPr>
              <w:t>市级考核要求村庄数量的</w:t>
            </w:r>
            <w:r>
              <w:rPr>
                <w:rFonts w:hint="eastAsia" w:ascii="仿宋_GB2312" w:eastAsia="仿宋_GB2312" w:cs="Times New Roman"/>
                <w:b w:val="0"/>
                <w:bCs w:val="0"/>
                <w:color w:val="auto"/>
                <w:sz w:val="28"/>
                <w:szCs w:val="28"/>
                <w:highlight w:val="none"/>
              </w:rPr>
              <w:t>污水收集处理</w:t>
            </w:r>
            <w:r>
              <w:rPr>
                <w:rFonts w:hint="eastAsia" w:ascii="仿宋_GB2312" w:eastAsia="仿宋_GB2312" w:cs="Times New Roman"/>
                <w:b w:val="0"/>
                <w:bCs w:val="0"/>
                <w:color w:val="auto"/>
                <w:sz w:val="28"/>
                <w:szCs w:val="28"/>
                <w:highlight w:val="none"/>
                <w:lang w:eastAsia="zh-CN"/>
              </w:rPr>
              <w:t>问题</w:t>
            </w:r>
            <w:r>
              <w:rPr>
                <w:rFonts w:hint="eastAsia" w:ascii="仿宋_GB2312" w:eastAsia="仿宋_GB2312" w:cs="Times New Roman"/>
                <w:b w:val="0"/>
                <w:bCs w:val="0"/>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eastAsia="仿宋_GB2312"/>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区规自分局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区发改委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强化现有设施的监管。组织开展现有农村污水处理设施运行情况调查评估，持续更新完善农村生活污水治理设施运行台账。加强农村生活污水处理设施运行监督管理力度，对运行不正常的设施随发现随督促整改，确保已建成设施正常运行率达到80%以上，按年度形成农村生活污水收集处理设施运行情况排查报告。加大农村生活污水处理设施监督性监测及执法力度。</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rPr>
            </w:pPr>
            <w:r>
              <w:rPr>
                <w:rFonts w:ascii="仿宋_GB2312" w:hAnsi="宋体" w:eastAsia="仿宋_GB2312" w:cs="仿宋_GB2312"/>
                <w:color w:val="auto"/>
                <w:kern w:val="0"/>
                <w:sz w:val="28"/>
                <w:szCs w:val="28"/>
                <w:highlight w:val="none"/>
                <w:lang w:bidi="ar"/>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密云水库综合执法大队</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密云水库综合</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执法大队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深入推进农村环境整治工作，完成</w:t>
            </w:r>
            <w:r>
              <w:rPr>
                <w:rFonts w:hint="eastAsia" w:ascii="仿宋_GB2312" w:eastAsia="仿宋_GB2312" w:cs="Times New Roman"/>
                <w:color w:val="auto"/>
                <w:sz w:val="28"/>
                <w:szCs w:val="28"/>
                <w:highlight w:val="none"/>
                <w:lang w:eastAsia="zh-CN"/>
              </w:rPr>
              <w:t>国家</w:t>
            </w:r>
            <w:r>
              <w:rPr>
                <w:rFonts w:hint="eastAsia" w:ascii="仿宋_GB2312" w:eastAsia="仿宋_GB2312" w:cs="Times New Roman"/>
                <w:color w:val="auto"/>
                <w:sz w:val="28"/>
                <w:szCs w:val="28"/>
                <w:highlight w:val="none"/>
              </w:rPr>
              <w:t>下达的任务目标，任务村庄生活污水、黑臭水体、集中式饮用水水源地达到国家整治要求，村庄环境干净整洁。完成任务数量不低于本区农村污水收集处理设施建设任务数量。</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ascii="仿宋_GB2312" w:hAnsi="宋体" w:eastAsia="仿宋_GB2312" w:cs="仿宋_GB2312"/>
                <w:color w:val="auto"/>
                <w:kern w:val="0"/>
                <w:sz w:val="28"/>
                <w:szCs w:val="28"/>
                <w:highlight w:val="none"/>
                <w:lang w:bidi="ar"/>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kinsoku/>
              <w:wordWrap/>
              <w:overflowPunct/>
              <w:topLinePunct w:val="0"/>
              <w:bidi w:val="0"/>
              <w:spacing w:line="320" w:lineRule="exact"/>
              <w:jc w:val="center"/>
              <w:rPr>
                <w:rFonts w:hint="default" w:ascii="仿宋_GB2312" w:hAnsi="Times New Roman" w:eastAsia="仿宋_GB2312" w:cs="Times New Roman"/>
                <w:color w:val="auto"/>
                <w:kern w:val="2"/>
                <w:sz w:val="28"/>
                <w:szCs w:val="28"/>
                <w:highlight w:val="none"/>
              </w:rPr>
            </w:pPr>
            <w:r>
              <w:rPr>
                <w:rFonts w:hint="eastAsia" w:eastAsia="仿宋_GB2312"/>
                <w:color w:val="auto"/>
                <w:sz w:val="28"/>
                <w:szCs w:val="28"/>
                <w:highlight w:val="none"/>
                <w:lang w:val="en-US" w:eastAsia="zh-CN"/>
              </w:rPr>
              <w:t>区城管委</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区城管委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区卫健委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ascii="仿宋_GB2312" w:eastAsia="仿宋_GB2312"/>
                <w:b w:val="0"/>
                <w:bCs w:val="0"/>
                <w:color w:val="auto"/>
                <w:sz w:val="28"/>
                <w:szCs w:val="28"/>
                <w:highlight w:val="none"/>
              </w:rPr>
            </w:pPr>
            <w:r>
              <w:rPr>
                <w:rFonts w:hint="eastAsia" w:ascii="仿宋_GB2312" w:eastAsia="仿宋_GB2312" w:cs="Times New Roman"/>
                <w:color w:val="auto"/>
                <w:sz w:val="28"/>
                <w:szCs w:val="28"/>
                <w:highlight w:val="none"/>
              </w:rPr>
              <w:t>加强水产养殖污染防治。加强绿色健康养殖模式推广，推进水产养殖尾水治理、水产用药减量行动。</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b w:val="0"/>
                <w:bCs w:val="0"/>
                <w:color w:val="auto"/>
                <w:sz w:val="28"/>
                <w:szCs w:val="28"/>
                <w:highlight w:val="none"/>
              </w:rPr>
            </w:pPr>
            <w:r>
              <w:rPr>
                <w:rFonts w:hint="eastAsia" w:ascii="仿宋_GB2312" w:eastAsia="仿宋_GB2312"/>
                <w:color w:val="auto"/>
                <w:sz w:val="28"/>
                <w:szCs w:val="28"/>
                <w:highlight w:val="none"/>
              </w:rPr>
              <w:t>长期实施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both"/>
              <w:textAlignment w:val="center"/>
              <w:rPr>
                <w:rFonts w:hint="eastAsia" w:ascii="仿宋_GB2312" w:eastAsia="仿宋_GB2312"/>
                <w:b w:val="0"/>
                <w:bCs w:val="0"/>
                <w:color w:val="auto"/>
                <w:sz w:val="28"/>
                <w:szCs w:val="28"/>
                <w:highlight w:val="none"/>
                <w:lang w:eastAsia="zh-CN"/>
              </w:rPr>
            </w:pPr>
            <w:r>
              <w:rPr>
                <w:rFonts w:hint="eastAsia" w:eastAsia="仿宋_GB2312"/>
                <w:color w:val="auto"/>
                <w:spacing w:val="-17"/>
                <w:sz w:val="28"/>
                <w:szCs w:val="28"/>
                <w:highlight w:val="none"/>
                <w:lang w:val="en-US" w:eastAsia="zh-CN"/>
              </w:rPr>
              <w:t>区农业服务中心</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b w:val="0"/>
                <w:bCs w:val="0"/>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629" w:type="dxa"/>
            <w:tcBorders>
              <w:left w:val="single" w:color="auto" w:sz="4" w:space="0"/>
              <w:right w:val="single" w:color="auto" w:sz="4" w:space="0"/>
            </w:tcBorders>
            <w:vAlign w:val="center"/>
          </w:tcPr>
          <w:p>
            <w:pPr>
              <w:widowControl/>
              <w:jc w:val="center"/>
              <w:textAlignment w:val="center"/>
              <w:rPr>
                <w:rFonts w:ascii="仿宋_GB2312" w:eastAsia="仿宋_GB2312"/>
                <w:color w:val="auto"/>
                <w:sz w:val="28"/>
                <w:szCs w:val="28"/>
                <w:highlight w:val="none"/>
              </w:rPr>
            </w:pPr>
            <w:r>
              <w:rPr>
                <w:rFonts w:ascii="仿宋_GB2312" w:hAnsi="宋体" w:eastAsia="仿宋_GB2312" w:cs="仿宋_GB2312"/>
                <w:color w:val="auto"/>
                <w:kern w:val="0"/>
                <w:sz w:val="28"/>
                <w:szCs w:val="28"/>
                <w:highlight w:val="none"/>
                <w:lang w:bidi="ar"/>
              </w:rPr>
              <w:t>9</w:t>
            </w:r>
          </w:p>
        </w:tc>
        <w:tc>
          <w:tcPr>
            <w:tcW w:w="85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加强医疗机构污水监管</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hAnsi="宋体" w:eastAsia="仿宋_GB2312" w:cs="仿宋_GB2312"/>
                <w:color w:val="auto"/>
                <w:kern w:val="0"/>
                <w:sz w:val="28"/>
                <w:szCs w:val="28"/>
                <w:highlight w:val="none"/>
                <w:lang w:bidi="ar"/>
              </w:rPr>
            </w:pPr>
            <w:r>
              <w:rPr>
                <w:rFonts w:hint="eastAsia" w:ascii="仿宋_GB2312" w:eastAsia="仿宋_GB2312" w:cs="Times New Roman"/>
                <w:color w:val="auto"/>
                <w:sz w:val="28"/>
                <w:szCs w:val="28"/>
                <w:highlight w:val="none"/>
              </w:rPr>
              <w:t>加强医疗机构监管，定期检查医疗机构污水处理设施建设和运行管理情况，加强排污许可管理，确保污水处理设施和消毒设施配置齐全，运转正常。</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hint="eastAsia" w:ascii="仿宋_GB2312"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区卫健委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加强工业污染防治</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加大工业污染防治力度，工业园区</w:t>
            </w:r>
            <w:r>
              <w:rPr>
                <w:rFonts w:hint="eastAsia" w:ascii="仿宋_GB2312" w:eastAsia="仿宋_GB2312" w:cs="Times New Roman"/>
                <w:color w:val="auto"/>
                <w:sz w:val="28"/>
                <w:szCs w:val="28"/>
                <w:highlight w:val="none"/>
                <w:lang w:eastAsia="zh-CN"/>
              </w:rPr>
              <w:t>内</w:t>
            </w:r>
            <w:r>
              <w:rPr>
                <w:rFonts w:hint="eastAsia" w:ascii="仿宋_GB2312" w:eastAsia="仿宋_GB2312" w:cs="Times New Roman"/>
                <w:color w:val="auto"/>
                <w:sz w:val="28"/>
                <w:szCs w:val="28"/>
                <w:highlight w:val="none"/>
              </w:rPr>
              <w:t>污水管网质量和污水收集效能明显提升，污水实现应收尽收。</w:t>
            </w:r>
          </w:p>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lang w:eastAsia="zh-CN"/>
              </w:rPr>
              <w:t>中关村密云园</w:t>
            </w:r>
            <w:r>
              <w:rPr>
                <w:rFonts w:hint="eastAsia" w:ascii="仿宋_GB2312" w:eastAsia="仿宋_GB2312" w:cs="Times New Roman"/>
                <w:color w:val="auto"/>
                <w:sz w:val="28"/>
                <w:szCs w:val="28"/>
                <w:highlight w:val="none"/>
              </w:rPr>
              <w:t>加强对辖区工业企业的排查监管，杜绝污水直排、偷排。</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restart"/>
            <w:tcBorders>
              <w:top w:val="single" w:color="auto" w:sz="4" w:space="0"/>
              <w:left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r>
              <w:rPr>
                <w:rFonts w:hint="eastAsia" w:eastAsia="仿宋_GB2312"/>
                <w:color w:val="auto"/>
                <w:sz w:val="28"/>
                <w:szCs w:val="28"/>
                <w:highlight w:val="none"/>
                <w:lang w:val="en-US" w:eastAsia="zh-CN"/>
              </w:rPr>
              <w:t>区生态环境局</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pacing w:val="-20"/>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CN"/>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落实《北京市土壤污染防治条例》要求，督促国家和市级开发区内工业企业落实地下水污染防治措施。</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continue"/>
            <w:tcBorders>
              <w:left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p>
        </w:tc>
        <w:tc>
          <w:tcPr>
            <w:tcW w:w="2386" w:type="dxa"/>
            <w:gridSpan w:val="3"/>
            <w:vMerge w:val="continue"/>
            <w:tcBorders>
              <w:left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Hans"/>
              </w:rPr>
            </w:pPr>
            <w:r>
              <w:rPr>
                <w:rFonts w:ascii="仿宋_GB2312" w:hAnsi="宋体" w:eastAsia="仿宋_GB2312" w:cs="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开展排污许可证单位执行报告提交率审核。开展排污许可证执行报告、排污许可证和排污登记表质量审核，审核数量</w:t>
            </w:r>
            <w:r>
              <w:rPr>
                <w:rFonts w:hint="eastAsia" w:ascii="仿宋_GB2312" w:eastAsia="仿宋_GB2312" w:cs="Times New Roman"/>
                <w:color w:val="auto"/>
                <w:sz w:val="28"/>
                <w:szCs w:val="28"/>
                <w:highlight w:val="none"/>
                <w:lang w:eastAsia="zh-CN"/>
              </w:rPr>
              <w:t>完成市级任务要求</w:t>
            </w:r>
            <w:r>
              <w:rPr>
                <w:rFonts w:hint="eastAsia" w:ascii="仿宋_GB2312" w:eastAsia="仿宋_GB2312" w:cs="Times New Roman"/>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r>
              <w:rPr>
                <w:rFonts w:ascii="仿宋_GB2312" w:hAnsi="宋体" w:eastAsia="仿宋_GB2312" w:cs="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11</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加强入河排污口监管</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巩固清理整治成效，问题排口动态清零。严格新建、改建、扩建入河排污口设置管理，按照分级审批权限做好设置审批。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持续开展排查溯源和数据更新，实现排污口排查整治、设置审核备案、日常监督管理等信息互通，建立动态管理台账。</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ascii="仿宋_GB2312" w:eastAsia="仿宋_GB2312"/>
                <w:color w:val="auto"/>
                <w:sz w:val="28"/>
                <w:szCs w:val="28"/>
                <w:highlight w:val="none"/>
              </w:rPr>
              <w:t>长期实施</w:t>
            </w:r>
          </w:p>
        </w:tc>
        <w:tc>
          <w:tcPr>
            <w:tcW w:w="2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s="Times New Roman"/>
                <w:color w:val="auto"/>
                <w:sz w:val="28"/>
                <w:szCs w:val="28"/>
                <w:highlight w:val="none"/>
                <w:lang w:val="en-US" w:eastAsia="zh-CN"/>
              </w:rPr>
              <w:t>区生态环境局</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p>
            <w:pPr>
              <w:keepNext w:val="0"/>
              <w:keepLines w:val="0"/>
              <w:pageBreakBefore w:val="0"/>
              <w:kinsoku/>
              <w:wordWrap/>
              <w:overflowPunct/>
              <w:topLinePunct w:val="0"/>
              <w:bidi w:val="0"/>
              <w:adjustRightInd/>
              <w:snapToGrid/>
              <w:spacing w:line="36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区水务局</w:t>
            </w:r>
          </w:p>
          <w:p>
            <w:pPr>
              <w:pStyle w:val="2"/>
              <w:keepNext w:val="0"/>
              <w:keepLines w:val="0"/>
              <w:pageBreakBefore w:val="0"/>
              <w:kinsoku/>
              <w:wordWrap/>
              <w:overflowPunct/>
              <w:topLinePunct w:val="0"/>
              <w:bidi w:val="0"/>
              <w:adjustRightInd/>
              <w:snapToGrid/>
              <w:spacing w:line="360" w:lineRule="exact"/>
              <w:jc w:val="center"/>
              <w:rPr>
                <w:rFonts w:hint="eastAsia"/>
                <w:color w:val="auto"/>
                <w:highlight w:val="none"/>
                <w:lang w:val="en-US" w:eastAsia="zh-CN"/>
              </w:rPr>
            </w:pPr>
            <w:r>
              <w:rPr>
                <w:rFonts w:hint="eastAsia" w:cs="Times New Roman"/>
                <w:color w:val="auto"/>
                <w:sz w:val="28"/>
                <w:szCs w:val="28"/>
                <w:highlight w:val="none"/>
                <w:lang w:val="en-US" w:eastAsia="zh-CN"/>
              </w:rPr>
              <w:t>区城管委</w:t>
            </w:r>
          </w:p>
          <w:p>
            <w:pPr>
              <w:keepNext w:val="0"/>
              <w:keepLines w:val="0"/>
              <w:pageBreakBefore w:val="0"/>
              <w:kinsoku/>
              <w:wordWrap/>
              <w:overflowPunct/>
              <w:topLinePunct w:val="0"/>
              <w:bidi w:val="0"/>
              <w:adjustRightInd/>
              <w:snapToGrid/>
              <w:spacing w:line="360" w:lineRule="exact"/>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相关镇街（地区）</w:t>
            </w:r>
          </w:p>
          <w:p>
            <w:pPr>
              <w:keepNext w:val="0"/>
              <w:keepLines w:val="0"/>
              <w:pageBreakBefore w:val="0"/>
              <w:kinsoku/>
              <w:wordWrap/>
              <w:overflowPunct/>
              <w:topLinePunct w:val="0"/>
              <w:bidi w:val="0"/>
              <w:adjustRightInd/>
              <w:snapToGrid/>
              <w:spacing w:line="360" w:lineRule="exact"/>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pacing w:val="-6"/>
                <w:sz w:val="28"/>
                <w:szCs w:val="28"/>
                <w:highlight w:val="none"/>
              </w:rPr>
            </w:pPr>
            <w:r>
              <w:rPr>
                <w:rFonts w:hint="eastAsia" w:ascii="仿宋_GB2312" w:eastAsia="仿宋_GB2312" w:cs="Times New Roman"/>
                <w:color w:val="auto"/>
                <w:sz w:val="28"/>
                <w:szCs w:val="28"/>
                <w:highlight w:val="none"/>
              </w:rPr>
              <w:t>推进入河排口精细化管理，加强水质在线监管平台的应用，对水质异常的排口快速查找原因，及时组织整治。推动</w:t>
            </w:r>
            <w:r>
              <w:rPr>
                <w:rFonts w:hint="default" w:ascii="仿宋_GB2312" w:eastAsia="仿宋_GB2312" w:cs="Times New Roman"/>
                <w:color w:val="auto"/>
                <w:sz w:val="28"/>
                <w:szCs w:val="28"/>
                <w:highlight w:val="none"/>
              </w:rPr>
              <w:t>“</w:t>
            </w:r>
            <w:r>
              <w:rPr>
                <w:rFonts w:hint="eastAsia" w:ascii="仿宋_GB2312" w:eastAsia="仿宋_GB2312" w:cs="Times New Roman"/>
                <w:color w:val="auto"/>
                <w:sz w:val="28"/>
                <w:szCs w:val="28"/>
                <w:highlight w:val="none"/>
              </w:rPr>
              <w:t>排污单位-排污通道-排污口-受纳水体</w:t>
            </w:r>
            <w:r>
              <w:rPr>
                <w:rFonts w:hint="default" w:ascii="仿宋_GB2312" w:eastAsia="仿宋_GB2312" w:cs="Times New Roman"/>
                <w:color w:val="auto"/>
                <w:sz w:val="28"/>
                <w:szCs w:val="28"/>
                <w:highlight w:val="none"/>
              </w:rPr>
              <w:t>”</w:t>
            </w:r>
            <w:r>
              <w:rPr>
                <w:rFonts w:hint="eastAsia" w:ascii="仿宋_GB2312" w:eastAsia="仿宋_GB2312" w:cs="Times New Roman"/>
                <w:color w:val="auto"/>
                <w:sz w:val="28"/>
                <w:szCs w:val="28"/>
                <w:highlight w:val="none"/>
              </w:rPr>
              <w:t>全过程管理。</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rPr>
            </w:pPr>
          </w:p>
        </w:tc>
        <w:tc>
          <w:tcPr>
            <w:tcW w:w="2341"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eastAsia="仿宋_GB2312"/>
                <w:color w:val="auto"/>
                <w:sz w:val="28"/>
                <w:szCs w:val="28"/>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rPr>
              <w:t>巩固水体整治成效</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b w:val="0"/>
                <w:bCs w:val="0"/>
                <w:i w:val="0"/>
                <w:iCs w:val="0"/>
                <w:color w:val="auto"/>
                <w:sz w:val="28"/>
                <w:szCs w:val="28"/>
                <w:highlight w:val="none"/>
              </w:rPr>
            </w:pPr>
            <w:r>
              <w:rPr>
                <w:rFonts w:hint="eastAsia" w:eastAsia="仿宋_GB2312"/>
                <w:b w:val="0"/>
                <w:bCs w:val="0"/>
                <w:color w:val="auto"/>
                <w:sz w:val="28"/>
                <w:szCs w:val="28"/>
                <w:highlight w:val="none"/>
              </w:rPr>
              <w:t>发挥</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河长制</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湖长制</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统筹作用，加强汛期面源污染治理、污水直排混排入河监管巡查力度，将河流消劣治理、整治后黑臭水体管护、农村小微水体管护等任务纳入年度总河长令，相关部门加强日常监督检查并做好技术指导工作。</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b w:val="0"/>
                <w:bCs w:val="0"/>
                <w:i w:val="0"/>
                <w:iCs w:val="0"/>
                <w:color w:val="auto"/>
                <w:sz w:val="28"/>
                <w:szCs w:val="28"/>
                <w:highlight w:val="none"/>
              </w:rPr>
            </w:pPr>
            <w:r>
              <w:rPr>
                <w:rFonts w:hint="eastAsia" w:eastAsia="仿宋_GB2312"/>
                <w:color w:val="auto"/>
                <w:sz w:val="28"/>
                <w:szCs w:val="28"/>
                <w:highlight w:val="none"/>
              </w:rPr>
              <w:t>长期实施</w:t>
            </w:r>
          </w:p>
        </w:tc>
        <w:tc>
          <w:tcPr>
            <w:tcW w:w="2053" w:type="dxa"/>
            <w:tcBorders>
              <w:top w:val="single" w:color="auto" w:sz="4" w:space="0"/>
              <w:left w:val="single" w:color="auto" w:sz="4" w:space="0"/>
              <w:right w:val="single" w:color="auto" w:sz="4" w:space="0"/>
            </w:tcBorders>
            <w:vAlign w:val="center"/>
          </w:tcPr>
          <w:p>
            <w:pPr>
              <w:pStyle w:val="9"/>
              <w:ind w:left="0" w:leftChars="0" w:firstLine="0" w:firstLineChars="0"/>
              <w:jc w:val="center"/>
              <w:rPr>
                <w:rFonts w:hint="eastAsia" w:eastAsia="宋体"/>
                <w:color w:val="auto"/>
                <w:sz w:val="28"/>
                <w:szCs w:val="28"/>
                <w:highlight w:val="none"/>
                <w:lang w:eastAsia="zh-CN"/>
              </w:rPr>
            </w:pPr>
            <w:r>
              <w:rPr>
                <w:rFonts w:hint="eastAsia" w:ascii="Calibri" w:hAnsi="Calibri" w:eastAsia="仿宋_GB2312" w:cs="Times New Roman"/>
                <w:color w:val="auto"/>
                <w:kern w:val="2"/>
                <w:sz w:val="28"/>
                <w:szCs w:val="28"/>
                <w:highlight w:val="none"/>
                <w:lang w:val="en-US" w:eastAsia="zh-CN" w:bidi="ar-SA"/>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区城管委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eastAsia="仿宋_GB2312"/>
                <w:b w:val="0"/>
                <w:bCs w:val="0"/>
                <w:i w:val="0"/>
                <w:iCs w:val="0"/>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center"/>
              <w:outlineLvl w:val="9"/>
              <w:rPr>
                <w:rFonts w:hint="eastAsia" w:eastAsia="仿宋_GB2312"/>
                <w:b w:val="0"/>
                <w:bCs w:val="0"/>
                <w:i w:val="0"/>
                <w:iCs w:val="0"/>
                <w:color w:val="auto"/>
                <w:sz w:val="28"/>
                <w:szCs w:val="28"/>
                <w:highlight w:val="none"/>
                <w:lang w:val="en-US" w:eastAsia="zh-CN"/>
              </w:rPr>
            </w:pPr>
            <w:r>
              <w:rPr>
                <w:rFonts w:hint="eastAsia" w:eastAsia="仿宋_GB2312"/>
                <w:color w:val="auto"/>
                <w:sz w:val="28"/>
                <w:szCs w:val="28"/>
                <w:highlight w:val="none"/>
                <w:lang w:val="en-US"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b w:val="0"/>
                <w:bCs w:val="0"/>
                <w:i w:val="0"/>
                <w:iCs w:val="0"/>
                <w:color w:val="auto"/>
                <w:sz w:val="28"/>
                <w:szCs w:val="28"/>
                <w:highlight w:val="none"/>
              </w:rPr>
            </w:pPr>
            <w:r>
              <w:rPr>
                <w:rFonts w:hint="eastAsia" w:eastAsia="仿宋_GB2312"/>
                <w:b w:val="0"/>
                <w:bCs w:val="0"/>
                <w:color w:val="auto"/>
                <w:sz w:val="28"/>
                <w:szCs w:val="28"/>
                <w:highlight w:val="none"/>
              </w:rPr>
              <w:t>加强对黑臭水体、农村小微水体、劣V类水体监测巡查，第二、三季度每月开展黑臭水体水质监测，对发现的黑臭问题，当月完成整改，确保动态清零。</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b w:val="0"/>
                <w:bCs w:val="0"/>
                <w:i w:val="0"/>
                <w:iCs w:val="0"/>
                <w:color w:val="auto"/>
                <w:sz w:val="28"/>
                <w:szCs w:val="28"/>
                <w:highlight w:val="none"/>
              </w:rPr>
            </w:pPr>
            <w:r>
              <w:rPr>
                <w:rFonts w:hint="eastAsia" w:eastAsia="仿宋_GB2312"/>
                <w:color w:val="auto"/>
                <w:sz w:val="28"/>
                <w:szCs w:val="28"/>
                <w:highlight w:val="none"/>
              </w:rPr>
              <w:t>长期实施</w:t>
            </w:r>
          </w:p>
        </w:tc>
        <w:tc>
          <w:tcPr>
            <w:tcW w:w="2053" w:type="dxa"/>
            <w:tcBorders>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eastAsia="宋体"/>
                <w:color w:val="auto"/>
                <w:sz w:val="28"/>
                <w:szCs w:val="28"/>
                <w:highlight w:val="none"/>
                <w:lang w:eastAsia="zh-CN"/>
              </w:rPr>
            </w:pPr>
            <w:r>
              <w:rPr>
                <w:rFonts w:hint="eastAsia" w:ascii="Calibri" w:hAnsi="Calibri" w:eastAsia="仿宋_GB2312" w:cs="Times New Roman"/>
                <w:color w:val="auto"/>
                <w:kern w:val="2"/>
                <w:sz w:val="28"/>
                <w:szCs w:val="28"/>
                <w:highlight w:val="none"/>
                <w:lang w:val="en-US" w:eastAsia="zh-CN" w:bidi="ar-SA"/>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kinsoku/>
              <w:wordWrap/>
              <w:overflowPunct/>
              <w:topLinePunct w:val="0"/>
              <w:autoSpaceDE/>
              <w:autoSpaceDN/>
              <w:bidi w:val="0"/>
              <w:adjustRightInd/>
              <w:snapToGrid/>
              <w:spacing w:line="360" w:lineRule="exact"/>
              <w:jc w:val="center"/>
              <w:outlineLvl w:val="9"/>
              <w:rPr>
                <w:rFonts w:hint="default" w:eastAsia="仿宋_GB2312"/>
                <w:b w:val="0"/>
                <w:bCs w:val="0"/>
                <w:i w:val="0"/>
                <w:iCs w:val="0"/>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b w:val="0"/>
                <w:bCs w:val="0"/>
                <w:i w:val="0"/>
                <w:iCs w:val="0"/>
                <w:color w:val="auto"/>
                <w:sz w:val="28"/>
                <w:szCs w:val="28"/>
                <w:highlight w:val="none"/>
                <w:lang w:val="en-US" w:eastAsia="zh-CN"/>
              </w:rPr>
            </w:pPr>
            <w:r>
              <w:rPr>
                <w:rFonts w:hint="eastAsia" w:eastAsia="仿宋_GB2312"/>
                <w:b w:val="0"/>
                <w:bCs w:val="0"/>
                <w:i w:val="0"/>
                <w:iCs w:val="0"/>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rPr>
              <w:t>加强污染减排与生态扩容，</w:t>
            </w:r>
            <w:r>
              <w:rPr>
                <w:rFonts w:hint="eastAsia" w:eastAsia="仿宋_GB2312"/>
                <w:b w:val="0"/>
                <w:bCs w:val="0"/>
                <w:color w:val="auto"/>
                <w:sz w:val="28"/>
                <w:szCs w:val="28"/>
                <w:highlight w:val="none"/>
                <w:lang w:eastAsia="zh-CN"/>
              </w:rPr>
              <w:t>推进城区白河下段水体稳定达标。</w:t>
            </w:r>
          </w:p>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60" w:lineRule="exact"/>
              <w:ind w:right="0" w:rightChars="0"/>
              <w:jc w:val="left"/>
              <w:textAlignment w:val="auto"/>
              <w:outlineLvl w:val="9"/>
              <w:rPr>
                <w:rFonts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相关部门和属地共同开展雨污合流整治，</w:t>
            </w:r>
            <w:r>
              <w:rPr>
                <w:rFonts w:hint="eastAsia" w:eastAsia="仿宋_GB2312"/>
                <w:b w:val="0"/>
                <w:bCs w:val="0"/>
                <w:color w:val="auto"/>
                <w:sz w:val="28"/>
                <w:szCs w:val="28"/>
                <w:highlight w:val="none"/>
                <w:lang w:val="en-US" w:eastAsia="zh-CN"/>
              </w:rPr>
              <w:t>区水务局牵头，会同各属地，严格落实河长制工作要求，加强河道巡查，对雨污合流情况发现一起、溯源一起、整治一起。区生态环境局加强对城区河道开展水质监测，关注水质变化情况并及时通报。</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区城管委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区发改委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区住建委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b w:val="0"/>
                <w:bCs w:val="0"/>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b w:val="0"/>
                <w:bCs w:val="0"/>
                <w:i w:val="0"/>
                <w:iCs w:val="0"/>
                <w:color w:val="auto"/>
                <w:sz w:val="28"/>
                <w:szCs w:val="28"/>
                <w:highlight w:val="none"/>
                <w:lang w:val="en-US" w:eastAsia="zh-CN"/>
              </w:rPr>
            </w:pPr>
            <w:r>
              <w:rPr>
                <w:rFonts w:hint="default" w:ascii="宋体" w:hAnsi="宋体" w:eastAsia="仿宋_GB2312" w:cs="宋体"/>
                <w:b w:val="0"/>
                <w:bCs w:val="0"/>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强化</w:t>
            </w:r>
            <w:r>
              <w:rPr>
                <w:rFonts w:hint="eastAsia" w:eastAsia="仿宋_GB2312"/>
                <w:color w:val="auto"/>
                <w:sz w:val="28"/>
                <w:szCs w:val="28"/>
                <w:highlight w:val="none"/>
                <w:lang w:eastAsia="zh-CN"/>
              </w:rPr>
              <w:t>监管</w:t>
            </w:r>
            <w:r>
              <w:rPr>
                <w:rFonts w:hint="eastAsia" w:eastAsia="仿宋_GB2312"/>
                <w:color w:val="auto"/>
                <w:sz w:val="28"/>
                <w:szCs w:val="28"/>
                <w:highlight w:val="none"/>
              </w:rPr>
              <w:t>执法</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pacing w:val="-6"/>
                <w:sz w:val="28"/>
                <w:szCs w:val="28"/>
                <w:highlight w:val="none"/>
              </w:rPr>
            </w:pPr>
            <w:r>
              <w:rPr>
                <w:rFonts w:hint="eastAsia" w:eastAsia="仿宋_GB2312" w:cs="Times New Roman"/>
                <w:color w:val="auto"/>
                <w:sz w:val="28"/>
                <w:szCs w:val="28"/>
                <w:highlight w:val="none"/>
                <w:lang w:val="en-US" w:eastAsia="zh-CN"/>
              </w:rPr>
              <w:t>巩固多部门联合执法机制，加大环境执法力度。以水环境问题为导向，开展流域</w:t>
            </w:r>
            <w:r>
              <w:rPr>
                <w:rFonts w:hint="default" w:eastAsia="仿宋_GB2312" w:cs="Times New Roman"/>
                <w:color w:val="auto"/>
                <w:sz w:val="28"/>
                <w:szCs w:val="28"/>
                <w:highlight w:val="none"/>
                <w:lang w:val="en-US" w:eastAsia="zh-CN"/>
              </w:rPr>
              <w:t>“</w:t>
            </w:r>
            <w:r>
              <w:rPr>
                <w:rFonts w:hint="eastAsia" w:eastAsia="仿宋_GB2312" w:cs="Times New Roman"/>
                <w:color w:val="auto"/>
                <w:sz w:val="28"/>
                <w:szCs w:val="28"/>
                <w:highlight w:val="none"/>
                <w:lang w:val="en-US" w:eastAsia="zh-CN"/>
              </w:rPr>
              <w:t>点穴</w:t>
            </w:r>
            <w:r>
              <w:rPr>
                <w:rFonts w:hint="default" w:eastAsia="仿宋_GB2312" w:cs="Times New Roman"/>
                <w:color w:val="auto"/>
                <w:sz w:val="28"/>
                <w:szCs w:val="28"/>
                <w:highlight w:val="none"/>
                <w:lang w:val="en-US" w:eastAsia="zh-CN"/>
              </w:rPr>
              <w:t>”</w:t>
            </w:r>
            <w:r>
              <w:rPr>
                <w:rFonts w:hint="eastAsia" w:eastAsia="仿宋_GB2312" w:cs="Times New Roman"/>
                <w:color w:val="auto"/>
                <w:sz w:val="28"/>
                <w:szCs w:val="28"/>
                <w:highlight w:val="none"/>
                <w:lang w:val="en-US" w:eastAsia="zh-CN"/>
              </w:rPr>
              <w:t>执法，重点对饮用水水源地、入河排污口、未纳管企业和农村污水治理设施等开展专项执法。</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区城管执法局</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密云水库综合执法大队</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区农业农村局</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s="Times New Roman"/>
                <w:color w:val="auto"/>
                <w:sz w:val="28"/>
                <w:szCs w:val="28"/>
                <w:highlight w:val="none"/>
                <w:lang w:val="en-US" w:eastAsia="zh-CN"/>
              </w:rPr>
              <w:t>严厉打击向城市雨水管道排污及倾倒垃圾、向河道倾倒及填埋垃圾等违法行为，切实降低初期雨水污染对河流水质的影响。</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区城管执法局</w:t>
            </w:r>
          </w:p>
          <w:p>
            <w:pPr>
              <w:spacing w:line="400" w:lineRule="exact"/>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 xml:space="preserve"> </w:t>
            </w:r>
            <w:r>
              <w:rPr>
                <w:rFonts w:hint="eastAsia" w:eastAsia="仿宋_GB2312"/>
                <w:color w:val="auto"/>
                <w:sz w:val="28"/>
                <w:szCs w:val="28"/>
                <w:highlight w:val="none"/>
                <w:lang w:val="en-US" w:eastAsia="zh-CN"/>
              </w:rPr>
              <w:t>相关镇街（地区）</w:t>
            </w:r>
          </w:p>
          <w:p>
            <w:pPr>
              <w:spacing w:line="400" w:lineRule="exact"/>
              <w:jc w:val="center"/>
              <w:rPr>
                <w:rFonts w:eastAsia="仿宋_GB2312"/>
                <w:color w:val="auto"/>
                <w:spacing w:val="-20"/>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Hans"/>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629"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p>
        </w:tc>
        <w:tc>
          <w:tcPr>
            <w:tcW w:w="854" w:type="dxa"/>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落实监督指导</w:t>
            </w: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b/>
                <w:bCs/>
                <w:i w:val="0"/>
                <w:iCs w:val="0"/>
                <w:color w:val="auto"/>
                <w:sz w:val="28"/>
                <w:szCs w:val="28"/>
                <w:highlight w:val="none"/>
              </w:rPr>
            </w:pPr>
            <w:r>
              <w:rPr>
                <w:rFonts w:hint="eastAsia" w:eastAsia="仿宋_GB2312"/>
                <w:color w:val="auto"/>
                <w:sz w:val="28"/>
                <w:szCs w:val="28"/>
                <w:highlight w:val="none"/>
                <w:lang w:val="en-US" w:eastAsia="zh-CN"/>
              </w:rPr>
              <w:t>按照相关要求对</w:t>
            </w:r>
            <w:r>
              <w:rPr>
                <w:rFonts w:hint="eastAsia" w:eastAsia="仿宋_GB2312"/>
                <w:color w:val="auto"/>
                <w:sz w:val="28"/>
                <w:szCs w:val="28"/>
                <w:highlight w:val="none"/>
              </w:rPr>
              <w:t>水环境质量</w:t>
            </w:r>
            <w:r>
              <w:rPr>
                <w:rFonts w:hint="eastAsia" w:eastAsia="仿宋_GB2312"/>
                <w:color w:val="auto"/>
                <w:sz w:val="28"/>
                <w:szCs w:val="28"/>
                <w:highlight w:val="none"/>
                <w:lang w:eastAsia="zh-CN"/>
              </w:rPr>
              <w:t>全市</w:t>
            </w:r>
            <w:r>
              <w:rPr>
                <w:rFonts w:hint="eastAsia" w:eastAsia="仿宋_GB2312"/>
                <w:color w:val="auto"/>
                <w:sz w:val="28"/>
                <w:szCs w:val="28"/>
                <w:highlight w:val="none"/>
              </w:rPr>
              <w:t>排名</w:t>
            </w:r>
            <w:r>
              <w:rPr>
                <w:rFonts w:hint="eastAsia" w:eastAsia="仿宋_GB2312"/>
                <w:color w:val="auto"/>
                <w:sz w:val="28"/>
                <w:szCs w:val="28"/>
                <w:highlight w:val="none"/>
                <w:lang w:eastAsia="zh-CN"/>
              </w:rPr>
              <w:t>靠后，辖区水环境质量超标（或有恶化趋势）的</w:t>
            </w:r>
            <w:r>
              <w:rPr>
                <w:rFonts w:hint="eastAsia" w:eastAsia="仿宋_GB2312"/>
                <w:color w:val="auto"/>
                <w:sz w:val="28"/>
                <w:szCs w:val="28"/>
                <w:highlight w:val="none"/>
                <w:lang w:val="en-US" w:eastAsia="zh-CN"/>
              </w:rPr>
              <w:t>镇街（地区）、中关村密云园</w:t>
            </w:r>
            <w:r>
              <w:rPr>
                <w:rFonts w:hint="eastAsia" w:eastAsia="仿宋_GB2312"/>
                <w:color w:val="auto"/>
                <w:sz w:val="28"/>
                <w:szCs w:val="28"/>
                <w:highlight w:val="none"/>
                <w:lang w:eastAsia="zh-CN"/>
              </w:rPr>
              <w:t>进行</w:t>
            </w:r>
            <w:r>
              <w:rPr>
                <w:rFonts w:hint="eastAsia" w:eastAsia="仿宋_GB2312"/>
                <w:color w:val="auto"/>
                <w:sz w:val="28"/>
                <w:szCs w:val="28"/>
                <w:highlight w:val="none"/>
              </w:rPr>
              <w:t>通报。</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ind w:left="-110" w:leftChars="-50" w:right="-110" w:rightChars="-50"/>
              <w:jc w:val="center"/>
              <w:rPr>
                <w:rFonts w:eastAsia="仿宋_GB2312"/>
                <w:color w:val="auto"/>
                <w:sz w:val="28"/>
                <w:szCs w:val="28"/>
                <w:highlight w:val="none"/>
              </w:rPr>
            </w:pPr>
            <w:r>
              <w:rPr>
                <w:rFonts w:hint="eastAsia" w:eastAsia="仿宋_GB2312"/>
                <w:color w:val="auto"/>
                <w:sz w:val="28"/>
                <w:szCs w:val="28"/>
                <w:highlight w:val="none"/>
              </w:rPr>
              <w:t>长期</w:t>
            </w:r>
          </w:p>
          <w:p>
            <w:pPr>
              <w:spacing w:line="400" w:lineRule="exact"/>
              <w:ind w:left="-110" w:leftChars="-50" w:right="-110" w:rightChars="-50"/>
              <w:jc w:val="center"/>
              <w:rPr>
                <w:rFonts w:eastAsia="仿宋_GB2312"/>
                <w:b/>
                <w:bCs/>
                <w:i w:val="0"/>
                <w:iCs w:val="0"/>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bCs/>
                <w:i w:val="0"/>
                <w:iCs w:val="0"/>
                <w:color w:val="auto"/>
                <w:sz w:val="28"/>
                <w:szCs w:val="28"/>
                <w:highlight w:val="none"/>
                <w:lang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区水务局</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adjustRightInd w:val="0"/>
              <w:snapToGrid w:val="0"/>
              <w:jc w:val="center"/>
              <w:rPr>
                <w:rFonts w:hint="default" w:eastAsia="仿宋_GB2312"/>
                <w:b/>
                <w:bCs/>
                <w:i w:val="0"/>
                <w:iCs w:val="0"/>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15</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保障重点河流生态流量</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olor w:val="auto"/>
                <w:sz w:val="28"/>
                <w:szCs w:val="28"/>
                <w:highlight w:val="none"/>
                <w:lang w:val="en-US" w:eastAsia="zh-CN"/>
              </w:rPr>
              <w:t>根据水利部和海委统一部署，配合市级部门推动潮白河、蓟运河流域生态环境复苏，建立主要河道生态流量目标，逐步恢复河道生态基流。继续实施潮白河流域生态补水。</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p>
            <w:pPr>
              <w:keepNext w:val="0"/>
              <w:keepLines w:val="0"/>
              <w:pageBreakBefore w:val="0"/>
              <w:widowControl/>
              <w:kinsoku/>
              <w:wordWrap/>
              <w:overflowPunct/>
              <w:topLinePunct w:val="0"/>
              <w:autoSpaceDE w:val="0"/>
              <w:autoSpaceDN w:val="0"/>
              <w:bidi w:val="0"/>
              <w:adjustRightInd/>
              <w:snapToGrid/>
              <w:spacing w:line="360" w:lineRule="exact"/>
              <w:jc w:val="center"/>
              <w:textAlignment w:val="center"/>
              <w:outlineLvl w:val="9"/>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eastAsia="仿宋_GB2312"/>
                <w:color w:val="auto"/>
                <w:sz w:val="28"/>
                <w:szCs w:val="28"/>
                <w:highlight w:val="none"/>
              </w:rPr>
            </w:pPr>
            <w:r>
              <w:rPr>
                <w:rFonts w:hint="eastAsia" w:eastAsia="仿宋_GB2312"/>
                <w:color w:val="auto"/>
                <w:sz w:val="28"/>
                <w:szCs w:val="28"/>
                <w:highlight w:val="none"/>
                <w:lang w:val="en-US" w:eastAsia="zh-CN"/>
              </w:rPr>
              <w:t>统筹生活、生产、生态用水配置，保障河湖生态用水。推进区域再生水循环利用，鼓励再生水用于河湖生态补水。</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区水务局</w:t>
            </w:r>
          </w:p>
        </w:tc>
        <w:tc>
          <w:tcPr>
            <w:tcW w:w="2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8"/>
                <w:szCs w:val="28"/>
                <w:highlight w:val="none"/>
                <w:lang w:val="en-US" w:eastAsia="zh-CN"/>
              </w:rPr>
            </w:pPr>
            <w:r>
              <w:rPr>
                <w:rFonts w:hint="eastAsia"/>
                <w:color w:val="auto"/>
                <w:sz w:val="28"/>
                <w:szCs w:val="28"/>
                <w:highlight w:val="none"/>
                <w:lang w:val="en-US" w:eastAsia="zh-CN"/>
              </w:rPr>
              <w:t>区生态环境局</w:t>
            </w:r>
          </w:p>
          <w:p>
            <w:pPr>
              <w:pStyle w:val="9"/>
              <w:jc w:val="center"/>
              <w:rPr>
                <w:rFonts w:hint="eastAsia"/>
                <w:color w:val="auto"/>
                <w:sz w:val="28"/>
                <w:szCs w:val="28"/>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16</w:t>
            </w:r>
          </w:p>
        </w:tc>
        <w:tc>
          <w:tcPr>
            <w:tcW w:w="854" w:type="dxa"/>
            <w:vMerge w:val="restart"/>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ascii="仿宋_GB2312" w:eastAsia="仿宋_GB2312"/>
                <w:color w:val="auto"/>
                <w:sz w:val="28"/>
                <w:szCs w:val="28"/>
                <w:highlight w:val="none"/>
              </w:rPr>
              <w:t>提升水生态系统健康</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olor w:val="auto"/>
                <w:sz w:val="28"/>
                <w:szCs w:val="28"/>
                <w:highlight w:val="none"/>
                <w:lang w:val="en-US" w:eastAsia="zh-CN"/>
              </w:rPr>
              <w:t>配合市水务局明确潮白河等河流水生态空间管控边界。立足山水林田湖草沙一体化保护修复，</w:t>
            </w:r>
            <w:r>
              <w:rPr>
                <w:rFonts w:hint="eastAsia"/>
                <w:color w:val="auto"/>
                <w:sz w:val="28"/>
                <w:szCs w:val="28"/>
                <w:highlight w:val="none"/>
                <w:lang w:val="en-US" w:eastAsia="zh-CN"/>
              </w:rPr>
              <w:t>配合</w:t>
            </w:r>
            <w:r>
              <w:rPr>
                <w:rFonts w:hint="eastAsia" w:eastAsia="仿宋_GB2312"/>
                <w:color w:val="auto"/>
                <w:sz w:val="28"/>
                <w:szCs w:val="28"/>
                <w:highlight w:val="none"/>
                <w:lang w:val="en-US" w:eastAsia="zh-CN"/>
              </w:rPr>
              <w:t>编制潮白河流域水生态保护修复规划。</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仿宋_GB2312"/>
                <w:color w:val="auto"/>
                <w:sz w:val="28"/>
                <w:szCs w:val="28"/>
                <w:highlight w:val="none"/>
              </w:rPr>
            </w:pPr>
            <w:r>
              <w:rPr>
                <w:rFonts w:hint="eastAsia" w:eastAsia="仿宋_GB2312" w:cs="Times New Roman"/>
                <w:color w:val="auto"/>
                <w:sz w:val="28"/>
                <w:szCs w:val="28"/>
                <w:highlight w:val="none"/>
                <w:lang w:val="en-US" w:eastAsia="zh-CN"/>
              </w:rPr>
              <w:t>区水务局</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eastAsia="仿宋_GB2312"/>
                <w:color w:val="auto"/>
                <w:sz w:val="28"/>
                <w:szCs w:val="28"/>
                <w:highlight w:val="none"/>
                <w:lang w:val="en-US" w:eastAsia="zh-CN"/>
              </w:rPr>
            </w:pP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区发改委</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区规自分局</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区园林绿化局</w:t>
            </w:r>
          </w:p>
          <w:p>
            <w:pPr>
              <w:adjustRightInd w:val="0"/>
              <w:snapToGrid w:val="0"/>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区生态环境局</w:t>
            </w:r>
          </w:p>
          <w:p>
            <w:pPr>
              <w:pStyle w:val="9"/>
              <w:jc w:val="center"/>
              <w:rPr>
                <w:rFonts w:hint="eastAsia"/>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w:t>
            </w:r>
            <w:r>
              <w:rPr>
                <w:rFonts w:hint="eastAsia" w:ascii="仿宋_GB2312" w:eastAsia="仿宋_GB2312"/>
                <w:color w:val="auto"/>
                <w:sz w:val="28"/>
                <w:szCs w:val="28"/>
                <w:highlight w:val="none"/>
                <w:lang w:eastAsia="zh-CN"/>
              </w:rPr>
              <w:t>水生态修复</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推进冯家峪镇</w:t>
            </w:r>
            <w:r>
              <w:rPr>
                <w:rFonts w:hint="eastAsia" w:ascii="仿宋_GB2312" w:eastAsia="仿宋_GB2312"/>
                <w:color w:val="auto"/>
                <w:sz w:val="28"/>
                <w:szCs w:val="28"/>
                <w:highlight w:val="none"/>
              </w:rPr>
              <w:t>白马关河</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石城镇</w:t>
            </w:r>
            <w:r>
              <w:rPr>
                <w:rFonts w:hint="eastAsia" w:ascii="仿宋_GB2312" w:eastAsia="仿宋_GB2312"/>
                <w:color w:val="auto"/>
                <w:sz w:val="28"/>
                <w:szCs w:val="28"/>
                <w:highlight w:val="none"/>
                <w:lang w:eastAsia="zh-CN"/>
              </w:rPr>
              <w:t>生态修复</w:t>
            </w:r>
            <w:r>
              <w:rPr>
                <w:rFonts w:hint="eastAsia" w:ascii="仿宋_GB2312" w:eastAsia="仿宋_GB2312"/>
                <w:color w:val="auto"/>
                <w:sz w:val="28"/>
                <w:szCs w:val="28"/>
                <w:highlight w:val="none"/>
              </w:rPr>
              <w:t>（一期）</w:t>
            </w:r>
            <w:r>
              <w:rPr>
                <w:rFonts w:hint="eastAsia" w:ascii="仿宋_GB2312" w:eastAsia="仿宋_GB2312"/>
                <w:color w:val="auto"/>
                <w:sz w:val="28"/>
                <w:szCs w:val="28"/>
                <w:highlight w:val="none"/>
                <w:lang w:eastAsia="zh-CN"/>
              </w:rPr>
              <w:t>、北庄镇清水河生态修复项目（一期）、太师屯镇清水河南岸中水回用、古北口镇汤河生态修复项目（一期）、密云区饮用水源地（巨各庄镇龙塘子自然村）生态修复项目。</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持续推进</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s="Times New Roman"/>
                <w:color w:val="auto"/>
                <w:sz w:val="28"/>
                <w:szCs w:val="28"/>
                <w:highlight w:val="none"/>
                <w:lang w:val="en-US" w:eastAsia="zh-Hans"/>
              </w:rPr>
            </w:pPr>
            <w:r>
              <w:rPr>
                <w:rFonts w:hint="eastAsia" w:eastAsia="仿宋_GB2312" w:cs="Times New Roman"/>
                <w:color w:val="auto"/>
                <w:sz w:val="28"/>
                <w:szCs w:val="28"/>
                <w:highlight w:val="none"/>
                <w:lang w:val="en-US" w:eastAsia="zh-CN"/>
              </w:rPr>
              <w:t>冯家峪</w:t>
            </w:r>
            <w:r>
              <w:rPr>
                <w:rFonts w:hint="eastAsia" w:eastAsia="仿宋_GB2312" w:cs="Times New Roman"/>
                <w:color w:val="auto"/>
                <w:sz w:val="28"/>
                <w:szCs w:val="28"/>
                <w:highlight w:val="none"/>
                <w:lang w:val="en-US" w:eastAsia="zh-Hans"/>
              </w:rPr>
              <w:t>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石城镇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北庄镇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太师屯镇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古北口镇</w:t>
            </w:r>
          </w:p>
          <w:p>
            <w:pPr>
              <w:spacing w:line="400" w:lineRule="exact"/>
              <w:jc w:val="center"/>
              <w:rPr>
                <w:rFonts w:hint="eastAsia"/>
                <w:color w:val="auto"/>
                <w:sz w:val="28"/>
                <w:szCs w:val="28"/>
                <w:highlight w:val="none"/>
                <w:lang w:val="en-US" w:eastAsia="zh-CN"/>
              </w:rPr>
            </w:pPr>
            <w:r>
              <w:rPr>
                <w:rFonts w:hint="eastAsia" w:eastAsia="仿宋_GB2312" w:cs="Times New Roman"/>
                <w:color w:val="auto"/>
                <w:sz w:val="28"/>
                <w:szCs w:val="28"/>
                <w:highlight w:val="none"/>
                <w:lang w:val="en-US" w:eastAsia="zh-CN"/>
              </w:rPr>
              <w:t>巨各庄镇</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 xml:space="preserve">区水务局 </w:t>
            </w:r>
            <w:r>
              <w:rPr>
                <w:rFonts w:hint="default" w:eastAsia="仿宋_GB2312"/>
                <w:color w:val="auto"/>
                <w:sz w:val="28"/>
                <w:szCs w:val="28"/>
                <w:highlight w:val="none"/>
                <w:lang w:eastAsia="zh-CN"/>
              </w:rPr>
              <w:t xml:space="preserve">  </w:t>
            </w:r>
            <w:r>
              <w:rPr>
                <w:rFonts w:hint="eastAsia" w:eastAsia="仿宋_GB2312"/>
                <w:color w:val="auto"/>
                <w:sz w:val="28"/>
                <w:szCs w:val="28"/>
                <w:highlight w:val="none"/>
                <w:lang w:val="en-US" w:eastAsia="zh-CN"/>
              </w:rPr>
              <w:t xml:space="preserve"> </w:t>
            </w:r>
            <w:r>
              <w:rPr>
                <w:rFonts w:hint="default" w:eastAsia="仿宋_GB2312"/>
                <w:color w:val="auto"/>
                <w:sz w:val="28"/>
                <w:szCs w:val="28"/>
                <w:highlight w:val="none"/>
                <w:lang w:eastAsia="zh-CN"/>
              </w:rPr>
              <w:t xml:space="preserve">      </w:t>
            </w:r>
            <w:r>
              <w:rPr>
                <w:rFonts w:hint="eastAsia" w:eastAsia="仿宋_GB2312"/>
                <w:color w:val="auto"/>
                <w:sz w:val="28"/>
                <w:szCs w:val="28"/>
                <w:highlight w:val="none"/>
                <w:lang w:val="en-US" w:eastAsia="zh-CN"/>
              </w:rPr>
              <w:t xml:space="preserve">   </w:t>
            </w:r>
            <w:r>
              <w:rPr>
                <w:rFonts w:hint="eastAsia" w:eastAsia="仿宋_GB2312"/>
                <w:color w:val="auto"/>
                <w:sz w:val="28"/>
                <w:szCs w:val="28"/>
                <w:highlight w:val="none"/>
                <w:lang w:val="en-US" w:eastAsia="zh-Hans"/>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17</w:t>
            </w:r>
          </w:p>
        </w:tc>
        <w:tc>
          <w:tcPr>
            <w:tcW w:w="85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开展水生态监测评估</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outlineLvl w:val="9"/>
              <w:rPr>
                <w:rFonts w:hint="eastAsia" w:ascii="仿宋_GB2312" w:eastAsia="仿宋_GB2312"/>
                <w:color w:val="auto"/>
                <w:sz w:val="28"/>
                <w:szCs w:val="28"/>
                <w:highlight w:val="none"/>
              </w:rPr>
            </w:pPr>
            <w:r>
              <w:rPr>
                <w:rFonts w:hint="eastAsia" w:ascii="Calibri" w:hAnsi="Calibri" w:eastAsia="仿宋_GB2312" w:cs="Times New Roman"/>
                <w:color w:val="auto"/>
                <w:kern w:val="2"/>
                <w:sz w:val="28"/>
                <w:szCs w:val="28"/>
                <w:highlight w:val="none"/>
                <w:lang w:val="en-US" w:eastAsia="zh-CN" w:bidi="ar-SA"/>
              </w:rPr>
              <w:t>配合市生态环境局完善本市水生态环境质量监测及综合评价体系，开展水生态环境状况监测</w:t>
            </w:r>
            <w:r>
              <w:rPr>
                <w:rFonts w:hint="eastAsia" w:eastAsia="仿宋_GB2312" w:cs="Times New Roman"/>
                <w:color w:val="auto"/>
                <w:kern w:val="2"/>
                <w:sz w:val="28"/>
                <w:szCs w:val="28"/>
                <w:highlight w:val="none"/>
                <w:lang w:val="en-US" w:eastAsia="zh-CN" w:bidi="ar-SA"/>
              </w:rPr>
              <w:t>、</w:t>
            </w:r>
            <w:r>
              <w:rPr>
                <w:rFonts w:hint="eastAsia" w:ascii="Calibri" w:hAnsi="Calibri" w:eastAsia="仿宋_GB2312" w:cs="Times New Roman"/>
                <w:color w:val="auto"/>
                <w:kern w:val="2"/>
                <w:sz w:val="28"/>
                <w:szCs w:val="28"/>
                <w:highlight w:val="none"/>
                <w:lang w:val="en-US" w:eastAsia="zh-CN" w:bidi="ar-SA"/>
              </w:rPr>
              <w:t>评价。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color w:val="auto"/>
                <w:sz w:val="28"/>
                <w:szCs w:val="28"/>
                <w:highlight w:val="none"/>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密云水库综合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仿宋_GB2312" w:cs="宋体"/>
                <w:color w:val="auto"/>
                <w:kern w:val="0"/>
                <w:sz w:val="28"/>
                <w:szCs w:val="28"/>
                <w:highlight w:val="none"/>
                <w:lang w:val="en-US" w:eastAsia="zh-Hans" w:bidi="ar-SA"/>
              </w:rPr>
            </w:pPr>
            <w:r>
              <w:rPr>
                <w:rFonts w:hint="eastAsia" w:ascii="宋体" w:hAnsi="宋体" w:eastAsia="仿宋_GB2312" w:cs="宋体"/>
                <w:color w:val="auto"/>
                <w:kern w:val="0"/>
                <w:sz w:val="28"/>
                <w:szCs w:val="28"/>
                <w:highlight w:val="none"/>
                <w:lang w:val="en-US" w:eastAsia="zh-Hans"/>
              </w:rPr>
              <w:t>区财政局</w:t>
            </w:r>
            <w:r>
              <w:rPr>
                <w:rFonts w:hint="default" w:eastAsia="仿宋_GB2312"/>
                <w:color w:val="auto"/>
                <w:sz w:val="28"/>
                <w:szCs w:val="28"/>
                <w:highlight w:val="none"/>
                <w:lang w:eastAsia="zh-Hans"/>
              </w:rPr>
              <w:t xml:space="preserve">                 </w:t>
            </w:r>
            <w:r>
              <w:rPr>
                <w:rFonts w:hint="eastAsia" w:ascii="仿宋_GB2312" w:hAnsi="黑体" w:eastAsia="仿宋_GB2312" w:cs="仿宋_GB2312"/>
                <w:color w:val="auto"/>
                <w:sz w:val="28"/>
                <w:szCs w:val="28"/>
                <w:highlight w:val="none"/>
                <w:u w:val="none" w:color="auto"/>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62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color w:val="auto"/>
                <w:sz w:val="28"/>
                <w:szCs w:val="28"/>
                <w:highlight w:val="none"/>
                <w:lang w:eastAsia="zh-CN"/>
              </w:rPr>
            </w:pPr>
            <w:r>
              <w:rPr>
                <w:rFonts w:hint="eastAsia" w:eastAsia="仿宋_GB2312" w:cs="Times New Roman"/>
                <w:color w:val="auto"/>
                <w:kern w:val="2"/>
                <w:sz w:val="28"/>
                <w:szCs w:val="28"/>
                <w:highlight w:val="none"/>
                <w:lang w:val="en-US" w:eastAsia="zh-CN" w:bidi="ar-SA"/>
              </w:rPr>
              <w:t>继续</w:t>
            </w:r>
            <w:r>
              <w:rPr>
                <w:rFonts w:hint="eastAsia" w:ascii="Calibri" w:hAnsi="Calibri" w:eastAsia="仿宋_GB2312" w:cs="Times New Roman"/>
                <w:color w:val="auto"/>
                <w:kern w:val="2"/>
                <w:sz w:val="28"/>
                <w:szCs w:val="28"/>
                <w:highlight w:val="none"/>
                <w:lang w:val="en-US" w:eastAsia="zh-CN" w:bidi="ar-SA"/>
              </w:rPr>
              <w:t>实施覆盖到村（社区）的水环境质量监测评价。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仿宋_GB2312" w:cs="宋体"/>
                <w:color w:val="auto"/>
                <w:kern w:val="0"/>
                <w:sz w:val="28"/>
                <w:szCs w:val="28"/>
                <w:highlight w:val="none"/>
                <w:lang w:val="en-US" w:eastAsia="zh-Hans"/>
              </w:rPr>
            </w:pPr>
            <w:r>
              <w:rPr>
                <w:rFonts w:hint="eastAsia" w:eastAsia="仿宋_GB2312"/>
                <w:color w:val="auto"/>
                <w:sz w:val="28"/>
                <w:szCs w:val="28"/>
                <w:highlight w:val="no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62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outlineLvl w:val="9"/>
              <w:rPr>
                <w:rFonts w:hint="eastAsia" w:ascii="仿宋_GB2312" w:eastAsia="仿宋_GB2312"/>
                <w:color w:val="auto"/>
                <w:sz w:val="28"/>
                <w:szCs w:val="28"/>
                <w:highlight w:val="none"/>
                <w:lang w:eastAsia="zh-CN"/>
              </w:rPr>
            </w:pPr>
            <w:r>
              <w:rPr>
                <w:rFonts w:hint="eastAsia" w:eastAsia="仿宋_GB2312"/>
                <w:color w:val="auto"/>
                <w:sz w:val="28"/>
                <w:szCs w:val="28"/>
                <w:highlight w:val="none"/>
                <w:lang w:eastAsia="zh-CN"/>
              </w:rPr>
              <w:t>根据各级</w:t>
            </w:r>
            <w:r>
              <w:rPr>
                <w:rFonts w:hint="eastAsia"/>
                <w:color w:val="auto"/>
                <w:sz w:val="28"/>
                <w:szCs w:val="28"/>
                <w:highlight w:val="none"/>
                <w:lang w:val="en-US" w:eastAsia="zh-CN"/>
              </w:rPr>
              <w:t>水污染防治</w:t>
            </w:r>
            <w:r>
              <w:rPr>
                <w:rFonts w:hint="eastAsia" w:eastAsia="仿宋_GB2312"/>
                <w:color w:val="auto"/>
                <w:sz w:val="28"/>
                <w:szCs w:val="28"/>
                <w:highlight w:val="none"/>
                <w:lang w:eastAsia="zh-CN"/>
              </w:rPr>
              <w:t>工作要求开展各类水环境质量手工监测。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auto"/>
                <w:sz w:val="28"/>
                <w:szCs w:val="28"/>
                <w:highlight w:val="none"/>
                <w:lang w:val="en-US" w:eastAsia="zh-Hans"/>
              </w:rPr>
            </w:pPr>
            <w:r>
              <w:rPr>
                <w:rFonts w:hint="eastAsia" w:eastAsia="仿宋_GB2312"/>
                <w:color w:val="auto"/>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629"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18</w:t>
            </w:r>
          </w:p>
        </w:tc>
        <w:tc>
          <w:tcPr>
            <w:tcW w:w="85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加强区级生态环境监测能力建设</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按照市生态环境局要求，结合密云区实际情况，大力推进区级生态环境监测机构基础站、特色站监测能力建设，进一步提高数据支撑能力。</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kinsoku/>
              <w:wordWrap/>
              <w:overflowPunct/>
              <w:topLinePunct w:val="0"/>
              <w:bidi w:val="0"/>
              <w:spacing w:line="320" w:lineRule="exact"/>
              <w:ind w:left="0" w:leftChars="0" w:firstLine="0" w:firstLineChars="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区财政局</w:t>
            </w: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区市场监管局</w:t>
            </w:r>
          </w:p>
          <w:p>
            <w:pPr>
              <w:pStyle w:val="9"/>
              <w:keepNext w:val="0"/>
              <w:keepLines w:val="0"/>
              <w:pageBreakBefore w:val="0"/>
              <w:kinsoku/>
              <w:wordWrap/>
              <w:overflowPunct/>
              <w:topLinePunct w:val="0"/>
              <w:bidi w:val="0"/>
              <w:spacing w:line="320" w:lineRule="exact"/>
              <w:jc w:val="center"/>
              <w:rPr>
                <w:rFonts w:hint="eastAsia"/>
                <w:color w:val="auto"/>
                <w:sz w:val="28"/>
                <w:szCs w:val="28"/>
                <w:highlight w:val="none"/>
                <w:lang w:val="en-US" w:eastAsia="zh-CN"/>
              </w:rPr>
            </w:pPr>
            <w:r>
              <w:rPr>
                <w:rFonts w:hint="eastAsia" w:eastAsia="仿宋_GB2312"/>
                <w:color w:val="auto"/>
                <w:sz w:val="28"/>
                <w:szCs w:val="28"/>
                <w:highlight w:val="none"/>
                <w:lang w:val="en-US" w:eastAsia="zh-CN"/>
              </w:rPr>
              <w:t>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5396" w:type="dxa"/>
            <w:gridSpan w:val="9"/>
            <w:tcBorders>
              <w:left w:val="single" w:color="auto" w:sz="4" w:space="0"/>
              <w:right w:val="single" w:color="auto" w:sz="4" w:space="0"/>
            </w:tcBorders>
            <w:vAlign w:val="center"/>
          </w:tcPr>
          <w:p>
            <w:pPr>
              <w:pStyle w:val="9"/>
              <w:keepNext w:val="0"/>
              <w:keepLines w:val="0"/>
              <w:pageBreakBefore w:val="0"/>
              <w:kinsoku/>
              <w:wordWrap/>
              <w:overflowPunct/>
              <w:topLinePunct w:val="0"/>
              <w:bidi w:val="0"/>
              <w:spacing w:line="320" w:lineRule="exact"/>
              <w:ind w:left="0" w:leftChars="0" w:firstLine="0" w:firstLineChars="0"/>
              <w:jc w:val="center"/>
              <w:rPr>
                <w:rFonts w:hint="eastAsia" w:eastAsia="黑体"/>
                <w:color w:val="auto"/>
                <w:sz w:val="28"/>
                <w:szCs w:val="28"/>
                <w:highlight w:val="none"/>
                <w:lang w:val="en-US" w:eastAsia="zh-CN"/>
              </w:rPr>
            </w:pPr>
            <w:r>
              <w:rPr>
                <w:rFonts w:hint="eastAsia" w:eastAsia="黑体"/>
                <w:color w:val="auto"/>
                <w:sz w:val="28"/>
                <w:szCs w:val="28"/>
                <w:highlight w:val="none"/>
                <w:lang w:eastAsia="zh-CN"/>
              </w:rPr>
              <w:t>五</w:t>
            </w:r>
            <w:r>
              <w:rPr>
                <w:rFonts w:hint="eastAsia" w:eastAsia="黑体"/>
                <w:color w:val="auto"/>
                <w:sz w:val="28"/>
                <w:szCs w:val="28"/>
                <w:highlight w:val="none"/>
              </w:rPr>
              <w:t>、</w:t>
            </w:r>
            <w:r>
              <w:rPr>
                <w:rFonts w:hint="eastAsia" w:eastAsia="黑体"/>
                <w:color w:val="auto"/>
                <w:sz w:val="28"/>
                <w:szCs w:val="28"/>
                <w:highlight w:val="none"/>
                <w:lang w:eastAsia="zh-CN"/>
              </w:rPr>
              <w:t>强化督查考核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629"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19</w:t>
            </w:r>
          </w:p>
        </w:tc>
        <w:tc>
          <w:tcPr>
            <w:tcW w:w="854"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强化督查考核</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left"/>
              <w:rPr>
                <w:rFonts w:hint="eastAsia" w:eastAsia="仿宋_GB2312"/>
                <w:color w:val="auto"/>
                <w:sz w:val="28"/>
                <w:szCs w:val="28"/>
                <w:highlight w:val="none"/>
                <w:lang w:eastAsia="zh-CN"/>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水</w:t>
            </w:r>
            <w:r>
              <w:rPr>
                <w:rFonts w:hint="eastAsia"/>
                <w:i w:val="0"/>
                <w:iCs w:val="0"/>
                <w:color w:val="auto"/>
                <w:spacing w:val="-2"/>
                <w:sz w:val="28"/>
                <w:highlight w:val="none"/>
              </w:rPr>
              <w:t>污染防治各项措施纳入年度重点督查计划。将年度重点工作纳入全区党建统领综合考核评价体系，对各镇街（地区）、相关部门进行考核评价</w:t>
            </w:r>
            <w:r>
              <w:rPr>
                <w:rFonts w:hint="eastAsia" w:ascii="仿宋_GB2312" w:eastAsia="仿宋_GB2312" w:cs="仿宋_GB2312"/>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ascii="仿宋_GB2312" w:eastAsia="仿宋_GB2312" w:cs="仿宋_GB2312"/>
                <w:color w:val="auto"/>
                <w:sz w:val="28"/>
                <w:szCs w:val="28"/>
                <w:highlight w:val="none"/>
              </w:rPr>
              <w:t>年底前</w:t>
            </w:r>
          </w:p>
        </w:tc>
        <w:tc>
          <w:tcPr>
            <w:tcW w:w="22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ascii="仿宋_GB2312" w:eastAsia="仿宋_GB2312" w:cs="仿宋_GB2312"/>
                <w:color w:val="auto"/>
                <w:sz w:val="28"/>
                <w:szCs w:val="28"/>
                <w:highlight w:val="none"/>
              </w:rPr>
              <w:t>区生态环境局</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区生态环境局</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w:t>
            </w:r>
            <w:r>
              <w:rPr>
                <w:rFonts w:hint="eastAsia" w:ascii="仿宋_GB2312" w:eastAsia="仿宋_GB2312" w:cs="仿宋_GB2312"/>
                <w:color w:val="auto"/>
                <w:sz w:val="28"/>
                <w:szCs w:val="28"/>
                <w:highlight w:val="none"/>
                <w:lang w:val="en-US" w:eastAsia="zh-CN"/>
              </w:rPr>
              <w:t>委</w:t>
            </w:r>
            <w:r>
              <w:rPr>
                <w:rFonts w:hint="eastAsia" w:ascii="仿宋_GB2312" w:eastAsia="仿宋_GB2312" w:cs="仿宋_GB2312"/>
                <w:color w:val="auto"/>
                <w:sz w:val="28"/>
                <w:szCs w:val="28"/>
                <w:highlight w:val="none"/>
              </w:rPr>
              <w:t>办</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区政府办</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区发改委</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bl>
    <w:p>
      <w:pPr>
        <w:rPr>
          <w:rFonts w:hint="eastAsia"/>
          <w:color w:val="auto"/>
          <w:highlight w:val="none"/>
        </w:rPr>
      </w:pPr>
    </w:p>
    <w:p>
      <w:pPr>
        <w:pStyle w:val="2"/>
        <w:rPr>
          <w:rFonts w:hint="eastAsia"/>
          <w:color w:val="auto"/>
          <w:highlight w:val="none"/>
        </w:rPr>
      </w:pPr>
    </w:p>
    <w:p>
      <w:pPr>
        <w:pStyle w:val="2"/>
        <w:rPr>
          <w:rFonts w:hint="eastAsia" w:eastAsia="黑体"/>
          <w:color w:val="auto"/>
          <w:sz w:val="32"/>
          <w:szCs w:val="32"/>
          <w:highlight w:val="none"/>
          <w:lang w:val="en-US" w:eastAsia="zh-CN"/>
        </w:rPr>
      </w:pPr>
      <w:r>
        <w:rPr>
          <w:rFonts w:hint="eastAsia" w:ascii="黑体" w:hAnsi="黑体" w:eastAsia="黑体" w:cs="方正小标宋简体"/>
          <w:color w:val="auto"/>
          <w:sz w:val="32"/>
          <w:szCs w:val="32"/>
          <w:highlight w:val="none"/>
        </w:rPr>
        <w:t>附件</w:t>
      </w:r>
      <w:r>
        <w:rPr>
          <w:rFonts w:hint="eastAsia" w:ascii="黑体" w:hAnsi="黑体" w:eastAsia="黑体" w:cs="方正小标宋简体"/>
          <w:color w:val="auto"/>
          <w:sz w:val="32"/>
          <w:szCs w:val="32"/>
          <w:highlight w:val="none"/>
          <w:lang w:val="en-US" w:eastAsia="zh-CN"/>
        </w:rPr>
        <w:t>4</w:t>
      </w:r>
    </w:p>
    <w:p>
      <w:pPr>
        <w:jc w:val="center"/>
        <w:rPr>
          <w:rFonts w:hint="eastAsia" w:eastAsia="方正小标宋_GBK"/>
          <w:color w:val="auto"/>
          <w:sz w:val="32"/>
          <w:szCs w:val="32"/>
          <w:highlight w:val="none"/>
          <w:lang w:eastAsia="zh-CN"/>
        </w:rPr>
      </w:pPr>
      <w:r>
        <w:rPr>
          <w:rFonts w:hint="eastAsia" w:ascii="方正小标宋_GBK" w:hAnsi="方正小标宋_GBK" w:eastAsia="方正小标宋_GBK" w:cs="方正小标宋_GBK"/>
          <w:color w:val="auto"/>
          <w:sz w:val="44"/>
          <w:szCs w:val="44"/>
          <w:highlight w:val="none"/>
        </w:rPr>
        <w:t>北京市密云区土壤污染防治2023年行动计划</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tbl>
      <w:tblPr>
        <w:tblStyle w:val="13"/>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43"/>
        <w:gridCol w:w="6021"/>
        <w:gridCol w:w="1313"/>
        <w:gridCol w:w="2039"/>
        <w:gridCol w:w="2381"/>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blHeader/>
          <w:jc w:val="center"/>
        </w:trPr>
        <w:tc>
          <w:tcPr>
            <w:tcW w:w="504"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序号</w:t>
            </w:r>
          </w:p>
        </w:tc>
        <w:tc>
          <w:tcPr>
            <w:tcW w:w="843" w:type="dxa"/>
            <w:vAlign w:val="center"/>
          </w:tcPr>
          <w:p>
            <w:pPr>
              <w:widowControl/>
              <w:spacing w:line="360" w:lineRule="exact"/>
              <w:ind w:left="-110" w:leftChars="-50" w:right="-110" w:rightChars="-5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重点</w:t>
            </w:r>
          </w:p>
          <w:p>
            <w:pPr>
              <w:widowControl/>
              <w:spacing w:line="360" w:lineRule="exact"/>
              <w:ind w:left="-110" w:leftChars="-50" w:right="-110" w:rightChars="-5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任务</w:t>
            </w:r>
          </w:p>
        </w:tc>
        <w:tc>
          <w:tcPr>
            <w:tcW w:w="6021"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工作措施</w:t>
            </w:r>
          </w:p>
        </w:tc>
        <w:tc>
          <w:tcPr>
            <w:tcW w:w="1313"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完成</w:t>
            </w:r>
          </w:p>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时限</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牵头部门</w:t>
            </w:r>
          </w:p>
        </w:tc>
        <w:tc>
          <w:tcPr>
            <w:tcW w:w="2381" w:type="dxa"/>
            <w:vAlign w:val="center"/>
          </w:tcPr>
          <w:p>
            <w:pPr>
              <w:widowControl/>
              <w:autoSpaceDE w:val="0"/>
              <w:snapToGrid w:val="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主责单位</w:t>
            </w:r>
          </w:p>
        </w:tc>
        <w:tc>
          <w:tcPr>
            <w:tcW w:w="2295" w:type="dxa"/>
            <w:vAlign w:val="center"/>
          </w:tcPr>
          <w:p>
            <w:pPr>
              <w:widowControl/>
              <w:autoSpaceDE w:val="0"/>
              <w:snapToGrid w:val="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目标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任务</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加强土壤污染源头防控，建设用地</w:t>
            </w:r>
            <w:r>
              <w:rPr>
                <w:rFonts w:hint="eastAsia" w:ascii="仿宋_GB2312" w:hAnsi="宋体" w:eastAsia="仿宋_GB2312" w:cs="宋体"/>
                <w:color w:val="auto"/>
                <w:kern w:val="0"/>
                <w:sz w:val="28"/>
                <w:szCs w:val="28"/>
                <w:highlight w:val="none"/>
                <w:lang w:val="en-US" w:eastAsia="zh-CN"/>
              </w:rPr>
              <w:t>和</w:t>
            </w:r>
            <w:r>
              <w:rPr>
                <w:rFonts w:hint="eastAsia" w:ascii="仿宋_GB2312" w:hAnsi="宋体" w:eastAsia="仿宋_GB2312" w:cs="宋体"/>
                <w:color w:val="auto"/>
                <w:kern w:val="0"/>
                <w:sz w:val="28"/>
                <w:szCs w:val="28"/>
                <w:highlight w:val="none"/>
              </w:rPr>
              <w:t>农用地土壤环境风险得到有效管控。土壤环境质量保持良好。</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lang w:val="en-US" w:eastAsia="zh-CN"/>
              </w:rPr>
              <w:t>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spacing w:val="-17"/>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spacing w:val="-17"/>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p>
            <w:pPr>
              <w:widowControl/>
              <w:autoSpaceDE w:val="0"/>
              <w:snapToGrid w:val="0"/>
              <w:jc w:val="center"/>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二、全面加强建设用地风险防控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2</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保障</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环境</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安全</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辖区</w:t>
            </w:r>
            <w:r>
              <w:rPr>
                <w:rFonts w:hint="eastAsia" w:ascii="仿宋_GB2312" w:hAnsi="宋体" w:eastAsia="仿宋_GB2312" w:cs="宋体"/>
                <w:color w:val="auto"/>
                <w:kern w:val="0"/>
                <w:sz w:val="28"/>
                <w:szCs w:val="28"/>
                <w:highlight w:val="none"/>
              </w:rPr>
              <w:t>重点建设用地安全利用得到有效保障，安全利用率达到100%，或者达到95%以上且当年依法处罚、整改到位。</w:t>
            </w:r>
          </w:p>
          <w:p>
            <w:pPr>
              <w:widowControl/>
              <w:spacing w:line="360" w:lineRule="exact"/>
              <w:jc w:val="lef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eastAsia="zh-CN"/>
              </w:rPr>
              <w:t>辖区</w:t>
            </w:r>
            <w:r>
              <w:rPr>
                <w:rFonts w:hint="eastAsia" w:ascii="仿宋_GB2312" w:hAnsi="宋体" w:eastAsia="仿宋_GB2312" w:cs="宋体"/>
                <w:color w:val="auto"/>
                <w:kern w:val="0"/>
                <w:sz w:val="28"/>
                <w:szCs w:val="28"/>
                <w:highlight w:val="none"/>
              </w:rPr>
              <w:t>污染地块安全利用率达到95%以上</w:t>
            </w:r>
            <w:r>
              <w:rPr>
                <w:rFonts w:hint="eastAsia" w:ascii="仿宋_GB2312" w:hAnsi="宋体" w:eastAsia="仿宋_GB2312" w:cs="宋体"/>
                <w:color w:val="auto"/>
                <w:kern w:val="0"/>
                <w:sz w:val="28"/>
                <w:szCs w:val="28"/>
                <w:highlight w:val="none"/>
                <w:lang w:eastAsia="zh-CN"/>
              </w:rPr>
              <w:t>。</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长期</w:t>
            </w:r>
          </w:p>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实施</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r>
              <w:rPr>
                <w:rFonts w:hint="eastAsia" w:ascii="仿宋_GB2312" w:hAnsi="宋体" w:eastAsia="仿宋_GB2312" w:cs="宋体"/>
                <w:color w:val="auto"/>
                <w:kern w:val="0"/>
                <w:sz w:val="28"/>
                <w:szCs w:val="28"/>
                <w:highlight w:val="none"/>
                <w:lang w:val="en-US" w:eastAsia="zh-CN"/>
              </w:rPr>
              <w:br w:type="textWrapping"/>
            </w:r>
            <w:r>
              <w:rPr>
                <w:rFonts w:hint="eastAsia" w:ascii="仿宋_GB2312" w:hAnsi="宋体" w:eastAsia="仿宋_GB2312" w:cs="宋体"/>
                <w:color w:val="auto"/>
                <w:kern w:val="0"/>
                <w:sz w:val="28"/>
                <w:szCs w:val="28"/>
                <w:highlight w:val="none"/>
                <w:lang w:val="en-US" w:eastAsia="zh-CN"/>
              </w:rPr>
              <w:t>区规自分局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r>
              <w:rPr>
                <w:rFonts w:hint="eastAsia" w:ascii="仿宋_GB2312" w:hAnsi="宋体" w:eastAsia="仿宋_GB2312" w:cs="宋体"/>
                <w:color w:val="auto"/>
                <w:kern w:val="0"/>
                <w:sz w:val="28"/>
                <w:szCs w:val="28"/>
                <w:highlight w:val="none"/>
                <w:lang w:val="en-US" w:eastAsia="zh-CN"/>
              </w:rPr>
              <w:br w:type="textWrapping"/>
            </w: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3</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工业</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vAlign w:val="center"/>
          </w:tcPr>
          <w:p>
            <w:pPr>
              <w:widowControl/>
              <w:spacing w:line="360" w:lineRule="exact"/>
              <w:jc w:val="left"/>
              <w:rPr>
                <w:rFonts w:hint="eastAsia" w:ascii="黑体" w:hAnsi="黑体" w:eastAsia="黑体" w:cs="宋体"/>
                <w:color w:val="auto"/>
                <w:kern w:val="0"/>
                <w:sz w:val="28"/>
                <w:szCs w:val="28"/>
                <w:highlight w:val="none"/>
              </w:rPr>
            </w:pPr>
            <w:r>
              <w:rPr>
                <w:rFonts w:hint="eastAsia" w:ascii="仿宋_GB2312" w:hAnsi="宋体" w:eastAsia="仿宋_GB2312" w:cs="宋体"/>
                <w:color w:val="auto"/>
                <w:kern w:val="0"/>
                <w:sz w:val="28"/>
                <w:szCs w:val="28"/>
                <w:highlight w:val="none"/>
              </w:rPr>
              <w:t>加强工业园区土壤环境管理。开发区的管理机构合理规划建设环境保护基础设施，巡查检查、定期监测，并督促开发区内工业企业落实土壤污染防治措施。</w:t>
            </w:r>
          </w:p>
        </w:tc>
        <w:tc>
          <w:tcPr>
            <w:tcW w:w="1313"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仿宋_GB2312" w:hAnsi="宋体" w:eastAsia="仿宋_GB2312" w:cs="宋体"/>
                <w:color w:val="auto"/>
                <w:kern w:val="0"/>
                <w:sz w:val="28"/>
                <w:szCs w:val="28"/>
                <w:highlight w:val="none"/>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黑体" w:hAnsi="黑体" w:eastAsia="黑体" w:cs="宋体"/>
                <w:b/>
                <w:bCs/>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预防新建工业企业土壤污染。新改扩建设项目，督促依照环境影响评价有关规定，开展土壤环境现状调查。新建涉及汽车整车制造、显示器制造、集成电路制造等行业的建设项目，督促在开工建设前完成土壤环境现状调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报告报区生态环境部门。</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规范管理土壤重点监管单位。更新土壤污染重点监管单位名录，督促、指导、规范重点监管单位履行法定义务，开展隐患排查、自行监测、有毒有害物质排放年度报告，建立土壤和地下水污染防治制度。</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防控涉重金属重点行业污染。持续推进涉镉等重金属行业企业排查整治，印发实施工作方案、更新排查整治清单，防止污染耕地；督促含电镀工序企业开展隐患排查，指导企业根据排查结果开展绿色化改造。</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3</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工业</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防控</w:t>
            </w: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jc w:val="left"/>
              <w:textAlignment w:val="auto"/>
              <w:outlineLvl w:val="9"/>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潜在污染工业企业土壤环境管理。督促涉及汽车整车制造、显示器制造、集成电路制造行业的在产企业建立土壤污染防治制度，依法开展自行监测。督促加油站、储油库等具有储存、输送含有毒有害物质的埋地管道和设施的所有者和运营者采取防渗漏措施，督促埋地储罐的所有者或运营者及时报告埋地储罐基本信息并定期巡查、检修、监测。</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3"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jc w:val="left"/>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落实《北京市密云区“十四五”时期“无废城市”建设实施方案》</w:t>
            </w:r>
            <w:r>
              <w:rPr>
                <w:rFonts w:hint="eastAsia" w:ascii="仿宋_GB2312" w:hAnsi="宋体" w:eastAsia="仿宋_GB2312" w:cs="宋体"/>
                <w:color w:val="auto"/>
                <w:kern w:val="0"/>
                <w:sz w:val="28"/>
                <w:szCs w:val="28"/>
                <w:highlight w:val="none"/>
                <w:lang w:val="en-US" w:eastAsia="zh-CN"/>
              </w:rPr>
              <w:t>文件要求</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持续推进</w:t>
            </w:r>
            <w:r>
              <w:rPr>
                <w:rFonts w:hint="eastAsia" w:ascii="仿宋_GB2312" w:hAnsi="宋体" w:eastAsia="仿宋_GB2312" w:cs="宋体"/>
                <w:color w:val="auto"/>
                <w:kern w:val="0"/>
                <w:sz w:val="28"/>
                <w:szCs w:val="28"/>
                <w:highlight w:val="none"/>
              </w:rPr>
              <w:t>“无废城市”建设</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开展“无废园区”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无废工厂”等“无废城市细胞”建设；</w:t>
            </w:r>
            <w:r>
              <w:rPr>
                <w:rFonts w:hint="eastAsia" w:ascii="仿宋_GB2312" w:hAnsi="宋体" w:eastAsia="仿宋_GB2312" w:cs="宋体"/>
                <w:color w:val="auto"/>
                <w:kern w:val="0"/>
                <w:sz w:val="28"/>
                <w:szCs w:val="28"/>
                <w:highlight w:val="none"/>
              </w:rPr>
              <w:t>搭建集工业源、农业源、生活源等各类固体废物全覆盖的一体化监管平台,实现对固体废物全生命周期的跟踪管理</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开展工业固体废物精细化管理，制定《密云区工业固体废物管理办法》及《密云区工业固体废物分类管理目录》，全面提升我区</w:t>
            </w:r>
            <w:r>
              <w:rPr>
                <w:rFonts w:hint="default" w:ascii="仿宋_GB2312" w:hAnsi="宋体" w:eastAsia="仿宋_GB2312" w:cs="宋体"/>
                <w:color w:val="auto"/>
                <w:kern w:val="0"/>
                <w:sz w:val="28"/>
                <w:szCs w:val="28"/>
                <w:highlight w:val="none"/>
                <w:lang w:val="en-US" w:eastAsia="zh-CN"/>
              </w:rPr>
              <w:fldChar w:fldCharType="begin"/>
            </w:r>
            <w:r>
              <w:rPr>
                <w:rFonts w:hint="default" w:ascii="仿宋_GB2312" w:hAnsi="宋体" w:eastAsia="仿宋_GB2312" w:cs="宋体"/>
                <w:color w:val="auto"/>
                <w:kern w:val="0"/>
                <w:sz w:val="28"/>
                <w:szCs w:val="28"/>
                <w:highlight w:val="none"/>
                <w:lang w:val="en-US" w:eastAsia="zh-CN"/>
              </w:rPr>
              <w:instrText xml:space="preserve"> HYPERLINK "https://huanbao.bjx.com.cn/topics/gygtfwgl/" \t "https://huanbao.bjx.com.cn/news/20211230/_blank" </w:instrText>
            </w:r>
            <w:r>
              <w:rPr>
                <w:rFonts w:hint="default" w:ascii="仿宋_GB2312" w:hAnsi="宋体" w:eastAsia="仿宋_GB2312" w:cs="宋体"/>
                <w:color w:val="auto"/>
                <w:kern w:val="0"/>
                <w:sz w:val="28"/>
                <w:szCs w:val="28"/>
                <w:highlight w:val="none"/>
                <w:lang w:val="en-US" w:eastAsia="zh-CN"/>
              </w:rPr>
              <w:fldChar w:fldCharType="separate"/>
            </w:r>
            <w:r>
              <w:rPr>
                <w:rFonts w:hint="default" w:ascii="仿宋_GB2312" w:hAnsi="宋体" w:eastAsia="仿宋_GB2312" w:cs="宋体"/>
                <w:color w:val="auto"/>
                <w:kern w:val="0"/>
                <w:sz w:val="28"/>
                <w:szCs w:val="28"/>
                <w:highlight w:val="none"/>
                <w:lang w:val="en-US" w:eastAsia="zh-CN"/>
              </w:rPr>
              <w:t>工业固体废物</w:t>
            </w:r>
            <w:r>
              <w:rPr>
                <w:rFonts w:hint="eastAsia" w:ascii="仿宋_GB2312" w:hAnsi="宋体" w:eastAsia="仿宋_GB2312" w:cs="宋体"/>
                <w:color w:val="auto"/>
                <w:kern w:val="0"/>
                <w:sz w:val="28"/>
                <w:szCs w:val="28"/>
                <w:highlight w:val="none"/>
                <w:lang w:val="en-US" w:eastAsia="zh-CN"/>
              </w:rPr>
              <w:t>环境</w:t>
            </w:r>
            <w:r>
              <w:rPr>
                <w:rFonts w:hint="default" w:ascii="仿宋_GB2312" w:hAnsi="宋体" w:eastAsia="仿宋_GB2312" w:cs="宋体"/>
                <w:color w:val="auto"/>
                <w:kern w:val="0"/>
                <w:sz w:val="28"/>
                <w:szCs w:val="28"/>
                <w:highlight w:val="none"/>
                <w:lang w:val="en-US" w:eastAsia="zh-CN"/>
              </w:rPr>
              <w:t>管理</w:t>
            </w:r>
            <w:r>
              <w:rPr>
                <w:rFonts w:hint="default" w:ascii="仿宋_GB2312" w:hAnsi="宋体" w:eastAsia="仿宋_GB2312" w:cs="宋体"/>
                <w:color w:val="auto"/>
                <w:kern w:val="0"/>
                <w:sz w:val="28"/>
                <w:szCs w:val="28"/>
                <w:highlight w:val="none"/>
                <w:lang w:val="en-US" w:eastAsia="zh-CN"/>
              </w:rPr>
              <w:fldChar w:fldCharType="end"/>
            </w:r>
            <w:r>
              <w:rPr>
                <w:rFonts w:hint="eastAsia" w:ascii="仿宋_GB2312" w:hAnsi="宋体" w:eastAsia="仿宋_GB2312" w:cs="宋体"/>
                <w:color w:val="auto"/>
                <w:kern w:val="0"/>
                <w:sz w:val="28"/>
                <w:szCs w:val="28"/>
                <w:highlight w:val="none"/>
                <w:lang w:val="en-US" w:eastAsia="zh-CN"/>
              </w:rPr>
              <w:t>水平。</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jc w:val="center"/>
              <w:textAlignment w:val="auto"/>
              <w:outlineLvl w:val="9"/>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both"/>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土壤污染综合防控工作小组成员单位</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ind w:left="0" w:leftChars="0" w:right="0" w:rightChars="0"/>
              <w:jc w:val="left"/>
              <w:textAlignment w:val="auto"/>
              <w:outlineLvl w:val="9"/>
              <w:rPr>
                <w:rFonts w:hint="eastAsia" w:ascii="仿宋_GB2312" w:hAnsi="宋体" w:eastAsia="仿宋_GB2312" w:cs="宋体"/>
                <w:color w:val="auto"/>
                <w:kern w:val="0"/>
                <w:sz w:val="28"/>
                <w:szCs w:val="28"/>
                <w:highlight w:val="none"/>
              </w:rPr>
            </w:pPr>
            <w:r>
              <w:rPr>
                <w:rFonts w:hint="eastAsia" w:hAnsi="宋体" w:cs="宋体"/>
                <w:color w:val="auto"/>
                <w:kern w:val="0"/>
                <w:sz w:val="28"/>
                <w:szCs w:val="28"/>
                <w:lang w:eastAsia="zh-CN"/>
              </w:rPr>
              <w:t>开展塑料污染治理规范化示范区创建</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hAnsi="宋体" w:cs="宋体"/>
                <w:color w:val="auto"/>
                <w:kern w:val="0"/>
                <w:sz w:val="28"/>
                <w:szCs w:val="28"/>
                <w:lang w:eastAsia="zh-CN"/>
              </w:rPr>
            </w:pPr>
            <w:r>
              <w:rPr>
                <w:rFonts w:hint="eastAsia" w:hAnsi="宋体" w:cs="宋体"/>
                <w:color w:val="auto"/>
                <w:kern w:val="0"/>
                <w:sz w:val="28"/>
                <w:szCs w:val="28"/>
                <w:lang w:eastAsia="zh-CN"/>
              </w:rPr>
              <w:t>区发改委</w:t>
            </w:r>
          </w:p>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lang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hAnsi="宋体" w:cs="宋体"/>
                <w:color w:val="auto"/>
                <w:kern w:val="0"/>
                <w:sz w:val="28"/>
                <w:szCs w:val="28"/>
                <w:lang w:val="en-US" w:eastAsia="zh-CN"/>
              </w:rPr>
              <w:t>创建</w:t>
            </w:r>
            <w:r>
              <w:rPr>
                <w:rFonts w:hint="eastAsia" w:hAnsi="宋体" w:cs="宋体"/>
                <w:color w:val="auto"/>
                <w:kern w:val="0"/>
                <w:sz w:val="28"/>
                <w:szCs w:val="28"/>
                <w:lang w:eastAsia="zh-CN"/>
              </w:rPr>
              <w:t>塑料污染治理规范化示范区工作领导小组成员单位</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504" w:type="dxa"/>
            <w:vMerge w:val="restart"/>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优化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风险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督促依法调查。在土地使用权收回、转让前，督促依法完成土壤污染状况调查；不涉及土地使用权收回、转让的，在规划指标确定前完成；法规实施前已经收回土地使用权或其他情形，在供地前完成。加强建设用地土壤污染状况调查质量监督检查，逐步增加建设用地安全利用面积。</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4420" w:type="dxa"/>
            <w:gridSpan w:val="2"/>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开展风险筛查。筛查2022年度关停退出工业企业原址用地，筛选土壤污染风险较高的地块。完善筛查台账，更新地块现状、开发利用情况、土壤污染状况调查等信息。</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504" w:type="dxa"/>
            <w:vMerge w:val="continue"/>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防控超筛选值地块风险。污染物含量超过建设用地土壤污染风险管控标准筛选值的，督促采取防止污染扩散等风险防范措施。暂不开发利用受污染建设用地，督促编制风险管控方案并实施；拟开发利用受污染建设用地，督促制定风险管控、修复方案并实施。</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穆家峪镇</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加强风险管控、修复过程监督管理。涉及基坑等危险性较大工程的，区生态环境部门加强土壤污染治理监督检查，区住房城乡建设部门加强施工安全监督检查。</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4420" w:type="dxa"/>
            <w:gridSpan w:val="2"/>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优化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风险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完善效果评估。涉及转运污染土壤的，督促按照承诺的时限和措施完成转运污染土壤处置、效果评估并备案。</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强化后期监管。对开展后期管理的地块，督促编制、备案并实施后期管理计划。</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5</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国土</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空间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规划</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统筹</w:t>
            </w: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强化规划统筹。</w:t>
            </w:r>
            <w:r>
              <w:rPr>
                <w:rFonts w:hint="eastAsia" w:ascii="仿宋_GB2312" w:eastAsia="仿宋_GB2312"/>
                <w:color w:val="auto"/>
                <w:sz w:val="28"/>
                <w:szCs w:val="28"/>
                <w:highlight w:val="none"/>
              </w:rPr>
              <w:t>将土壤环境质量作为编制、审查相关国土空间规划的依据，纳入自然资源统筹管理，做好国土空间用途管制。</w:t>
            </w:r>
            <w:r>
              <w:rPr>
                <w:rFonts w:hint="eastAsia" w:ascii="仿宋_GB2312" w:hAnsi="宋体" w:eastAsia="仿宋_GB2312" w:cs="宋体"/>
                <w:color w:val="auto"/>
                <w:kern w:val="0"/>
                <w:sz w:val="28"/>
                <w:szCs w:val="28"/>
                <w:highlight w:val="none"/>
              </w:rPr>
              <w:t>在编制国土空间规划前，对规划范围内涉及工业生产的地块进行筛查，筛选土壤污染风险较高的地块。未对土壤污染风险较高的地块进行土壤污染状况调查的，不宜规划为住宅用地、商业服务用地以及中小学、医疗卫生社会福利设施等公共管理与公共服务用地。</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widowControl/>
              <w:autoSpaceDE w:val="0"/>
              <w:snapToGrid w:val="0"/>
              <w:ind w:left="-110" w:leftChars="-50" w:right="-110" w:rightChars="-50"/>
              <w:jc w:val="center"/>
              <w:rPr>
                <w:rFonts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三、持续推进农用地安全利用</w:t>
            </w:r>
            <w:r>
              <w:rPr>
                <w:rFonts w:hint="eastAsia" w:ascii="宋体" w:hAnsi="宋体"/>
                <w:color w:val="auto"/>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6</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保障</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环境</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安全</w:t>
            </w:r>
          </w:p>
        </w:tc>
        <w:tc>
          <w:tcPr>
            <w:tcW w:w="6021" w:type="dxa"/>
            <w:shd w:val="clear" w:color="auto" w:fill="FFFFFF"/>
            <w:vAlign w:val="center"/>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辖区受污染耕地和园地全部采取安全利用措施，受污染耕地安全利用率达到95%以上。</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7</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强</w:t>
            </w:r>
            <w:r>
              <w:rPr>
                <w:rFonts w:hint="eastAsia" w:ascii="仿宋_GB2312" w:hAnsi="宋体" w:eastAsia="仿宋_GB2312" w:cs="宋体"/>
                <w:color w:val="auto"/>
                <w:kern w:val="0"/>
                <w:sz w:val="28"/>
                <w:szCs w:val="28"/>
                <w:highlight w:val="none"/>
                <w:lang w:val="en-US" w:eastAsia="zh-CN"/>
              </w:rPr>
              <w:t>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种植业土壤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推进农业绿色防控。制定农药、化肥减量行动方案，主要农作物绿色防控及统防统治覆盖率分别达到75%和54%，主要农作物测土配方施肥技术覆盖率保持在98%以上，化肥利用率达到42%以上。调查监测农膜使用、回收情况以及农药包装废弃物回收处置率，建立健全农田地膜残留监测点。创建蔬菜病虫全程绿色防控试点示范基地，开展全生物可降解地膜试验与试点示范。</w:t>
            </w:r>
          </w:p>
          <w:p>
            <w:pPr>
              <w:widowControl/>
              <w:spacing w:line="360" w:lineRule="exact"/>
              <w:jc w:val="left"/>
              <w:rPr>
                <w:rFonts w:hint="eastAsia"/>
                <w:color w:val="auto"/>
                <w:sz w:val="28"/>
                <w:szCs w:val="28"/>
                <w:highlight w:val="none"/>
              </w:rPr>
            </w:pPr>
            <w:r>
              <w:rPr>
                <w:rFonts w:hint="eastAsia" w:ascii="仿宋_GB2312" w:hAnsi="宋体" w:eastAsia="仿宋_GB2312" w:cs="宋体"/>
                <w:color w:val="auto"/>
                <w:kern w:val="0"/>
                <w:sz w:val="28"/>
                <w:szCs w:val="28"/>
                <w:highlight w:val="none"/>
                <w:lang w:val="en-US" w:eastAsia="zh-CN" w:bidi="ar-SA"/>
              </w:rPr>
              <w:t>加强对农业投入品有关违法行为的监督执法检查。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color w:val="auto"/>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推进果业林业等绿色防控。推进园林绿化用地农药、化肥用量控制，逐步开展农药、化肥使用核算。巩固绿色生态综合防控示范区成果，持续加大绿色防控面积和力度。督促林地养护等单位，建立农药、肥料和农用薄膜使用量以及农药包装废弃物、废旧农用薄膜产生量台账。</w:t>
            </w:r>
          </w:p>
          <w:p>
            <w:pPr>
              <w:widowControl/>
              <w:spacing w:line="360" w:lineRule="exact"/>
              <w:jc w:val="left"/>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加强对农业投入品有关违法行为的监督执法检查。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8</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养殖业土壤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shd w:val="clear" w:color="auto" w:fill="FFFFFF"/>
            <w:vAlign w:val="center"/>
          </w:tcPr>
          <w:p>
            <w:pPr>
              <w:widowControl/>
              <w:spacing w:line="360" w:lineRule="exact"/>
              <w:jc w:val="left"/>
              <w:rPr>
                <w:rFonts w:hint="eastAsia" w:eastAsia="仿宋_GB2312"/>
                <w:color w:val="auto"/>
                <w:sz w:val="28"/>
                <w:szCs w:val="28"/>
                <w:highlight w:val="none"/>
              </w:rPr>
            </w:pPr>
            <w:r>
              <w:rPr>
                <w:rFonts w:hint="eastAsia" w:ascii="仿宋_GB2312" w:hAnsi="宋体" w:eastAsia="仿宋_GB2312" w:cs="宋体"/>
                <w:color w:val="auto"/>
                <w:kern w:val="0"/>
                <w:sz w:val="28"/>
                <w:szCs w:val="28"/>
                <w:highlight w:val="none"/>
              </w:rPr>
              <w:t>完善畜禽粪污还田利用管理机制。督促规模以上养殖场全部配套粪污处理设施，指导其加强畜禽粪污无害化处理，对有毒有害物质残留进行检测，畜禽粪污综合利用率保持在95%以上。</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完善长效管理机制。推动养殖主体履行畜禽粪污利用和污染防治主体责任，</w:t>
            </w:r>
            <w:r>
              <w:rPr>
                <w:rFonts w:hint="eastAsia" w:ascii="仿宋_GB2312" w:eastAsia="仿宋_GB2312"/>
                <w:color w:val="auto"/>
                <w:sz w:val="28"/>
                <w:szCs w:val="28"/>
                <w:highlight w:val="none"/>
              </w:rPr>
              <w:t>加强污染防治设施升级改造，</w:t>
            </w:r>
            <w:r>
              <w:rPr>
                <w:rFonts w:hint="eastAsia" w:ascii="仿宋_GB2312" w:hAnsi="宋体" w:eastAsia="仿宋_GB2312" w:cs="宋体"/>
                <w:color w:val="auto"/>
                <w:kern w:val="0"/>
                <w:sz w:val="28"/>
                <w:szCs w:val="28"/>
                <w:highlight w:val="none"/>
              </w:rPr>
              <w:t>推进畜禽粪污高水平治理，长期稳定有效运行治理设施。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504" w:type="dxa"/>
            <w:vMerge w:val="restart"/>
            <w:shd w:val="clear" w:color="auto" w:fill="FFFFFF"/>
            <w:vAlign w:val="center"/>
          </w:tcPr>
          <w:p>
            <w:pPr>
              <w:widowControl/>
              <w:spacing w:line="36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9</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细化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农用地分类</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管理</w:t>
            </w:r>
          </w:p>
        </w:tc>
        <w:tc>
          <w:tcPr>
            <w:tcW w:w="6021" w:type="dxa"/>
            <w:shd w:val="clear" w:color="auto" w:fill="FFFFFF"/>
            <w:vAlign w:val="center"/>
          </w:tcPr>
          <w:p>
            <w:pPr>
              <w:pStyle w:val="2"/>
              <w:spacing w:line="360" w:lineRule="exac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以“田长制”为抓手，加强耕地保护。落实新增耕地联合验收机制，制定并实施耕地分类管理年度工作计划，持续完善耕地分类管理工作制度，促进耕地土壤生态系统良性循环，保持耕地土壤环境质量稳定。</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bCs/>
                <w:color w:val="auto"/>
                <w:kern w:val="0"/>
                <w:sz w:val="28"/>
                <w:szCs w:val="28"/>
                <w:highlight w:val="none"/>
              </w:rPr>
              <w:t>以“林长制”为抓手，</w:t>
            </w:r>
            <w:r>
              <w:rPr>
                <w:rFonts w:hint="eastAsia" w:ascii="仿宋_GB2312" w:hAnsi="宋体" w:eastAsia="仿宋_GB2312" w:cs="宋体"/>
                <w:color w:val="auto"/>
                <w:kern w:val="0"/>
                <w:sz w:val="28"/>
                <w:szCs w:val="28"/>
                <w:highlight w:val="none"/>
              </w:rPr>
              <w:t>保护园地、林地土壤资源，保障产出食用林产品质量。分类管理园地和种植食用林产品的林下经济林地，加强灌溉用水水质管理，制定并实施受污染园地安全利用工作方案，食用林产品“产出一季、检测一季”，超标的不再直接种植食用林产品。</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504" w:type="dxa"/>
            <w:shd w:val="clear" w:color="auto" w:fill="auto"/>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9</w:t>
            </w:r>
          </w:p>
        </w:tc>
        <w:tc>
          <w:tcPr>
            <w:tcW w:w="843" w:type="dxa"/>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细化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农用地分类</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管理</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指导采用温室、大棚等设施种植食用农产品面积大于五十亩的农民专业合作社、农业企业，依法对农产品质量安全状况进行检测，发现可能因土壤原因导致农产品不符合质量安全标准时，对土壤环境质量开展监测。</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仿宋_GB2312" w:eastAsia="仿宋_GB2312" w:cs="仿宋_GB2312"/>
                <w:i w:val="0"/>
                <w:iCs w:val="0"/>
                <w:color w:val="auto"/>
                <w:spacing w:val="-22"/>
                <w:sz w:val="28"/>
                <w:szCs w:val="22"/>
                <w:highlight w:val="none"/>
                <w:lang w:val="en-US" w:eastAsia="zh-CN" w:bidi="ar-SA"/>
              </w:rPr>
              <w:t>区农业服务中心</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pStyle w:val="2"/>
              <w:autoSpaceDE w:val="0"/>
              <w:snapToGrid w:val="0"/>
              <w:ind w:left="-110" w:leftChars="-50" w:right="-110" w:rightChars="-50"/>
              <w:jc w:val="center"/>
              <w:rPr>
                <w:rFonts w:hint="eastAsia" w:ascii="仿宋_GB2312" w:eastAsia="仿宋_GB2312"/>
                <w:color w:val="auto"/>
                <w:kern w:val="0"/>
                <w:sz w:val="28"/>
                <w:szCs w:val="28"/>
                <w:highlight w:val="none"/>
                <w:lang w:val="en-US" w:eastAsia="zh-CN"/>
              </w:rPr>
            </w:pPr>
            <w:r>
              <w:rPr>
                <w:rFonts w:hint="eastAsia" w:ascii="黑体" w:hAnsi="黑体" w:eastAsia="黑体" w:cs="宋体"/>
                <w:color w:val="auto"/>
                <w:kern w:val="0"/>
                <w:sz w:val="28"/>
                <w:szCs w:val="28"/>
                <w:highlight w:val="none"/>
                <w:lang w:val="en-US" w:eastAsia="zh-CN"/>
              </w:rPr>
              <w:t>四、拓展强化未利用地保护</w:t>
            </w:r>
            <w:r>
              <w:rPr>
                <w:rFonts w:hint="eastAsia" w:hAnsi="宋体"/>
                <w:color w:val="auto"/>
                <w:kern w:val="0"/>
                <w:sz w:val="28"/>
                <w:szCs w:val="2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10</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加强未利用地闭合</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管控</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因地制宜探索整治复耕与生态修复方式，促进自然生态系统容量提升。</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1</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未利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tc>
        <w:tc>
          <w:tcPr>
            <w:tcW w:w="6021" w:type="dxa"/>
            <w:shd w:val="clear" w:color="auto" w:fill="FFFFFF"/>
            <w:vAlign w:val="center"/>
          </w:tcPr>
          <w:p>
            <w:pPr>
              <w:pStyle w:val="2"/>
              <w:widowControl/>
              <w:spacing w:line="360" w:lineRule="exact"/>
              <w:jc w:val="left"/>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加强未利用地保护。组织对滩涂、沼泽等未利用地定期开展巡查，推进未利用地土壤环境监测。巡查检查、监测等发现土壤污染风险的，采取有效措施防控风险并控制开发利用。未利用地被污染的，督促土壤污染责任人清除污染、实施修复。</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504" w:type="dxa"/>
            <w:vMerge w:val="continue"/>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rPr>
            </w:pPr>
          </w:p>
        </w:tc>
        <w:tc>
          <w:tcPr>
            <w:tcW w:w="843" w:type="dxa"/>
            <w:vMerge w:val="continue"/>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加强未利用地执法检查，查处倾倒垃圾、侵占使用等违法行为，并督促整改到位。</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504" w:type="dxa"/>
            <w:vMerge w:val="restart"/>
            <w:shd w:val="clear" w:color="auto" w:fill="auto"/>
            <w:vAlign w:val="center"/>
          </w:tcPr>
          <w:p>
            <w:pPr>
              <w:widowControl/>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1</w:t>
            </w:r>
          </w:p>
        </w:tc>
        <w:tc>
          <w:tcPr>
            <w:tcW w:w="843"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未利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tc>
        <w:tc>
          <w:tcPr>
            <w:tcW w:w="6021" w:type="dxa"/>
            <w:shd w:val="clear" w:color="auto" w:fill="FFFFFF"/>
            <w:vAlign w:val="center"/>
          </w:tcPr>
          <w:p>
            <w:pPr>
              <w:widowControl/>
              <w:spacing w:line="360" w:lineRule="exact"/>
              <w:jc w:val="left"/>
              <w:rPr>
                <w:rFonts w:hint="eastAsia"/>
                <w:color w:val="auto"/>
                <w:sz w:val="28"/>
                <w:szCs w:val="28"/>
                <w:highlight w:val="none"/>
              </w:rPr>
            </w:pPr>
            <w:r>
              <w:rPr>
                <w:rFonts w:hint="eastAsia" w:ascii="仿宋_GB2312" w:hAnsi="宋体" w:eastAsia="仿宋_GB2312" w:cs="宋体"/>
                <w:color w:val="auto"/>
                <w:kern w:val="0"/>
                <w:sz w:val="28"/>
                <w:szCs w:val="28"/>
                <w:highlight w:val="none"/>
              </w:rPr>
              <w:t>加强尾矿库安全管理。督促尾矿库运营、管理单位履行防治土壤污染的法定义务，按“一库一策”要求制定并落实有关安全管理措施，定期开展巡查和专项检查，汛期加密检查，防止发生溃坝、垮坝等可能污染土壤的事故。</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高岭镇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严格预防尾矿库和尾矿砂堆周边土壤污染。督促运营、管理单位完成一轮土壤污染隐患排查，存在隐患的及时采取措施。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高岭镇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五、提升现代化治理能力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2</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深入</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开展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普法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宣传</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北京市土壤污染防治条例》普法宣传。生态环境、规划自然资源、农业农村、园林绿化等部门开展法规培训，提升土壤污染防治责任意识。开展面向工业企业的普法宣传，增强相关责任主体的土壤污染防治意识。加强面向公众的宣传，普及土壤生态环境保护知识，增强公众参与意识。</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长期</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实施</w:t>
            </w:r>
          </w:p>
        </w:tc>
        <w:tc>
          <w:tcPr>
            <w:tcW w:w="4420" w:type="dxa"/>
            <w:gridSpan w:val="2"/>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3</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提升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危险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废物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收运</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处置</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能力</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落实疫情防控要求，及时组织清运重点管控生活垃圾。</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区交通局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504" w:type="dxa"/>
            <w:vMerge w:val="restart"/>
            <w:shd w:val="clear" w:color="auto" w:fill="FFFFFF"/>
            <w:vAlign w:val="center"/>
          </w:tcPr>
          <w:p>
            <w:pPr>
              <w:widowControl/>
              <w:spacing w:line="360" w:lineRule="exact"/>
              <w:jc w:val="left"/>
              <w:rPr>
                <w:color w:val="auto"/>
                <w:sz w:val="28"/>
                <w:szCs w:val="28"/>
                <w:highlight w:val="none"/>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3</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提升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危险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废物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收运</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处置</w:t>
            </w:r>
          </w:p>
          <w:p>
            <w:pPr>
              <w:widowControl/>
              <w:spacing w:line="360" w:lineRule="exact"/>
              <w:jc w:val="center"/>
              <w:rPr>
                <w:color w:val="auto"/>
                <w:sz w:val="28"/>
                <w:szCs w:val="28"/>
                <w:highlight w:val="none"/>
              </w:rPr>
            </w:pPr>
            <w:r>
              <w:rPr>
                <w:rFonts w:hint="eastAsia" w:ascii="仿宋_GB2312" w:hAnsi="宋体" w:eastAsia="仿宋_GB2312" w:cs="宋体"/>
                <w:color w:val="auto"/>
                <w:kern w:val="0"/>
                <w:sz w:val="28"/>
                <w:szCs w:val="28"/>
                <w:highlight w:val="none"/>
              </w:rPr>
              <w:t>能力</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完善“小箱进大箱”等工作机制，健全小微医疗机构医废收运体系。</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区交通局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504" w:type="dxa"/>
            <w:vMerge w:val="continue"/>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p>
        </w:tc>
        <w:tc>
          <w:tcPr>
            <w:tcW w:w="843" w:type="dxa"/>
            <w:vMerge w:val="continue"/>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鼓励依托工业园区等危废暂存设施，开展服务小微产废单位的工业危废收集转运试点。</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2"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4</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实行</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信息</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共享</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实行土壤污染防治相关信息共享制度。生态环境部门共享土壤污染重点监管单位情况、地块污染状况、风险管控和修复名录等；农业农村和园林绿化部门共享农用地分类管理、农业投入品使用及回收、土壤环境监测数据、综合防治效果调查等；规划资源部门共享建设用地用途变更信息、建设工程规划许可情况、年度供地计划、重点工业用地土地使用权收回及转让计划等，住房建设部门共享建筑工程施工许可情况等；经济和信息化部门共享关停退出企业情况等。</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4420" w:type="dxa"/>
            <w:gridSpan w:val="2"/>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5</w:t>
            </w:r>
          </w:p>
        </w:tc>
        <w:tc>
          <w:tcPr>
            <w:tcW w:w="843" w:type="dxa"/>
            <w:vMerge w:val="restart"/>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提升监测监管能力</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工业污染源头监测。按计划开展重点监管单位和污水集中处理设施周边监测，对自行监测结果存在异常的工业企业周边土壤进行监测，存在污染迹象或特征污染物含量呈现上升趋势的，督促采取移除污染源、防止污染扩散等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加强农业面源监测。布设种植业环境质量监测点，加强种植环境监测。</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仿宋_GB2312" w:eastAsia="仿宋_GB2312" w:cs="仿宋_GB2312"/>
                <w:i w:val="0"/>
                <w:iCs w:val="0"/>
                <w:color w:val="auto"/>
                <w:spacing w:val="-22"/>
                <w:sz w:val="28"/>
                <w:szCs w:val="22"/>
                <w:highlight w:val="none"/>
                <w:lang w:val="en-US" w:eastAsia="zh-CN" w:bidi="ar-SA"/>
              </w:rPr>
            </w:pPr>
            <w:r>
              <w:rPr>
                <w:rFonts w:hint="eastAsia" w:ascii="仿宋_GB2312" w:hAnsi="仿宋_GB2312" w:eastAsia="仿宋_GB2312" w:cs="仿宋_GB2312"/>
                <w:i w:val="0"/>
                <w:iCs w:val="0"/>
                <w:color w:val="auto"/>
                <w:spacing w:val="-22"/>
                <w:sz w:val="28"/>
                <w:szCs w:val="22"/>
                <w:highlight w:val="none"/>
                <w:lang w:val="en-US" w:eastAsia="zh-CN" w:bidi="ar-SA"/>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504" w:type="dxa"/>
            <w:vMerge w:val="continue"/>
            <w:shd w:val="clear" w:color="auto" w:fill="auto"/>
            <w:vAlign w:val="center"/>
          </w:tcPr>
          <w:p>
            <w:pPr>
              <w:pStyle w:val="2"/>
              <w:widowControl/>
              <w:spacing w:line="360" w:lineRule="exact"/>
              <w:jc w:val="left"/>
              <w:rPr>
                <w:color w:val="auto"/>
                <w:sz w:val="28"/>
                <w:szCs w:val="28"/>
                <w:highlight w:val="none"/>
              </w:rPr>
            </w:pPr>
          </w:p>
        </w:tc>
        <w:tc>
          <w:tcPr>
            <w:tcW w:w="843" w:type="dxa"/>
            <w:vMerge w:val="continue"/>
            <w:shd w:val="clear" w:color="auto" w:fill="auto"/>
            <w:vAlign w:val="center"/>
          </w:tcPr>
          <w:p>
            <w:pPr>
              <w:pStyle w:val="2"/>
              <w:widowControl/>
              <w:spacing w:line="360" w:lineRule="exact"/>
              <w:jc w:val="left"/>
              <w:rPr>
                <w:color w:val="auto"/>
                <w:sz w:val="28"/>
                <w:szCs w:val="28"/>
                <w:highlight w:val="none"/>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排查畜禽养殖场生产废水排放口，加强污染排放监督性监测。开展规模化畜禽养殖粪污处理和资源化利用的专项执法检查。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04" w:type="dxa"/>
            <w:vMerge w:val="continue"/>
            <w:shd w:val="clear" w:color="auto" w:fill="auto"/>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开展农田灌溉用水水质监测及监督检查，水质不达标的进行污染溯源并采取措施。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vMerge w:val="restart"/>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504" w:type="dxa"/>
            <w:vMerge w:val="continue"/>
            <w:shd w:val="clear" w:color="auto" w:fill="auto"/>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布设监测点，开展农业面源污染监测评估。</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vMerge w:val="continue"/>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04"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5</w:t>
            </w:r>
          </w:p>
        </w:tc>
        <w:tc>
          <w:tcPr>
            <w:tcW w:w="843"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提升监测监管能力</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对土壤污染状况普查、详查表明有土壤污染风险的未利用地块和区级及以上水源保护区开展土壤环境质量调查。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504" w:type="dxa"/>
            <w:vMerge w:val="continue"/>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建设用地执法检查。对未完成土壤污染状况调查，或污染物含量超筛选值且尚未完成土壤污染风险评估，或未达到风险管控、修复目标的建设用地，加强违法开工建设执法检查。对土壤污染重点监管单位履行法定义务的时效及规范性、隐患排查问题整改情况等开展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504"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16</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规划</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中期</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评估</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配合市级相关部门开展《北京市“十四五”时期土壤污染防治规划》实施情况中期评估。</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区发改委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504"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17</w:t>
            </w:r>
          </w:p>
        </w:tc>
        <w:tc>
          <w:tcPr>
            <w:tcW w:w="843"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强化督查考核</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土壤</w:t>
            </w:r>
            <w:r>
              <w:rPr>
                <w:rFonts w:hint="eastAsia"/>
                <w:i w:val="0"/>
                <w:iCs w:val="0"/>
                <w:color w:val="auto"/>
                <w:spacing w:val="-2"/>
                <w:sz w:val="28"/>
                <w:highlight w:val="none"/>
              </w:rPr>
              <w:t>污染防治各项措施纳入年度重点督查计划。将年度重点工作纳入全区党建统领综合考核评价体系，对各镇街（地区）、相关部门进行考核评价。</w:t>
            </w:r>
          </w:p>
        </w:tc>
        <w:tc>
          <w:tcPr>
            <w:tcW w:w="1313"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年底前</w:t>
            </w:r>
          </w:p>
        </w:tc>
        <w:tc>
          <w:tcPr>
            <w:tcW w:w="2039"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区生态环境局</w:t>
            </w:r>
          </w:p>
        </w:tc>
        <w:tc>
          <w:tcPr>
            <w:tcW w:w="2381"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区生态环境局</w:t>
            </w:r>
          </w:p>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区委办</w:t>
            </w:r>
          </w:p>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区政府办</w:t>
            </w:r>
          </w:p>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区发改委</w:t>
            </w:r>
          </w:p>
        </w:tc>
        <w:tc>
          <w:tcPr>
            <w:tcW w:w="2295"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w:t>
            </w:r>
          </w:p>
        </w:tc>
      </w:tr>
    </w:tbl>
    <w:p>
      <w:pPr>
        <w:pStyle w:val="2"/>
        <w:rPr>
          <w:rFonts w:hint="eastAsia"/>
          <w:color w:val="auto"/>
          <w:highlight w:val="none"/>
          <w:lang w:val="en-US" w:eastAsia="zh-CN"/>
        </w:rPr>
      </w:pPr>
    </w:p>
    <w:p>
      <w:pPr>
        <w:pStyle w:val="2"/>
        <w:rPr>
          <w:rFonts w:hint="eastAsia" w:eastAsia="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w:t>
      </w:r>
    </w:p>
    <w:p>
      <w:pPr>
        <w:jc w:val="center"/>
        <w:rPr>
          <w:rFonts w:hint="eastAsia" w:eastAsia="方正小标宋_GBK"/>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rPr>
        <w:t>北京市密云区生态保护202</w:t>
      </w:r>
      <w:r>
        <w:rPr>
          <w:rFonts w:hint="eastAsia" w:ascii="方正小标宋_GBK" w:hAnsi="方正小标宋_GBK" w:eastAsia="方正小标宋_GBK" w:cs="方正小标宋_GBK"/>
          <w:color w:val="auto"/>
          <w:sz w:val="44"/>
          <w:szCs w:val="44"/>
          <w:highlight w:val="none"/>
          <w:lang w:val="en-US" w:eastAsia="zh-CN"/>
        </w:rPr>
        <w:t>3</w:t>
      </w:r>
      <w:r>
        <w:rPr>
          <w:rFonts w:hint="eastAsia" w:ascii="方正小标宋_GBK" w:hAnsi="方正小标宋_GBK" w:eastAsia="方正小标宋_GBK" w:cs="方正小标宋_GBK"/>
          <w:color w:val="auto"/>
          <w:sz w:val="44"/>
          <w:szCs w:val="44"/>
          <w:highlight w:val="none"/>
        </w:rPr>
        <w:t>年行动计划</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tbl>
      <w:tblPr>
        <w:tblStyle w:val="13"/>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14"/>
        <w:gridCol w:w="5986"/>
        <w:gridCol w:w="1334"/>
        <w:gridCol w:w="2040"/>
        <w:gridCol w:w="2346"/>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9"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序号</w:t>
            </w:r>
          </w:p>
        </w:tc>
        <w:tc>
          <w:tcPr>
            <w:tcW w:w="814"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重点任务</w:t>
            </w:r>
          </w:p>
        </w:tc>
        <w:tc>
          <w:tcPr>
            <w:tcW w:w="5986"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工作措施</w:t>
            </w:r>
          </w:p>
        </w:tc>
        <w:tc>
          <w:tcPr>
            <w:tcW w:w="1334"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完成</w:t>
            </w:r>
          </w:p>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时限</w:t>
            </w:r>
          </w:p>
        </w:tc>
        <w:tc>
          <w:tcPr>
            <w:tcW w:w="2040"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牵头部门</w:t>
            </w:r>
          </w:p>
        </w:tc>
        <w:tc>
          <w:tcPr>
            <w:tcW w:w="2346"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主责单位</w:t>
            </w:r>
          </w:p>
        </w:tc>
        <w:tc>
          <w:tcPr>
            <w:tcW w:w="2327"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396" w:type="dxa"/>
            <w:gridSpan w:val="7"/>
            <w:vAlign w:val="center"/>
          </w:tcPr>
          <w:p>
            <w:pPr>
              <w:adjustRightInd w:val="0"/>
              <w:snapToGrid w:val="0"/>
              <w:jc w:val="center"/>
              <w:rPr>
                <w:rFonts w:eastAsia="黑体"/>
                <w:color w:val="auto"/>
                <w:sz w:val="28"/>
                <w:szCs w:val="28"/>
                <w:highlight w:val="none"/>
                <w:lang w:eastAsia="zh-CN"/>
              </w:rPr>
            </w:pPr>
            <w:r>
              <w:rPr>
                <w:rFonts w:hint="eastAsia" w:ascii="黑体" w:hAnsi="黑体" w:eastAsia="黑体"/>
                <w:color w:val="auto"/>
                <w:sz w:val="28"/>
                <w:szCs w:val="28"/>
                <w:highlight w:val="none"/>
                <w:lang w:eastAsia="zh-CN"/>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w:t>
            </w:r>
          </w:p>
        </w:tc>
        <w:tc>
          <w:tcPr>
            <w:tcW w:w="814" w:type="dxa"/>
            <w:vAlign w:val="center"/>
          </w:tcPr>
          <w:p>
            <w:pPr>
              <w:rPr>
                <w:color w:val="auto"/>
                <w:sz w:val="28"/>
                <w:szCs w:val="28"/>
                <w:highlight w:val="none"/>
              </w:rPr>
            </w:pPr>
            <w:r>
              <w:rPr>
                <w:rFonts w:hint="eastAsia"/>
                <w:color w:val="auto"/>
                <w:sz w:val="28"/>
                <w:szCs w:val="28"/>
                <w:highlight w:val="none"/>
              </w:rPr>
              <w:t>目标任务</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生态环境质量指数（EI）力争稳定向好。</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hAnsi="Times New Roman" w:cs="Times New Roman"/>
                <w:color w:val="auto"/>
                <w:kern w:val="2"/>
                <w:sz w:val="28"/>
                <w:szCs w:val="28"/>
                <w:highlight w:val="none"/>
                <w:lang w:eastAsia="zh-CN"/>
              </w:rPr>
              <w:t>区委生态文明委办公室</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区委生态文明委成员单位</w:t>
            </w:r>
          </w:p>
        </w:tc>
        <w:tc>
          <w:tcPr>
            <w:tcW w:w="2327" w:type="dxa"/>
            <w:vAlign w:val="center"/>
          </w:tcPr>
          <w:p>
            <w:pPr>
              <w:adjustRightInd w:val="0"/>
              <w:snapToGrid w:val="0"/>
              <w:jc w:val="center"/>
              <w:rPr>
                <w:color w:val="auto"/>
                <w:sz w:val="28"/>
                <w:szCs w:val="28"/>
                <w:highlight w:val="none"/>
                <w:lang w:eastAsia="zh-CN"/>
              </w:rPr>
            </w:pPr>
            <w:r>
              <w:rPr>
                <w:rFonts w:hint="eastAsia" w:hAnsi="Times New Roman" w:cs="Times New Roman"/>
                <w:color w:val="auto"/>
                <w:kern w:val="2"/>
                <w:sz w:val="28"/>
                <w:szCs w:val="28"/>
                <w:highlight w:val="none"/>
                <w:lang w:eastAsia="zh-CN"/>
              </w:rPr>
              <w:t>各镇街（地区）</w:t>
            </w:r>
            <w:r>
              <w:rPr>
                <w:rFonts w:hint="eastAsia" w:hAnsi="Times New Roman" w:cs="Times New Roman"/>
                <w:color w:val="auto"/>
                <w:kern w:val="2"/>
                <w:sz w:val="28"/>
                <w:szCs w:val="28"/>
                <w:highlight w:val="none"/>
                <w:lang w:eastAsia="zh-CN"/>
              </w:rPr>
              <w:br w:type="textWrapping"/>
            </w:r>
            <w:r>
              <w:rPr>
                <w:rFonts w:hint="eastAsia" w:hAnsi="Times New Roman" w:cs="Times New Roman"/>
                <w:color w:val="auto"/>
                <w:kern w:val="2"/>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5396" w:type="dxa"/>
            <w:gridSpan w:val="7"/>
            <w:vAlign w:val="center"/>
          </w:tcPr>
          <w:p>
            <w:pPr>
              <w:adjustRightInd w:val="0"/>
              <w:snapToGrid w:val="0"/>
              <w:jc w:val="center"/>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2</w:t>
            </w:r>
          </w:p>
        </w:tc>
        <w:tc>
          <w:tcPr>
            <w:tcW w:w="814"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rPr>
              <w:t>建立工作机制</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按市级部门要求建立落实生物多样性保护规划的部门会商、进展报送、专家咨询和信息共享机制。</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hAnsi="Times New Roman" w:cs="Times New Roman"/>
                <w:color w:val="auto"/>
                <w:kern w:val="2"/>
                <w:sz w:val="28"/>
                <w:szCs w:val="28"/>
                <w:highlight w:val="none"/>
              </w:rPr>
              <w:t>区生态环境局</w:t>
            </w:r>
          </w:p>
        </w:tc>
        <w:tc>
          <w:tcPr>
            <w:tcW w:w="2346" w:type="dxa"/>
            <w:vAlign w:val="center"/>
          </w:tcPr>
          <w:p>
            <w:pPr>
              <w:adjustRightInd w:val="0"/>
              <w:snapToGrid w:val="0"/>
              <w:jc w:val="center"/>
              <w:rPr>
                <w:color w:val="auto"/>
                <w:sz w:val="28"/>
                <w:szCs w:val="28"/>
                <w:highlight w:val="none"/>
                <w:lang w:eastAsia="zh-CN"/>
              </w:rPr>
            </w:pP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区规自分局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区水务局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pacing w:line="400" w:lineRule="exact"/>
              <w:jc w:val="center"/>
              <w:rPr>
                <w:color w:val="auto"/>
                <w:sz w:val="28"/>
                <w:szCs w:val="28"/>
                <w:highlight w:val="none"/>
                <w:lang w:eastAsia="zh-CN"/>
              </w:rPr>
            </w:pPr>
            <w:r>
              <w:rPr>
                <w:rFonts w:hint="eastAsia"/>
                <w:color w:val="auto"/>
                <w:sz w:val="28"/>
                <w:szCs w:val="28"/>
                <w:highlight w:val="none"/>
                <w:lang w:eastAsia="zh-CN"/>
              </w:rPr>
              <w:t>各镇街（地区）</w:t>
            </w:r>
            <w:r>
              <w:rPr>
                <w:rFonts w:hint="eastAsia"/>
                <w:color w:val="auto"/>
                <w:sz w:val="28"/>
                <w:szCs w:val="28"/>
                <w:highlight w:val="none"/>
                <w:lang w:eastAsia="zh-CN"/>
              </w:rPr>
              <w:br w:type="textWrapping"/>
            </w: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3</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加大生物多样性保护力度</w:t>
            </w: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编制密云区生物多样性保护规划。</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snapToGrid w:val="0"/>
              <w:spacing w:line="320" w:lineRule="exact"/>
              <w:jc w:val="center"/>
              <w:rPr>
                <w:color w:val="auto"/>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构建生态廊道，连通物种栖息地。加快生态林断带织补，完成市级下达的工作任务。</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adjustRightInd w:val="0"/>
              <w:snapToGrid w:val="0"/>
              <w:spacing w:line="320" w:lineRule="exact"/>
              <w:jc w:val="center"/>
              <w:rPr>
                <w:color w:val="auto"/>
                <w:sz w:val="28"/>
                <w:szCs w:val="28"/>
                <w:highlight w:val="none"/>
                <w:lang w:eastAsia="zh-CN"/>
              </w:rPr>
            </w:pPr>
            <w:r>
              <w:rPr>
                <w:rFonts w:hint="eastAsia"/>
                <w:color w:val="auto"/>
                <w:sz w:val="28"/>
                <w:szCs w:val="28"/>
                <w:highlight w:val="none"/>
                <w:lang w:eastAsia="zh-CN"/>
              </w:rPr>
              <w:t>区规自分局</w:t>
            </w:r>
          </w:p>
          <w:p>
            <w:pPr>
              <w:adjustRightInd w:val="0"/>
              <w:snapToGrid w:val="0"/>
              <w:spacing w:line="320" w:lineRule="exact"/>
              <w:jc w:val="center"/>
              <w:rPr>
                <w:color w:val="auto"/>
                <w:sz w:val="28"/>
                <w:szCs w:val="28"/>
                <w:highlight w:val="none"/>
                <w:lang w:eastAsia="zh-CN"/>
              </w:rPr>
            </w:pPr>
            <w:r>
              <w:rPr>
                <w:rFonts w:hint="eastAsia"/>
                <w:color w:val="auto"/>
                <w:sz w:val="28"/>
                <w:szCs w:val="28"/>
                <w:highlight w:val="none"/>
                <w:lang w:eastAsia="zh-CN" w:bidi="ar"/>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结合实际，依法依规报废拆除河流中阻断连通性的塘坝等设施；确需保留的闸、坝，完善生物连通设施，构建水、陆生态廊道。严控新建塘坝等设施。</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tc>
        <w:tc>
          <w:tcPr>
            <w:tcW w:w="2346"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按市级部门要求在有条件的地区改造硬质护岸，恢复河湖库自然岸线，提升河流横向连通性，保持现有自然岸线总体格局不变，确保自然岸线保有率不降低。</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区水务局</w:t>
            </w:r>
          </w:p>
        </w:tc>
        <w:tc>
          <w:tcPr>
            <w:tcW w:w="2346"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区发改委</w:t>
            </w:r>
          </w:p>
          <w:p>
            <w:pPr>
              <w:adjustRightInd w:val="0"/>
              <w:snapToGrid w:val="0"/>
              <w:spacing w:line="320" w:lineRule="exact"/>
              <w:jc w:val="center"/>
              <w:rPr>
                <w:color w:val="auto"/>
                <w:sz w:val="28"/>
                <w:szCs w:val="28"/>
                <w:highlight w:val="none"/>
              </w:rPr>
            </w:pPr>
            <w:r>
              <w:rPr>
                <w:rFonts w:hint="eastAsia"/>
                <w:color w:val="auto"/>
                <w:sz w:val="28"/>
                <w:szCs w:val="28"/>
                <w:highlight w:val="none"/>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按市级部门要求统筹生态补水流量过程，结合实际，分时段、分河段、分流量开展阶段性生态补水，协同做好生物多样性保护。</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区水务局</w:t>
            </w:r>
          </w:p>
        </w:tc>
        <w:tc>
          <w:tcPr>
            <w:tcW w:w="2327"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按市级部门要求基于河流生态系统特征，加强信息沟通协调，科学开展增殖放流并做好记录。</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snapToGrid w:val="0"/>
              <w:spacing w:line="320" w:lineRule="exact"/>
              <w:jc w:val="center"/>
              <w:rPr>
                <w:color w:val="auto"/>
                <w:sz w:val="28"/>
                <w:szCs w:val="28"/>
                <w:highlight w:val="none"/>
              </w:rPr>
            </w:pPr>
            <w:r>
              <w:rPr>
                <w:rFonts w:hint="eastAsia"/>
                <w:color w:val="auto"/>
                <w:sz w:val="28"/>
                <w:szCs w:val="28"/>
                <w:highlight w:val="none"/>
              </w:rPr>
              <w:t>区水务局</w:t>
            </w:r>
          </w:p>
          <w:p>
            <w:pPr>
              <w:snapToGrid w:val="0"/>
              <w:spacing w:line="320" w:lineRule="exact"/>
              <w:jc w:val="center"/>
              <w:rPr>
                <w:color w:val="auto"/>
                <w:sz w:val="28"/>
                <w:szCs w:val="28"/>
                <w:highlight w:val="none"/>
              </w:rPr>
            </w:pPr>
            <w:r>
              <w:rPr>
                <w:rFonts w:hint="eastAsia"/>
                <w:color w:val="auto"/>
                <w:sz w:val="28"/>
                <w:szCs w:val="28"/>
                <w:highlight w:val="none"/>
              </w:rPr>
              <w:t>区生态环境局</w:t>
            </w:r>
          </w:p>
          <w:p>
            <w:pPr>
              <w:pStyle w:val="5"/>
              <w:spacing w:line="320" w:lineRule="exact"/>
              <w:ind w:firstLine="420" w:firstLineChars="150"/>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按市级部门要求开展鸟类等野生动物联合保护行动，协同防控美国白蛾、松材线虫等有害生物。</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snapToGrid w:val="0"/>
              <w:spacing w:line="320" w:lineRule="exact"/>
              <w:jc w:val="center"/>
              <w:rPr>
                <w:color w:val="auto"/>
                <w:sz w:val="28"/>
                <w:szCs w:val="28"/>
                <w:highlight w:val="none"/>
                <w:lang w:eastAsia="zh-CN"/>
              </w:rPr>
            </w:pPr>
            <w:r>
              <w:rPr>
                <w:rFonts w:hint="eastAsia"/>
                <w:color w:val="auto"/>
                <w:sz w:val="28"/>
                <w:szCs w:val="28"/>
                <w:highlight w:val="none"/>
                <w:lang w:eastAsia="zh-CN"/>
              </w:rPr>
              <w:t>区农业农村局</w:t>
            </w:r>
          </w:p>
          <w:p>
            <w:pPr>
              <w:snapToGrid w:val="0"/>
              <w:spacing w:line="320" w:lineRule="exact"/>
              <w:jc w:val="center"/>
              <w:rPr>
                <w:color w:val="auto"/>
                <w:sz w:val="28"/>
                <w:szCs w:val="28"/>
                <w:highlight w:val="none"/>
                <w:lang w:eastAsia="zh-CN"/>
              </w:rPr>
            </w:pPr>
            <w:r>
              <w:rPr>
                <w:rFonts w:hint="eastAsia"/>
                <w:color w:val="auto"/>
                <w:sz w:val="28"/>
                <w:szCs w:val="28"/>
                <w:highlight w:val="none"/>
                <w:lang w:eastAsia="zh-CN" w:bidi="ar"/>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4</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强化外来入侵物种防控</w:t>
            </w:r>
          </w:p>
        </w:tc>
        <w:tc>
          <w:tcPr>
            <w:tcW w:w="5986"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lang w:eastAsia="zh-CN"/>
              </w:rPr>
              <w:t>按市级部门要求完成年度外来入侵物种普查任务，进一步掌握外来入侵物种数量、分布范围、危害程度等情况。制定重点外来入侵物种管控策略。</w:t>
            </w:r>
            <w:r>
              <w:rPr>
                <w:rFonts w:hint="eastAsia"/>
                <w:color w:val="auto"/>
                <w:sz w:val="28"/>
                <w:szCs w:val="28"/>
                <w:highlight w:val="none"/>
              </w:rPr>
              <w:t>完成年度防控总结。</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rPr>
                <w:color w:val="auto"/>
                <w:sz w:val="28"/>
                <w:szCs w:val="28"/>
                <w:highlight w:val="none"/>
                <w:lang w:eastAsia="zh-CN"/>
              </w:rPr>
            </w:pPr>
            <w:r>
              <w:rPr>
                <w:rFonts w:hint="eastAsia"/>
                <w:color w:val="auto"/>
                <w:sz w:val="28"/>
                <w:szCs w:val="28"/>
                <w:highlight w:val="none"/>
                <w:lang w:eastAsia="zh-CN"/>
              </w:rPr>
              <w:t xml:space="preserve">   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依法严格外来物种引入审批，强化引入后使用管控。</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按市级部门要求强化农田、渔业水域等领域等重点区域外来入侵物种治理。重点做好苹果蠹蛾、草地贪夜蛾、福寿螺等外来入侵物种的监测与综合治理。</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p>
            <w:pPr>
              <w:adjustRightInd w:val="0"/>
              <w:snapToGrid w:val="0"/>
              <w:jc w:val="center"/>
              <w:rPr>
                <w:color w:val="auto"/>
                <w:sz w:val="28"/>
                <w:szCs w:val="28"/>
                <w:highlight w:val="none"/>
              </w:rPr>
            </w:pP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jc w:val="center"/>
              <w:rPr>
                <w:color w:val="auto"/>
                <w:sz w:val="28"/>
                <w:szCs w:val="28"/>
                <w:highlight w:val="none"/>
                <w:lang w:eastAsia="zh-CN"/>
              </w:rPr>
            </w:pPr>
            <w:r>
              <w:rPr>
                <w:rFonts w:hint="eastAsia"/>
                <w:color w:val="auto"/>
                <w:sz w:val="28"/>
                <w:szCs w:val="28"/>
                <w:highlight w:val="none"/>
                <w:lang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lang w:eastAsia="zh-CN"/>
              </w:rPr>
              <w:t>按市级部门要求强化森林、草地、湿地、河流、水库等重点区域外来入侵物种治理。重点做好松材线虫、美国白蛾、牛蛙等外来入侵物种的监测与综合治理。</w:t>
            </w:r>
            <w:r>
              <w:rPr>
                <w:rFonts w:hint="eastAsia"/>
                <w:color w:val="auto"/>
                <w:sz w:val="28"/>
                <w:szCs w:val="28"/>
                <w:highlight w:val="none"/>
              </w:rPr>
              <w:t>完成年度监测治理报告。</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jc w:val="center"/>
              <w:rPr>
                <w:color w:val="auto"/>
                <w:sz w:val="28"/>
                <w:szCs w:val="28"/>
                <w:highlight w:val="none"/>
              </w:rPr>
            </w:pPr>
            <w:r>
              <w:rPr>
                <w:rFonts w:hint="eastAsia"/>
                <w:color w:val="auto"/>
                <w:sz w:val="28"/>
                <w:szCs w:val="28"/>
                <w:highlight w:val="none"/>
              </w:rPr>
              <w:t>区园林绿化局</w:t>
            </w:r>
          </w:p>
          <w:p>
            <w:pPr>
              <w:adjustRightInd w:val="0"/>
              <w:snapToGrid w:val="0"/>
              <w:jc w:val="center"/>
              <w:rPr>
                <w:color w:val="auto"/>
                <w:sz w:val="28"/>
                <w:szCs w:val="28"/>
                <w:highlight w:val="none"/>
              </w:rPr>
            </w:pP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rPr>
                <w:color w:val="auto"/>
                <w:sz w:val="28"/>
                <w:szCs w:val="28"/>
                <w:highlight w:val="none"/>
              </w:rPr>
            </w:pPr>
            <w:r>
              <w:rPr>
                <w:rFonts w:hint="eastAsia"/>
                <w:color w:val="auto"/>
                <w:sz w:val="28"/>
                <w:szCs w:val="28"/>
                <w:highlight w:val="none"/>
                <w:lang w:eastAsia="zh-CN"/>
              </w:rPr>
              <w:t xml:space="preserve">   </w:t>
            </w:r>
            <w:r>
              <w:rPr>
                <w:rFonts w:hint="eastAsia"/>
                <w:color w:val="auto"/>
                <w:sz w:val="28"/>
                <w:szCs w:val="28"/>
                <w:highlight w:val="none"/>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7"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5</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保护重点生物遗传资源</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配合市级建设市级种质资源保护单位、市级林木良种基地、采种基地；新建或扩建林草种质资源异地保存库、菌种资源库，完成市级下达的工作任务。完成种质资源保护年度报告。全面完成全国第三次畜禽遗传资源和全国第一次水产养殖种质资源普查年度任务，编写完成畜禽遗传资源保护状况报告，以及水产养殖种质资源状况报告。</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c>
          <w:tcPr>
            <w:tcW w:w="2327" w:type="dxa"/>
            <w:vAlign w:val="center"/>
          </w:tcPr>
          <w:p>
            <w:pPr>
              <w:adjustRightInd w:val="0"/>
              <w:snapToGrid w:val="0"/>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49" w:type="dxa"/>
            <w:vMerge w:val="restart"/>
            <w:vAlign w:val="center"/>
          </w:tcPr>
          <w:p>
            <w:pPr>
              <w:widowControl/>
              <w:jc w:val="center"/>
              <w:rPr>
                <w:color w:val="auto"/>
                <w:sz w:val="28"/>
                <w:szCs w:val="28"/>
                <w:highlight w:val="none"/>
              </w:rPr>
            </w:pPr>
            <w:r>
              <w:rPr>
                <w:rFonts w:hint="eastAsia"/>
                <w:color w:val="auto"/>
                <w:sz w:val="28"/>
                <w:szCs w:val="28"/>
                <w:highlight w:val="none"/>
              </w:rPr>
              <w:t>6</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加强监测评估和执法检查</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开展生物多样性本底调查，进行鸟类、鱼类、大型真菌等生物多样性调查。</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both"/>
              <w:rPr>
                <w:color w:val="auto"/>
                <w:sz w:val="28"/>
                <w:szCs w:val="28"/>
                <w:highlight w:val="none"/>
              </w:rPr>
            </w:pPr>
            <w:r>
              <w:rPr>
                <w:rFonts w:hint="eastAsia"/>
                <w:color w:val="auto"/>
                <w:sz w:val="28"/>
                <w:szCs w:val="28"/>
                <w:highlight w:val="none"/>
                <w:lang w:bidi="ar"/>
              </w:rPr>
              <w:t>区生态环境局</w:t>
            </w:r>
          </w:p>
        </w:tc>
        <w:tc>
          <w:tcPr>
            <w:tcW w:w="2346" w:type="dxa"/>
            <w:vAlign w:val="center"/>
          </w:tcPr>
          <w:p>
            <w:pPr>
              <w:adjustRightInd w:val="0"/>
              <w:snapToGrid w:val="0"/>
              <w:jc w:val="center"/>
              <w:rPr>
                <w:rStyle w:val="17"/>
                <w:rFonts w:hint="default" w:ascii="仿宋_GB2312" w:hAnsi="仿宋_GB2312" w:eastAsia="仿宋_GB2312" w:cs="仿宋_GB2312"/>
                <w:color w:val="auto"/>
                <w:sz w:val="28"/>
                <w:szCs w:val="28"/>
                <w:highlight w:val="none"/>
                <w:lang w:eastAsia="zh-CN" w:bidi="ar"/>
              </w:rPr>
            </w:pPr>
            <w:r>
              <w:rPr>
                <w:rStyle w:val="17"/>
                <w:rFonts w:hint="default" w:ascii="仿宋_GB2312" w:hAnsi="仿宋_GB2312" w:eastAsia="仿宋_GB2312" w:cs="仿宋_GB2312"/>
                <w:color w:val="auto"/>
                <w:sz w:val="28"/>
                <w:szCs w:val="28"/>
                <w:highlight w:val="none"/>
                <w:lang w:eastAsia="zh-CN" w:bidi="ar"/>
              </w:rPr>
              <w:t>区生态环境局</w:t>
            </w:r>
          </w:p>
          <w:p>
            <w:pPr>
              <w:adjustRightInd w:val="0"/>
              <w:snapToGrid w:val="0"/>
              <w:jc w:val="center"/>
              <w:rPr>
                <w:color w:val="auto"/>
                <w:sz w:val="28"/>
                <w:szCs w:val="28"/>
                <w:highlight w:val="none"/>
                <w:lang w:eastAsia="zh-CN"/>
              </w:rPr>
            </w:pPr>
            <w:r>
              <w:rPr>
                <w:rStyle w:val="17"/>
                <w:rFonts w:hint="default" w:ascii="仿宋_GB2312" w:hAnsi="仿宋_GB2312" w:eastAsia="仿宋_GB2312" w:cs="仿宋_GB2312"/>
                <w:color w:val="auto"/>
                <w:sz w:val="28"/>
                <w:szCs w:val="28"/>
                <w:highlight w:val="none"/>
                <w:lang w:eastAsia="zh-CN" w:bidi="ar"/>
              </w:rPr>
              <w:t>区园林绿化局</w:t>
            </w:r>
            <w:r>
              <w:rPr>
                <w:rStyle w:val="17"/>
                <w:rFonts w:hint="default" w:ascii="仿宋_GB2312" w:hAnsi="仿宋_GB2312" w:eastAsia="仿宋_GB2312" w:cs="仿宋_GB2312"/>
                <w:color w:val="auto"/>
                <w:sz w:val="28"/>
                <w:szCs w:val="28"/>
                <w:highlight w:val="none"/>
                <w:lang w:eastAsia="zh-CN" w:bidi="ar"/>
              </w:rPr>
              <w:br w:type="textWrapping"/>
            </w:r>
            <w:r>
              <w:rPr>
                <w:rStyle w:val="17"/>
                <w:rFonts w:hint="default" w:ascii="仿宋_GB2312" w:hAnsi="仿宋_GB2312" w:eastAsia="仿宋_GB2312" w:cs="仿宋_GB2312"/>
                <w:color w:val="auto"/>
                <w:sz w:val="28"/>
                <w:szCs w:val="28"/>
                <w:highlight w:val="none"/>
                <w:lang w:eastAsia="zh-CN" w:bidi="ar"/>
              </w:rPr>
              <w:t>区农业农村局</w:t>
            </w:r>
            <w:r>
              <w:rPr>
                <w:rStyle w:val="17"/>
                <w:rFonts w:hint="default" w:ascii="仿宋_GB2312" w:hAnsi="仿宋_GB2312" w:eastAsia="仿宋_GB2312" w:cs="仿宋_GB2312"/>
                <w:color w:val="auto"/>
                <w:sz w:val="28"/>
                <w:szCs w:val="28"/>
                <w:highlight w:val="none"/>
                <w:lang w:eastAsia="zh-CN" w:bidi="ar"/>
              </w:rPr>
              <w:br w:type="textWrapping"/>
            </w:r>
            <w:r>
              <w:rPr>
                <w:rStyle w:val="17"/>
                <w:rFonts w:hint="default" w:ascii="仿宋_GB2312" w:hAnsi="仿宋_GB2312" w:eastAsia="仿宋_GB2312" w:cs="仿宋_GB2312"/>
                <w:color w:val="auto"/>
                <w:sz w:val="28"/>
                <w:szCs w:val="28"/>
                <w:highlight w:val="none"/>
                <w:lang w:eastAsia="zh-CN" w:bidi="ar"/>
              </w:rPr>
              <w:t>区农业服务中心</w:t>
            </w:r>
          </w:p>
        </w:tc>
        <w:tc>
          <w:tcPr>
            <w:tcW w:w="2327" w:type="dxa"/>
            <w:vAlign w:val="center"/>
          </w:tcPr>
          <w:p>
            <w:pPr>
              <w:adjustRightInd w:val="0"/>
              <w:snapToGrid w:val="0"/>
              <w:jc w:val="center"/>
              <w:rPr>
                <w:rFonts w:ascii="宋体" w:hAnsi="宋体"/>
                <w:color w:val="auto"/>
                <w:sz w:val="28"/>
                <w:szCs w:val="28"/>
                <w:highlight w:val="none"/>
                <w:lang w:eastAsia="zh-CN"/>
              </w:rPr>
            </w:pPr>
            <w:r>
              <w:rPr>
                <w:rFonts w:hint="eastAsia"/>
                <w:color w:val="auto"/>
                <w:sz w:val="28"/>
                <w:szCs w:val="28"/>
                <w:highlight w:val="none"/>
                <w:lang w:eastAsia="zh-CN" w:bidi="ar"/>
              </w:rPr>
              <w:t>区水务局</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密云水库综合</w:t>
            </w:r>
            <w:r>
              <w:rPr>
                <w:rFonts w:hint="eastAsia"/>
                <w:color w:val="auto"/>
                <w:sz w:val="28"/>
                <w:szCs w:val="28"/>
                <w:highlight w:val="none"/>
                <w:lang w:eastAsia="zh-CN" w:bidi="ar"/>
              </w:rPr>
              <w:br w:type="textWrapping"/>
            </w:r>
            <w:r>
              <w:rPr>
                <w:rFonts w:hint="eastAsia"/>
                <w:color w:val="auto"/>
                <w:sz w:val="28"/>
                <w:szCs w:val="28"/>
                <w:highlight w:val="none"/>
                <w:lang w:eastAsia="zh-CN" w:bidi="ar"/>
              </w:rPr>
              <w:t>执法大队</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各镇街（地区）</w:t>
            </w:r>
            <w:r>
              <w:rPr>
                <w:rFonts w:hint="eastAsia"/>
                <w:color w:val="auto"/>
                <w:sz w:val="28"/>
                <w:szCs w:val="28"/>
                <w:highlight w:val="none"/>
                <w:lang w:eastAsia="zh-CN" w:bidi="ar"/>
              </w:rPr>
              <w:br w:type="textWrapping"/>
            </w:r>
            <w:r>
              <w:rPr>
                <w:rFonts w:hint="eastAsia"/>
                <w:color w:val="auto"/>
                <w:sz w:val="28"/>
                <w:szCs w:val="28"/>
                <w:highlight w:val="none"/>
                <w:lang w:eastAsia="zh-CN" w:bidi="ar"/>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widowControl/>
              <w:spacing w:line="400" w:lineRule="exact"/>
              <w:rPr>
                <w:color w:val="auto"/>
                <w:sz w:val="28"/>
                <w:szCs w:val="28"/>
                <w:highlight w:val="none"/>
                <w:lang w:eastAsia="zh-CN"/>
              </w:rPr>
            </w:pPr>
            <w:r>
              <w:rPr>
                <w:rFonts w:hint="eastAsia"/>
                <w:color w:val="auto"/>
                <w:sz w:val="28"/>
                <w:szCs w:val="28"/>
                <w:highlight w:val="none"/>
                <w:lang w:eastAsia="zh-CN"/>
              </w:rPr>
              <w:t>依法查处破坏陆生野生动植物资源及栖息地、侵占和破坏林木种质资源等违法行为。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密云水库综合</w:t>
            </w:r>
          </w:p>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执法大队</w:t>
            </w:r>
          </w:p>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区公安分局</w:t>
            </w:r>
          </w:p>
          <w:p>
            <w:pPr>
              <w:snapToGrid w:val="0"/>
              <w:jc w:val="center"/>
              <w:rPr>
                <w:color w:val="auto"/>
                <w:sz w:val="28"/>
                <w:szCs w:val="28"/>
                <w:highlight w:val="none"/>
                <w:lang w:bidi="ar"/>
              </w:rPr>
            </w:pPr>
            <w:r>
              <w:rPr>
                <w:rFonts w:hint="eastAsia"/>
                <w:color w:val="auto"/>
                <w:sz w:val="28"/>
                <w:szCs w:val="28"/>
                <w:highlight w:val="none"/>
              </w:rPr>
              <w:t>区市场监管局</w:t>
            </w:r>
          </w:p>
          <w:p>
            <w:pPr>
              <w:snapToGrid w:val="0"/>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依法查处违反破坏水生野生动植物资源及栖息地、侵占和破坏农作物种质资源以及擅自引进、释放、丢弃外来物种等违法行为。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Style w:val="17"/>
                <w:rFonts w:hint="default" w:ascii="仿宋_GB2312" w:hAnsi="仿宋_GB2312" w:eastAsia="仿宋_GB2312" w:cs="仿宋_GB2312"/>
                <w:color w:val="auto"/>
                <w:sz w:val="28"/>
                <w:szCs w:val="28"/>
                <w:highlight w:val="none"/>
                <w:lang w:eastAsia="zh-CN" w:bidi="ar"/>
              </w:rPr>
              <w:t>区农业服务中心</w:t>
            </w:r>
          </w:p>
        </w:tc>
        <w:tc>
          <w:tcPr>
            <w:tcW w:w="2327" w:type="dxa"/>
            <w:vAlign w:val="center"/>
          </w:tcPr>
          <w:p>
            <w:pPr>
              <w:snapToGrid w:val="0"/>
              <w:jc w:val="center"/>
              <w:rPr>
                <w:color w:val="auto"/>
                <w:sz w:val="28"/>
                <w:szCs w:val="28"/>
                <w:highlight w:val="none"/>
                <w:lang w:eastAsia="zh-CN" w:bidi="ar"/>
              </w:rPr>
            </w:pPr>
            <w:r>
              <w:rPr>
                <w:rFonts w:hint="eastAsia"/>
                <w:color w:val="auto"/>
                <w:sz w:val="28"/>
                <w:szCs w:val="28"/>
                <w:highlight w:val="none"/>
                <w:lang w:eastAsia="zh-CN" w:bidi="ar"/>
              </w:rPr>
              <w:t>区水务局</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密云水库综合</w:t>
            </w:r>
            <w:r>
              <w:rPr>
                <w:rFonts w:hint="eastAsia"/>
                <w:color w:val="auto"/>
                <w:sz w:val="28"/>
                <w:szCs w:val="28"/>
                <w:highlight w:val="none"/>
                <w:lang w:eastAsia="zh-CN" w:bidi="ar"/>
              </w:rPr>
              <w:br w:type="textWrapping"/>
            </w:r>
            <w:r>
              <w:rPr>
                <w:rFonts w:hint="eastAsia"/>
                <w:color w:val="auto"/>
                <w:sz w:val="28"/>
                <w:szCs w:val="28"/>
                <w:highlight w:val="none"/>
                <w:lang w:eastAsia="zh-CN" w:bidi="ar"/>
              </w:rPr>
              <w:t>执法大队</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区公安分局</w:t>
            </w:r>
            <w:r>
              <w:rPr>
                <w:rFonts w:hint="eastAsia"/>
                <w:color w:val="auto"/>
                <w:sz w:val="28"/>
                <w:szCs w:val="28"/>
                <w:highlight w:val="none"/>
                <w:lang w:eastAsia="zh-CN" w:bidi="ar"/>
              </w:rPr>
              <w:br w:type="textWrapping"/>
            </w:r>
            <w:r>
              <w:rPr>
                <w:rFonts w:hint="eastAsia"/>
                <w:color w:val="auto"/>
                <w:sz w:val="28"/>
                <w:szCs w:val="28"/>
                <w:highlight w:val="none"/>
                <w:lang w:eastAsia="zh-CN"/>
              </w:rPr>
              <w:t>区市场监管局</w:t>
            </w:r>
          </w:p>
          <w:p>
            <w:pPr>
              <w:snapToGrid w:val="0"/>
              <w:jc w:val="center"/>
              <w:rPr>
                <w:color w:val="auto"/>
                <w:sz w:val="28"/>
                <w:szCs w:val="28"/>
                <w:highlight w:val="none"/>
              </w:rPr>
            </w:pPr>
            <w:r>
              <w:rPr>
                <w:rFonts w:hint="eastAsia"/>
                <w:color w:val="auto"/>
                <w:sz w:val="28"/>
                <w:szCs w:val="28"/>
                <w:highlight w:val="none"/>
                <w:lang w:bidi="ar"/>
              </w:rPr>
              <w:t>相关镇</w:t>
            </w:r>
          </w:p>
          <w:p>
            <w:pPr>
              <w:pStyle w:val="2"/>
              <w:snapToGrid w:val="0"/>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依法查处出售、收购、运输、携带国家或者地方重点保护野生动物或者其产品等违法行为。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color w:val="auto"/>
                <w:sz w:val="28"/>
                <w:szCs w:val="28"/>
                <w:highlight w:val="none"/>
              </w:rPr>
              <w:t>区市场监管局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区市场监管局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c>
          <w:tcPr>
            <w:tcW w:w="2327" w:type="dxa"/>
            <w:vAlign w:val="center"/>
          </w:tcPr>
          <w:p>
            <w:pPr>
              <w:snapToGrid w:val="0"/>
              <w:jc w:val="center"/>
              <w:rPr>
                <w:color w:val="auto"/>
                <w:spacing w:val="-26"/>
                <w:sz w:val="28"/>
                <w:szCs w:val="28"/>
                <w:highlight w:val="none"/>
              </w:rPr>
            </w:pPr>
            <w:r>
              <w:rPr>
                <w:rFonts w:hint="eastAsia"/>
                <w:color w:val="auto"/>
                <w:sz w:val="28"/>
                <w:szCs w:val="28"/>
                <w:highlight w:val="none"/>
                <w:lang w:bidi="ar"/>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5396" w:type="dxa"/>
            <w:gridSpan w:val="7"/>
            <w:vAlign w:val="center"/>
          </w:tcPr>
          <w:p>
            <w:pPr>
              <w:adjustRightInd w:val="0"/>
              <w:snapToGrid w:val="0"/>
              <w:jc w:val="center"/>
              <w:rPr>
                <w:rFonts w:ascii="黑体" w:hAnsi="黑体" w:eastAsia="黑体"/>
                <w:color w:val="auto"/>
                <w:spacing w:val="-26"/>
                <w:sz w:val="28"/>
                <w:szCs w:val="28"/>
                <w:highlight w:val="none"/>
                <w:lang w:eastAsia="zh-CN"/>
              </w:rPr>
            </w:pPr>
            <w:r>
              <w:rPr>
                <w:rFonts w:hint="eastAsia" w:ascii="黑体" w:hAnsi="黑体" w:eastAsia="黑体"/>
                <w:color w:val="auto"/>
                <w:sz w:val="28"/>
                <w:szCs w:val="28"/>
                <w:highlight w:val="none"/>
                <w:lang w:eastAsia="zh-CN"/>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549"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7</w:t>
            </w:r>
          </w:p>
        </w:tc>
        <w:tc>
          <w:tcPr>
            <w:tcW w:w="814"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深化生态保护红线划定成果应用</w:t>
            </w: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根据“三区三线”中生态保护红线划定成果，组织完成分区规划涉及生态保护红线相关内容的修改，完成市级下达工作任务。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lang w:bidi="ar"/>
              </w:rPr>
              <w:t>相关镇</w:t>
            </w:r>
          </w:p>
        </w:tc>
        <w:tc>
          <w:tcPr>
            <w:tcW w:w="2327" w:type="dxa"/>
            <w:vAlign w:val="center"/>
          </w:tcPr>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snapToGrid w:val="0"/>
              <w:spacing w:line="340" w:lineRule="exact"/>
              <w:ind w:firstLine="280" w:firstLineChars="100"/>
              <w:textAlignment w:val="auto"/>
              <w:outlineLvl w:val="9"/>
              <w:rPr>
                <w:color w:val="auto"/>
                <w:sz w:val="28"/>
                <w:szCs w:val="28"/>
                <w:highlight w:val="none"/>
                <w:lang w:eastAsia="zh-CN"/>
              </w:rPr>
            </w:pPr>
            <w:r>
              <w:rPr>
                <w:rFonts w:hint="eastAsia"/>
                <w:color w:val="auto"/>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rFonts w:ascii="宋体" w:hAnsi="宋体"/>
                <w:color w:val="auto"/>
                <w:sz w:val="28"/>
                <w:szCs w:val="28"/>
                <w:highlight w:val="none"/>
                <w:lang w:eastAsia="zh-CN"/>
              </w:rPr>
            </w:pPr>
            <w:r>
              <w:rPr>
                <w:rFonts w:hint="eastAsia"/>
                <w:color w:val="auto"/>
                <w:sz w:val="28"/>
                <w:szCs w:val="28"/>
                <w:highlight w:val="none"/>
                <w:lang w:eastAsia="zh-CN"/>
              </w:rPr>
              <w:t>严格实施国土空间用途管制，严控新增建设用地。落实属地职责，加强辖区重要生态空间人为活动管控。</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bidi="ar"/>
              </w:rPr>
              <w:t>各镇街（地区）</w:t>
            </w:r>
          </w:p>
        </w:tc>
        <w:tc>
          <w:tcPr>
            <w:tcW w:w="2327" w:type="dxa"/>
            <w:vAlign w:val="center"/>
          </w:tcPr>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549"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8</w:t>
            </w:r>
          </w:p>
        </w:tc>
        <w:tc>
          <w:tcPr>
            <w:tcW w:w="814"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提升自然保护地监督管理水平</w:t>
            </w: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按照市级部门要求，推进我区风景名胜区整合优化，完善自然保护地体系。</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持续推进</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配合市级开展年度重点自然保护地管理和保护成效评估，提高自然保护地管理效能。加强自然保护地监督管理，保护重要生态空间，完成市级下达工作任务。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firstLine="140" w:firstLineChars="50"/>
              <w:textAlignment w:val="auto"/>
              <w:outlineLvl w:val="9"/>
              <w:rPr>
                <w:color w:val="auto"/>
                <w:sz w:val="28"/>
                <w:szCs w:val="28"/>
                <w:highlight w:val="none"/>
                <w:lang w:eastAsia="zh-CN"/>
              </w:rPr>
            </w:pP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w:t>
            </w:r>
            <w:r>
              <w:rPr>
                <w:rFonts w:hint="eastAsia"/>
                <w:color w:val="auto"/>
                <w:sz w:val="28"/>
                <w:szCs w:val="28"/>
                <w:highlight w:val="none"/>
                <w:lang w:val="en-US" w:eastAsia="zh-CN"/>
              </w:rPr>
              <w:t>化</w:t>
            </w:r>
            <w:r>
              <w:rPr>
                <w:rFonts w:hint="eastAsia"/>
                <w:color w:val="auto"/>
                <w:sz w:val="28"/>
                <w:szCs w:val="28"/>
                <w:highlight w:val="none"/>
                <w:lang w:eastAsia="zh-CN"/>
              </w:rPr>
              <w:t>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w:t>
            </w:r>
            <w:r>
              <w:rPr>
                <w:rFonts w:hint="eastAsia"/>
                <w:color w:val="auto"/>
                <w:sz w:val="28"/>
                <w:szCs w:val="28"/>
                <w:highlight w:val="none"/>
                <w:lang w:val="en-US" w:eastAsia="zh-CN"/>
              </w:rPr>
              <w:t>化</w:t>
            </w:r>
            <w:r>
              <w:rPr>
                <w:rFonts w:hint="eastAsia"/>
                <w:color w:val="auto"/>
                <w:sz w:val="28"/>
                <w:szCs w:val="28"/>
                <w:highlight w:val="none"/>
                <w:lang w:eastAsia="zh-CN"/>
              </w:rPr>
              <w:t>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区规自分局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9" w:type="dxa"/>
            <w:vMerge w:val="continue"/>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p>
        </w:tc>
        <w:tc>
          <w:tcPr>
            <w:tcW w:w="814" w:type="dxa"/>
            <w:vMerge w:val="continue"/>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按照市级部门统一部署，开展自然保护地生态环境监督工作，落实整改销号要求。</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firstLine="280" w:firstLineChars="100"/>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区农业农村局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区公路分局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做好自然保护区日常管理和例行巡查，遏制新增问题，推动历史遗留问题解决。</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r>
              <w:rPr>
                <w:rFonts w:hint="eastAsia"/>
                <w:color w:val="auto"/>
                <w:sz w:val="28"/>
                <w:szCs w:val="28"/>
                <w:highlight w:val="none"/>
              </w:rPr>
              <w:t>年底前</w:t>
            </w:r>
          </w:p>
        </w:tc>
        <w:tc>
          <w:tcPr>
            <w:tcW w:w="4386" w:type="dxa"/>
            <w:gridSpan w:val="2"/>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区文旅局</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区公路分局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9</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加强资源开发利用活动监督</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开展对生态环境有影响的矿产等自然资源开发利用活动线索的遥感监测，严格查处违法违规开采行为。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区规自分局</w:t>
            </w:r>
          </w:p>
        </w:tc>
        <w:tc>
          <w:tcPr>
            <w:tcW w:w="2327" w:type="dxa"/>
            <w:vAlign w:val="center"/>
          </w:tcPr>
          <w:p>
            <w:pPr>
              <w:adjustRightInd w:val="0"/>
              <w:snapToGrid w:val="0"/>
              <w:jc w:val="center"/>
              <w:rPr>
                <w:color w:val="auto"/>
                <w:sz w:val="28"/>
                <w:szCs w:val="28"/>
                <w:highlight w:val="none"/>
              </w:rPr>
            </w:pPr>
            <w:r>
              <w:rPr>
                <w:rFonts w:hint="eastAsia"/>
                <w:color w:val="auto"/>
                <w:sz w:val="28"/>
                <w:szCs w:val="28"/>
                <w:highlight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10</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统筹推进实施生态保护修复</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编制完成区级国土空间生态修复规划。</w:t>
            </w:r>
          </w:p>
        </w:tc>
        <w:tc>
          <w:tcPr>
            <w:tcW w:w="1334" w:type="dxa"/>
            <w:vAlign w:val="center"/>
          </w:tcPr>
          <w:p>
            <w:pPr>
              <w:adjustRightInd w:val="0"/>
              <w:snapToGrid w:val="0"/>
              <w:spacing w:line="360" w:lineRule="exact"/>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snapToGrid w:val="0"/>
              <w:jc w:val="center"/>
              <w:rPr>
                <w:color w:val="auto"/>
                <w:sz w:val="28"/>
                <w:szCs w:val="28"/>
                <w:highlight w:val="none"/>
              </w:rPr>
            </w:pPr>
            <w:r>
              <w:rPr>
                <w:rFonts w:hint="eastAsia"/>
                <w:color w:val="auto"/>
                <w:sz w:val="28"/>
                <w:szCs w:val="28"/>
                <w:highlight w:val="none"/>
              </w:rPr>
              <w:t>区规自分局</w:t>
            </w:r>
          </w:p>
        </w:tc>
        <w:tc>
          <w:tcPr>
            <w:tcW w:w="2346" w:type="dxa"/>
            <w:vAlign w:val="center"/>
          </w:tcPr>
          <w:p>
            <w:pPr>
              <w:snapToGrid w:val="0"/>
              <w:jc w:val="center"/>
              <w:rPr>
                <w:color w:val="auto"/>
                <w:sz w:val="28"/>
                <w:szCs w:val="28"/>
                <w:highlight w:val="none"/>
              </w:rPr>
            </w:pPr>
            <w:r>
              <w:rPr>
                <w:rFonts w:hint="eastAsia"/>
                <w:color w:val="auto"/>
                <w:sz w:val="28"/>
                <w:szCs w:val="28"/>
                <w:highlight w:val="none"/>
              </w:rPr>
              <w:t>区规自分局</w:t>
            </w:r>
          </w:p>
          <w:p>
            <w:pPr>
              <w:snapToGrid w:val="0"/>
              <w:jc w:val="center"/>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区水务局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strike/>
                <w:color w:val="auto"/>
                <w:sz w:val="28"/>
                <w:szCs w:val="28"/>
                <w:highlight w:val="none"/>
                <w:lang w:eastAsia="zh-CN"/>
              </w:rPr>
            </w:pPr>
            <w:r>
              <w:rPr>
                <w:rFonts w:hint="eastAsia"/>
                <w:color w:val="auto"/>
                <w:sz w:val="28"/>
                <w:szCs w:val="28"/>
                <w:highlight w:val="none"/>
                <w:lang w:eastAsia="zh-CN"/>
              </w:rPr>
              <w:t>按照本市矿山生态修复“十四五”规划要求，持续推进废弃矿山生态修复治理工作，关注已完成治理的矿山生态修复项目绿化效果。</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持续</w:t>
            </w:r>
          </w:p>
          <w:p>
            <w:pPr>
              <w:adjustRightInd w:val="0"/>
              <w:snapToGrid w:val="0"/>
              <w:spacing w:line="360" w:lineRule="exact"/>
              <w:ind w:firstLine="280" w:firstLineChars="100"/>
              <w:rPr>
                <w:color w:val="auto"/>
                <w:sz w:val="28"/>
                <w:szCs w:val="28"/>
                <w:highlight w:val="none"/>
              </w:rPr>
            </w:pPr>
            <w:r>
              <w:rPr>
                <w:rFonts w:hint="eastAsia"/>
                <w:color w:val="auto"/>
                <w:sz w:val="28"/>
                <w:szCs w:val="28"/>
                <w:highlight w:val="none"/>
              </w:rPr>
              <w:t>推进</w:t>
            </w:r>
          </w:p>
        </w:tc>
        <w:tc>
          <w:tcPr>
            <w:tcW w:w="2040" w:type="dxa"/>
            <w:vAlign w:val="center"/>
          </w:tcPr>
          <w:p>
            <w:pPr>
              <w:snapToGrid w:val="0"/>
              <w:jc w:val="center"/>
              <w:rPr>
                <w:color w:val="auto"/>
                <w:sz w:val="28"/>
                <w:szCs w:val="28"/>
                <w:highlight w:val="none"/>
              </w:rPr>
            </w:pPr>
            <w:r>
              <w:rPr>
                <w:rFonts w:hint="eastAsia" w:hAnsi="Times New Roman" w:cs="Times New Roman"/>
                <w:color w:val="auto"/>
                <w:sz w:val="28"/>
                <w:szCs w:val="28"/>
                <w:highlight w:val="none"/>
              </w:rPr>
              <w:t>区规自分局</w:t>
            </w:r>
            <w:r>
              <w:rPr>
                <w:rFonts w:hint="eastAsia" w:hAnsi="Times New Roman" w:cs="Times New Roman"/>
                <w:color w:val="auto"/>
                <w:sz w:val="28"/>
                <w:szCs w:val="28"/>
                <w:highlight w:val="none"/>
              </w:rPr>
              <w:br w:type="textWrapping"/>
            </w:r>
            <w:r>
              <w:rPr>
                <w:rFonts w:hint="eastAsia" w:hAnsi="Times New Roman" w:cs="Times New Roman"/>
                <w:color w:val="auto"/>
                <w:sz w:val="28"/>
                <w:szCs w:val="28"/>
                <w:highlight w:val="none"/>
              </w:rPr>
              <w:t>区国资委</w:t>
            </w:r>
          </w:p>
        </w:tc>
        <w:tc>
          <w:tcPr>
            <w:tcW w:w="2346" w:type="dxa"/>
            <w:vAlign w:val="center"/>
          </w:tcPr>
          <w:p>
            <w:pPr>
              <w:snapToGrid w:val="0"/>
              <w:jc w:val="center"/>
              <w:rPr>
                <w:color w:val="auto"/>
                <w:sz w:val="28"/>
                <w:szCs w:val="28"/>
                <w:highlight w:val="none"/>
                <w:lang w:eastAsia="zh-CN"/>
              </w:rPr>
            </w:pPr>
            <w:r>
              <w:rPr>
                <w:rFonts w:hint="eastAsia" w:hAnsi="Times New Roman" w:cs="Times New Roman"/>
                <w:color w:val="auto"/>
                <w:sz w:val="28"/>
                <w:szCs w:val="28"/>
                <w:highlight w:val="none"/>
                <w:lang w:eastAsia="zh-CN"/>
              </w:rPr>
              <w:t>区规自分局</w:t>
            </w:r>
            <w:r>
              <w:rPr>
                <w:rFonts w:hint="eastAsia" w:hAnsi="Times New Roman" w:cs="Times New Roman"/>
                <w:color w:val="auto"/>
                <w:sz w:val="28"/>
                <w:szCs w:val="28"/>
                <w:highlight w:val="none"/>
                <w:lang w:eastAsia="zh-CN"/>
              </w:rPr>
              <w:br w:type="textWrapping"/>
            </w:r>
            <w:r>
              <w:rPr>
                <w:rFonts w:hint="eastAsia" w:hAnsi="Times New Roman" w:cs="Times New Roman"/>
                <w:color w:val="auto"/>
                <w:sz w:val="28"/>
                <w:szCs w:val="28"/>
                <w:highlight w:val="none"/>
                <w:lang w:eastAsia="zh-CN"/>
              </w:rPr>
              <w:t>区国资委</w:t>
            </w:r>
            <w:r>
              <w:rPr>
                <w:rFonts w:hint="eastAsia" w:hAnsi="Times New Roman" w:cs="Times New Roman"/>
                <w:color w:val="auto"/>
                <w:sz w:val="28"/>
                <w:szCs w:val="28"/>
                <w:highlight w:val="none"/>
                <w:lang w:eastAsia="zh-CN"/>
              </w:rPr>
              <w:br w:type="textWrapping"/>
            </w:r>
            <w:r>
              <w:rPr>
                <w:rFonts w:hint="eastAsia"/>
                <w:color w:val="auto"/>
                <w:sz w:val="28"/>
                <w:szCs w:val="28"/>
                <w:highlight w:val="none"/>
                <w:lang w:eastAsia="zh-CN"/>
              </w:rPr>
              <w:t>相关镇</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区财政局</w:t>
            </w:r>
          </w:p>
          <w:p>
            <w:pPr>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549" w:type="dxa"/>
            <w:vMerge w:val="restart"/>
            <w:vAlign w:val="center"/>
          </w:tcPr>
          <w:p>
            <w:pPr>
              <w:keepNext w:val="0"/>
              <w:keepLines w:val="0"/>
              <w:pageBreakBefore w:val="0"/>
              <w:widowControl/>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10</w:t>
            </w:r>
          </w:p>
        </w:tc>
        <w:tc>
          <w:tcPr>
            <w:tcW w:w="814" w:type="dxa"/>
            <w:vMerge w:val="restart"/>
            <w:vAlign w:val="center"/>
          </w:tcPr>
          <w:p>
            <w:pPr>
              <w:keepNext w:val="0"/>
              <w:keepLines w:val="0"/>
              <w:pageBreakBefore w:val="0"/>
              <w:widowControl/>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统筹推进实施生态保护修复</w:t>
            </w:r>
          </w:p>
        </w:tc>
        <w:tc>
          <w:tcPr>
            <w:tcW w:w="5986" w:type="dxa"/>
            <w:vAlign w:val="center"/>
          </w:tcPr>
          <w:p>
            <w:pPr>
              <w:keepNext w:val="0"/>
              <w:keepLines w:val="0"/>
              <w:pageBreakBefore w:val="0"/>
              <w:kinsoku/>
              <w:wordWrap/>
              <w:overflowPunct/>
              <w:topLinePunct w:val="0"/>
              <w:autoSpaceDE w:val="0"/>
              <w:autoSpaceDN w:val="0"/>
              <w:bidi w:val="0"/>
              <w:spacing w:line="400" w:lineRule="exact"/>
              <w:textAlignment w:val="auto"/>
              <w:outlineLvl w:val="9"/>
              <w:rPr>
                <w:color w:val="auto"/>
                <w:highlight w:val="none"/>
              </w:rPr>
            </w:pPr>
            <w:r>
              <w:rPr>
                <w:rFonts w:hint="eastAsia"/>
                <w:color w:val="auto"/>
                <w:sz w:val="28"/>
                <w:szCs w:val="28"/>
                <w:highlight w:val="none"/>
                <w:lang w:eastAsia="zh-CN"/>
              </w:rPr>
              <w:t>按照市级部门要求，推进园林绿化“增绿提质”。统筹管理两轮百万亩造林、五河十路和绿隔地区生态林，实施分级分类管护经营。优化林分结构、树种组成及分布格局，推动建立可持续的近自然森林经营与管理模式。</w:t>
            </w:r>
          </w:p>
          <w:p>
            <w:pPr>
              <w:keepNext w:val="0"/>
              <w:keepLines w:val="0"/>
              <w:pageBreakBefore w:val="0"/>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开展生态保育小区建设，推进平原生态林养护经营示范区建设，建立自然带营造和管理示范点。完成市级下达任务。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400" w:lineRule="exact"/>
              <w:ind w:left="-110" w:leftChars="-50" w:right="-110" w:rightChars="-50"/>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pacing w:val="-22"/>
                <w:sz w:val="28"/>
                <w:szCs w:val="28"/>
                <w:highlight w:val="none"/>
                <w:lang w:eastAsia="zh-CN"/>
              </w:rPr>
            </w:pPr>
            <w:r>
              <w:rPr>
                <w:rFonts w:hint="eastAsia"/>
                <w:color w:val="auto"/>
                <w:sz w:val="28"/>
                <w:szCs w:val="28"/>
                <w:highlight w:val="none"/>
                <w:lang w:eastAsia="zh-CN" w:bidi="ar"/>
              </w:rPr>
              <w:t>各镇街（地区）</w:t>
            </w:r>
            <w:r>
              <w:rPr>
                <w:rFonts w:hint="eastAsia"/>
                <w:color w:val="auto"/>
                <w:sz w:val="28"/>
                <w:szCs w:val="28"/>
                <w:highlight w:val="none"/>
                <w:lang w:eastAsia="zh-CN" w:bidi="ar"/>
              </w:rPr>
              <w:br w:type="textWrapping"/>
            </w:r>
            <w:r>
              <w:rPr>
                <w:rFonts w:hint="eastAsia"/>
                <w:color w:val="auto"/>
                <w:sz w:val="28"/>
                <w:szCs w:val="28"/>
                <w:highlight w:val="none"/>
                <w:lang w:eastAsia="zh-CN" w:bidi="ar"/>
              </w:rPr>
              <w:t>中关村密云园</w:t>
            </w:r>
          </w:p>
        </w:tc>
        <w:tc>
          <w:tcPr>
            <w:tcW w:w="2327"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pacing w:val="-26"/>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549" w:type="dxa"/>
            <w:vMerge w:val="continue"/>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rPr>
            </w:pPr>
          </w:p>
        </w:tc>
        <w:tc>
          <w:tcPr>
            <w:tcW w:w="814" w:type="dxa"/>
            <w:vMerge w:val="continue"/>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outlineLvl w:val="9"/>
              <w:rPr>
                <w:color w:val="auto"/>
                <w:sz w:val="28"/>
                <w:szCs w:val="28"/>
                <w:highlight w:val="none"/>
              </w:rPr>
            </w:pPr>
          </w:p>
        </w:tc>
        <w:tc>
          <w:tcPr>
            <w:tcW w:w="5986" w:type="dxa"/>
            <w:vAlign w:val="center"/>
          </w:tcPr>
          <w:p>
            <w:pPr>
              <w:pStyle w:val="10"/>
              <w:keepNext w:val="0"/>
              <w:keepLines w:val="0"/>
              <w:pageBreakBefore w:val="0"/>
              <w:kinsoku/>
              <w:wordWrap/>
              <w:overflowPunct/>
              <w:topLinePunct w:val="0"/>
              <w:autoSpaceDE w:val="0"/>
              <w:autoSpaceDN w:val="0"/>
              <w:bidi w:val="0"/>
              <w:spacing w:line="400" w:lineRule="exact"/>
              <w:textAlignment w:val="auto"/>
              <w:outlineLvl w:val="9"/>
              <w:rPr>
                <w:rFonts w:ascii="仿宋_GB2312" w:cs="宋体"/>
                <w:strike/>
                <w:color w:val="auto"/>
                <w:sz w:val="28"/>
                <w:szCs w:val="28"/>
                <w:highlight w:val="none"/>
                <w:lang w:eastAsia="zh-CN"/>
              </w:rPr>
            </w:pPr>
            <w:r>
              <w:rPr>
                <w:rFonts w:hint="eastAsia" w:ascii="仿宋_GB2312"/>
                <w:color w:val="auto"/>
                <w:sz w:val="28"/>
                <w:szCs w:val="28"/>
                <w:highlight w:val="none"/>
                <w:lang w:eastAsia="zh-CN"/>
              </w:rPr>
              <w:t>加强绿地建设，建设休闲公园、口袋公园及小微绿地等，完成市级下达任务。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pacing w:val="-6"/>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bidi="ar"/>
              </w:rPr>
            </w:pPr>
            <w:r>
              <w:rPr>
                <w:rFonts w:hint="eastAsia"/>
                <w:color w:val="auto"/>
                <w:sz w:val="28"/>
                <w:szCs w:val="28"/>
                <w:highlight w:val="none"/>
                <w:lang w:eastAsia="zh-CN" w:bidi="ar"/>
              </w:rPr>
              <w:t>相关镇</w:t>
            </w:r>
          </w:p>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bidi="ar"/>
              </w:rPr>
              <w:t>中关村密云园</w:t>
            </w:r>
          </w:p>
        </w:tc>
        <w:tc>
          <w:tcPr>
            <w:tcW w:w="2327"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40" w:lineRule="exact"/>
              <w:rPr>
                <w:strike/>
                <w:color w:val="auto"/>
                <w:sz w:val="28"/>
                <w:szCs w:val="28"/>
                <w:highlight w:val="none"/>
                <w:lang w:eastAsia="zh-CN"/>
              </w:rPr>
            </w:pPr>
            <w:r>
              <w:rPr>
                <w:rFonts w:hint="eastAsia" w:hAnsi="Calibri"/>
                <w:color w:val="auto"/>
                <w:sz w:val="28"/>
                <w:szCs w:val="28"/>
                <w:highlight w:val="none"/>
                <w:lang w:eastAsia="zh-CN"/>
              </w:rPr>
              <w:t>因地制宜开展湿地修复，提升湿地生态质量。</w:t>
            </w:r>
          </w:p>
        </w:tc>
        <w:tc>
          <w:tcPr>
            <w:tcW w:w="1334" w:type="dxa"/>
            <w:vAlign w:val="center"/>
          </w:tcPr>
          <w:p>
            <w:pPr>
              <w:adjustRightInd w:val="0"/>
              <w:snapToGrid w:val="0"/>
              <w:spacing w:line="34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40" w:lineRule="exact"/>
              <w:ind w:right="-110" w:rightChars="-50"/>
              <w:jc w:val="center"/>
              <w:rPr>
                <w:color w:val="auto"/>
                <w:sz w:val="28"/>
                <w:szCs w:val="28"/>
                <w:highlight w:val="none"/>
              </w:rPr>
            </w:pPr>
            <w:r>
              <w:rPr>
                <w:rFonts w:hint="eastAsia"/>
                <w:color w:val="auto"/>
                <w:sz w:val="28"/>
                <w:szCs w:val="28"/>
                <w:highlight w:val="none"/>
              </w:rPr>
              <w:t>区园林绿化局</w:t>
            </w:r>
          </w:p>
        </w:tc>
        <w:tc>
          <w:tcPr>
            <w:tcW w:w="2346" w:type="dxa"/>
            <w:vAlign w:val="center"/>
          </w:tcPr>
          <w:p>
            <w:pPr>
              <w:adjustRightInd w:val="0"/>
              <w:snapToGrid w:val="0"/>
              <w:spacing w:line="340" w:lineRule="exact"/>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spacing w:line="340" w:lineRule="exact"/>
              <w:jc w:val="center"/>
              <w:rPr>
                <w:color w:val="auto"/>
                <w:sz w:val="28"/>
                <w:szCs w:val="28"/>
                <w:highlight w:val="none"/>
                <w:lang w:eastAsia="zh-CN" w:bidi="ar"/>
              </w:rPr>
            </w:pPr>
            <w:r>
              <w:rPr>
                <w:rFonts w:hint="eastAsia"/>
                <w:color w:val="auto"/>
                <w:sz w:val="28"/>
                <w:szCs w:val="28"/>
                <w:highlight w:val="none"/>
                <w:lang w:eastAsia="zh-CN" w:bidi="ar"/>
              </w:rPr>
              <w:t>相关镇</w:t>
            </w:r>
          </w:p>
          <w:p>
            <w:pPr>
              <w:adjustRightInd w:val="0"/>
              <w:snapToGrid w:val="0"/>
              <w:spacing w:line="340" w:lineRule="exact"/>
              <w:ind w:right="-110" w:rightChars="-50"/>
              <w:jc w:val="center"/>
              <w:rPr>
                <w:rFonts w:eastAsia="宋体"/>
                <w:color w:val="auto"/>
                <w:sz w:val="28"/>
                <w:szCs w:val="28"/>
                <w:highlight w:val="none"/>
                <w:lang w:eastAsia="zh-CN" w:bidi="ar"/>
              </w:rPr>
            </w:pPr>
            <w:r>
              <w:rPr>
                <w:rFonts w:hint="eastAsia"/>
                <w:color w:val="auto"/>
                <w:sz w:val="28"/>
                <w:szCs w:val="28"/>
                <w:highlight w:val="none"/>
                <w:lang w:eastAsia="zh-CN" w:bidi="ar"/>
              </w:rPr>
              <w:t>中关村密云园</w:t>
            </w:r>
          </w:p>
        </w:tc>
        <w:tc>
          <w:tcPr>
            <w:tcW w:w="2327" w:type="dxa"/>
            <w:vAlign w:val="center"/>
          </w:tcPr>
          <w:p>
            <w:pPr>
              <w:snapToGrid w:val="0"/>
              <w:spacing w:line="340" w:lineRule="exact"/>
              <w:jc w:val="center"/>
              <w:rPr>
                <w:color w:val="auto"/>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5396" w:type="dxa"/>
            <w:gridSpan w:val="7"/>
            <w:vAlign w:val="center"/>
          </w:tcPr>
          <w:p>
            <w:pPr>
              <w:snapToGrid w:val="0"/>
              <w:ind w:left="-110" w:leftChars="-50" w:right="-110" w:rightChars="-50"/>
              <w:jc w:val="center"/>
              <w:rPr>
                <w:color w:val="auto"/>
                <w:sz w:val="28"/>
                <w:szCs w:val="28"/>
                <w:highlight w:val="none"/>
                <w:lang w:eastAsia="zh-CN"/>
              </w:rPr>
            </w:pPr>
            <w:r>
              <w:rPr>
                <w:rFonts w:hint="eastAsia" w:ascii="黑体" w:hAnsi="黑体" w:eastAsia="黑体"/>
                <w:color w:val="auto"/>
                <w:sz w:val="28"/>
                <w:szCs w:val="28"/>
                <w:highlight w:val="none"/>
                <w:lang w:eastAsia="zh-CN"/>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5"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11</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开展生态产品价值核算</w:t>
            </w:r>
          </w:p>
        </w:tc>
        <w:tc>
          <w:tcPr>
            <w:tcW w:w="5986" w:type="dxa"/>
            <w:vAlign w:val="center"/>
          </w:tcPr>
          <w:p>
            <w:pPr>
              <w:adjustRightInd w:val="0"/>
              <w:snapToGrid w:val="0"/>
              <w:spacing w:line="360" w:lineRule="exact"/>
              <w:rPr>
                <w:rFonts w:ascii="Calibri"/>
                <w:color w:val="auto"/>
                <w:sz w:val="28"/>
                <w:szCs w:val="28"/>
                <w:highlight w:val="none"/>
                <w:lang w:eastAsia="zh-CN"/>
              </w:rPr>
            </w:pPr>
            <w:r>
              <w:rPr>
                <w:rFonts w:hint="eastAsia"/>
                <w:color w:val="auto"/>
                <w:sz w:val="28"/>
                <w:szCs w:val="28"/>
                <w:highlight w:val="none"/>
                <w:lang w:eastAsia="zh-CN"/>
              </w:rPr>
              <w:t>持续开展2022年生态产品总值核算工作，为促进生态产品价值实现奠定基础。</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pacing w:val="-6"/>
                <w:sz w:val="28"/>
                <w:szCs w:val="28"/>
                <w:highlight w:val="none"/>
              </w:rPr>
              <w:t>年底前</w:t>
            </w:r>
          </w:p>
        </w:tc>
        <w:tc>
          <w:tcPr>
            <w:tcW w:w="4386" w:type="dxa"/>
            <w:gridSpan w:val="2"/>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区统计局</w:t>
            </w:r>
          </w:p>
        </w:tc>
        <w:tc>
          <w:tcPr>
            <w:tcW w:w="2327"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区发改委</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区住建委</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区农业农村局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区文旅局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default"/>
                <w:color w:val="auto"/>
                <w:sz w:val="28"/>
                <w:szCs w:val="28"/>
                <w:highlight w:val="none"/>
                <w:lang w:eastAsia="zh-CN"/>
              </w:rPr>
              <w:t>区农业服务中心</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区气象局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国家统计局密云调查队</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12</w:t>
            </w:r>
          </w:p>
        </w:tc>
        <w:tc>
          <w:tcPr>
            <w:tcW w:w="814" w:type="dxa"/>
            <w:vAlign w:val="center"/>
          </w:tcPr>
          <w:p>
            <w:pPr>
              <w:adjustRightInd w:val="0"/>
              <w:snapToGrid w:val="0"/>
              <w:jc w:val="center"/>
              <w:rPr>
                <w:color w:val="auto"/>
                <w:sz w:val="28"/>
                <w:szCs w:val="28"/>
                <w:highlight w:val="none"/>
                <w:lang w:eastAsia="zh-CN"/>
              </w:rPr>
            </w:pPr>
            <w:r>
              <w:rPr>
                <w:rFonts w:hint="eastAsia"/>
                <w:color w:val="auto"/>
                <w:spacing w:val="-6"/>
                <w:sz w:val="28"/>
                <w:szCs w:val="28"/>
                <w:highlight w:val="none"/>
                <w:lang w:eastAsia="zh-CN"/>
              </w:rPr>
              <w:t>巩固生态文明示范创建成果</w:t>
            </w:r>
          </w:p>
        </w:tc>
        <w:tc>
          <w:tcPr>
            <w:tcW w:w="5986"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巩固“国家生态文明建设示范区”和“两山”实践创新基地创建成果，持续落实《北京市密云区生态文明建设规划（</w:t>
            </w:r>
            <w:r>
              <w:rPr>
                <w:rFonts w:hint="eastAsia" w:hAnsi="Times New Roman" w:cs="Times New Roman"/>
                <w:color w:val="auto"/>
                <w:sz w:val="28"/>
                <w:szCs w:val="28"/>
                <w:highlight w:val="none"/>
                <w:lang w:eastAsia="zh-CN"/>
              </w:rPr>
              <w:t>2018-2025</w:t>
            </w:r>
            <w:r>
              <w:rPr>
                <w:rFonts w:hint="eastAsia"/>
                <w:color w:val="auto"/>
                <w:sz w:val="28"/>
                <w:szCs w:val="28"/>
                <w:highlight w:val="none"/>
                <w:lang w:eastAsia="zh-CN"/>
              </w:rPr>
              <w:t>）》和《北京市密云区“绿水青山就是金山银山”实践创新基地建设实施方案》，努力提高各项创建指标，提高示范水平；做好创建年度自查和市级后评估工作；完善“两山”转化模式，推动生态产品总值增长，促进高质量发展。</w:t>
            </w:r>
          </w:p>
        </w:tc>
        <w:tc>
          <w:tcPr>
            <w:tcW w:w="1334" w:type="dxa"/>
            <w:vAlign w:val="center"/>
          </w:tcPr>
          <w:p>
            <w:pPr>
              <w:spacing w:line="420" w:lineRule="exact"/>
              <w:jc w:val="center"/>
              <w:rPr>
                <w:color w:val="auto"/>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ascii="Calibri" w:hAnsi="Calibri"/>
                <w:color w:val="auto"/>
                <w:sz w:val="28"/>
                <w:szCs w:val="28"/>
                <w:highlight w:val="none"/>
                <w:lang w:eastAsia="zh-CN"/>
              </w:rPr>
              <w:t>区委生态文明委办公室</w:t>
            </w:r>
          </w:p>
        </w:tc>
        <w:tc>
          <w:tcPr>
            <w:tcW w:w="2346" w:type="dxa"/>
            <w:vAlign w:val="center"/>
          </w:tcPr>
          <w:p>
            <w:pPr>
              <w:adjustRightInd w:val="0"/>
              <w:snapToGrid w:val="0"/>
              <w:jc w:val="center"/>
              <w:rPr>
                <w:rFonts w:ascii="Calibri" w:hAnsi="Calibri"/>
                <w:color w:val="auto"/>
                <w:sz w:val="28"/>
                <w:szCs w:val="28"/>
                <w:highlight w:val="none"/>
                <w:lang w:eastAsia="zh-CN"/>
              </w:rPr>
            </w:pPr>
            <w:r>
              <w:rPr>
                <w:rFonts w:hint="eastAsia" w:ascii="Calibri" w:hAnsi="Calibri"/>
                <w:color w:val="auto"/>
                <w:sz w:val="28"/>
                <w:szCs w:val="28"/>
                <w:highlight w:val="none"/>
                <w:lang w:eastAsia="zh-CN"/>
              </w:rPr>
              <w:t>区委生态文明委</w:t>
            </w:r>
          </w:p>
          <w:p>
            <w:pPr>
              <w:jc w:val="center"/>
              <w:rPr>
                <w:color w:val="auto"/>
                <w:sz w:val="28"/>
                <w:szCs w:val="28"/>
                <w:highlight w:val="none"/>
                <w:lang w:eastAsia="zh-CN"/>
              </w:rPr>
            </w:pPr>
            <w:r>
              <w:rPr>
                <w:rFonts w:hint="eastAsia" w:ascii="Calibri" w:hAnsi="Calibri"/>
                <w:color w:val="auto"/>
                <w:sz w:val="28"/>
                <w:szCs w:val="28"/>
                <w:highlight w:val="none"/>
                <w:lang w:eastAsia="zh-CN"/>
              </w:rPr>
              <w:t>成员单位</w:t>
            </w:r>
          </w:p>
        </w:tc>
        <w:tc>
          <w:tcPr>
            <w:tcW w:w="2327"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区人力社保局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pacing w:val="-26"/>
                <w:sz w:val="28"/>
                <w:szCs w:val="28"/>
                <w:highlight w:val="none"/>
              </w:rPr>
            </w:pPr>
            <w:r>
              <w:rPr>
                <w:rFonts w:hint="eastAsia"/>
                <w:color w:val="auto"/>
                <w:sz w:val="28"/>
                <w:szCs w:val="28"/>
                <w:highlight w:val="none"/>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13</w:t>
            </w:r>
          </w:p>
        </w:tc>
        <w:tc>
          <w:tcPr>
            <w:tcW w:w="8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pacing w:val="-6"/>
                <w:sz w:val="28"/>
                <w:szCs w:val="28"/>
                <w:highlight w:val="none"/>
                <w:lang w:eastAsia="zh-CN"/>
              </w:rPr>
            </w:pPr>
            <w:r>
              <w:rPr>
                <w:rFonts w:hint="eastAsia"/>
                <w:color w:val="auto"/>
                <w:sz w:val="28"/>
                <w:szCs w:val="28"/>
                <w:highlight w:val="none"/>
                <w:lang w:eastAsia="zh-CN"/>
              </w:rPr>
              <w:t>加强国家重点生态功能区域生态环境质量监测与评价工作</w:t>
            </w:r>
          </w:p>
        </w:tc>
        <w:tc>
          <w:tcPr>
            <w:tcW w:w="5986" w:type="dxa"/>
            <w:vAlign w:val="center"/>
          </w:tcPr>
          <w:p>
            <w:pPr>
              <w:adjustRightInd w:val="0"/>
              <w:snapToGrid w:val="0"/>
              <w:spacing w:line="360" w:lineRule="exact"/>
              <w:rPr>
                <w:color w:val="auto"/>
                <w:spacing w:val="-6"/>
                <w:sz w:val="28"/>
                <w:szCs w:val="28"/>
                <w:highlight w:val="none"/>
                <w:lang w:eastAsia="zh-CN"/>
              </w:rPr>
            </w:pPr>
            <w:r>
              <w:rPr>
                <w:rFonts w:hint="eastAsia"/>
                <w:color w:val="auto"/>
                <w:sz w:val="28"/>
                <w:szCs w:val="28"/>
                <w:highlight w:val="none"/>
                <w:lang w:eastAsia="zh-CN"/>
              </w:rPr>
              <w:t>加强国家重点生态功能区县域生态环境质量监测与评价工作，全面落实《北京市密云区“十四五”国家重点生态功能区县域生态环境质量监测与评价工作实施方案》，不断提升区域水源涵养能力。</w:t>
            </w:r>
          </w:p>
        </w:tc>
        <w:tc>
          <w:tcPr>
            <w:tcW w:w="1334" w:type="dxa"/>
            <w:vAlign w:val="center"/>
          </w:tcPr>
          <w:p>
            <w:pPr>
              <w:adjustRightInd w:val="0"/>
              <w:snapToGrid w:val="0"/>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rFonts w:ascii="Calibri" w:hAnsi="Calibri"/>
                <w:color w:val="auto"/>
                <w:sz w:val="28"/>
                <w:szCs w:val="28"/>
                <w:highlight w:val="none"/>
                <w:lang w:eastAsia="zh-CN"/>
              </w:rPr>
            </w:pPr>
            <w:r>
              <w:rPr>
                <w:rFonts w:hint="eastAsia" w:ascii="Calibri" w:hAnsi="Calibri"/>
                <w:color w:val="auto"/>
                <w:sz w:val="28"/>
                <w:szCs w:val="28"/>
                <w:highlight w:val="none"/>
                <w:lang w:eastAsia="zh-CN"/>
              </w:rPr>
              <w:t>区委生态文明委办公室</w:t>
            </w:r>
          </w:p>
        </w:tc>
        <w:tc>
          <w:tcPr>
            <w:tcW w:w="2346" w:type="dxa"/>
            <w:vAlign w:val="center"/>
          </w:tcPr>
          <w:p>
            <w:pPr>
              <w:adjustRightInd w:val="0"/>
              <w:snapToGrid w:val="0"/>
              <w:jc w:val="center"/>
              <w:rPr>
                <w:rFonts w:ascii="Calibri" w:hAnsi="Calibri"/>
                <w:color w:val="auto"/>
                <w:sz w:val="28"/>
                <w:szCs w:val="28"/>
                <w:highlight w:val="none"/>
                <w:lang w:eastAsia="zh-CN"/>
              </w:rPr>
            </w:pPr>
          </w:p>
          <w:p>
            <w:pPr>
              <w:adjustRightInd w:val="0"/>
              <w:snapToGrid w:val="0"/>
              <w:jc w:val="center"/>
              <w:rPr>
                <w:rFonts w:ascii="Calibri" w:hAnsi="Calibri"/>
                <w:color w:val="auto"/>
                <w:sz w:val="28"/>
                <w:szCs w:val="28"/>
                <w:highlight w:val="none"/>
                <w:lang w:eastAsia="zh-CN"/>
              </w:rPr>
            </w:pPr>
            <w:r>
              <w:rPr>
                <w:rFonts w:hint="eastAsia" w:ascii="Calibri" w:hAnsi="Calibri"/>
                <w:color w:val="auto"/>
                <w:sz w:val="28"/>
                <w:szCs w:val="28"/>
                <w:highlight w:val="none"/>
                <w:lang w:eastAsia="zh-CN"/>
              </w:rPr>
              <w:t>区委生态文明委</w:t>
            </w:r>
          </w:p>
          <w:p>
            <w:pPr>
              <w:jc w:val="center"/>
              <w:rPr>
                <w:rFonts w:ascii="Calibri" w:hAnsi="Calibri"/>
                <w:color w:val="auto"/>
                <w:sz w:val="28"/>
                <w:szCs w:val="28"/>
                <w:highlight w:val="none"/>
                <w:lang w:eastAsia="zh-CN"/>
              </w:rPr>
            </w:pPr>
            <w:r>
              <w:rPr>
                <w:rFonts w:hint="eastAsia" w:ascii="Calibri" w:hAnsi="Calibri"/>
                <w:color w:val="auto"/>
                <w:sz w:val="28"/>
                <w:szCs w:val="28"/>
                <w:highlight w:val="none"/>
                <w:lang w:eastAsia="zh-CN"/>
              </w:rPr>
              <w:t>成员单位</w:t>
            </w:r>
          </w:p>
        </w:tc>
        <w:tc>
          <w:tcPr>
            <w:tcW w:w="2327" w:type="dxa"/>
            <w:vAlign w:val="center"/>
          </w:tcPr>
          <w:p>
            <w:pPr>
              <w:adjustRightInd w:val="0"/>
              <w:snapToGrid w:val="0"/>
              <w:jc w:val="center"/>
              <w:rPr>
                <w:color w:val="auto"/>
                <w:sz w:val="28"/>
                <w:szCs w:val="28"/>
                <w:highlight w:val="none"/>
                <w:lang w:eastAsia="zh-CN" w:bidi="ar"/>
              </w:rPr>
            </w:pPr>
            <w:r>
              <w:rPr>
                <w:rFonts w:hint="eastAsia"/>
                <w:color w:val="auto"/>
                <w:sz w:val="28"/>
                <w:szCs w:val="28"/>
                <w:highlight w:val="none"/>
                <w:lang w:eastAsia="zh-CN" w:bidi="ar"/>
              </w:rPr>
              <w:t>区</w:t>
            </w:r>
            <w:r>
              <w:rPr>
                <w:color w:val="auto"/>
                <w:sz w:val="28"/>
                <w:szCs w:val="28"/>
                <w:highlight w:val="none"/>
                <w:lang w:eastAsia="zh-CN" w:bidi="ar"/>
              </w:rPr>
              <w:t>民政局</w:t>
            </w:r>
          </w:p>
          <w:p>
            <w:pPr>
              <w:adjustRightInd w:val="0"/>
              <w:snapToGrid w:val="0"/>
              <w:jc w:val="center"/>
              <w:rPr>
                <w:color w:val="auto"/>
                <w:sz w:val="28"/>
                <w:szCs w:val="28"/>
                <w:highlight w:val="none"/>
                <w:lang w:eastAsia="zh-CN" w:bidi="ar"/>
              </w:rPr>
            </w:pPr>
            <w:r>
              <w:rPr>
                <w:rFonts w:hint="eastAsia"/>
                <w:color w:val="auto"/>
                <w:sz w:val="28"/>
                <w:szCs w:val="28"/>
                <w:highlight w:val="none"/>
                <w:lang w:eastAsia="zh-CN" w:bidi="ar"/>
              </w:rPr>
              <w:t>各镇街（地区）</w:t>
            </w:r>
          </w:p>
          <w:p>
            <w:pPr>
              <w:pStyle w:val="5"/>
              <w:adjustRightInd w:val="0"/>
              <w:snapToGrid w:val="0"/>
              <w:jc w:val="center"/>
              <w:rPr>
                <w:color w:val="auto"/>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14</w:t>
            </w:r>
          </w:p>
        </w:tc>
        <w:tc>
          <w:tcPr>
            <w:tcW w:w="8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巩</w:t>
            </w:r>
            <w:r>
              <w:rPr>
                <w:rFonts w:hint="eastAsia"/>
                <w:color w:val="auto"/>
                <w:spacing w:val="-6"/>
                <w:sz w:val="28"/>
                <w:szCs w:val="28"/>
                <w:highlight w:val="none"/>
                <w:lang w:eastAsia="zh-CN"/>
              </w:rPr>
              <w:t>固森林城市创建成果</w:t>
            </w:r>
          </w:p>
        </w:tc>
        <w:tc>
          <w:tcPr>
            <w:tcW w:w="5986" w:type="dxa"/>
            <w:vAlign w:val="center"/>
          </w:tcPr>
          <w:p>
            <w:pPr>
              <w:spacing w:line="360" w:lineRule="exact"/>
              <w:rPr>
                <w:color w:val="auto"/>
                <w:spacing w:val="-6"/>
                <w:sz w:val="28"/>
                <w:szCs w:val="28"/>
                <w:highlight w:val="none"/>
                <w:lang w:eastAsia="zh-CN"/>
              </w:rPr>
            </w:pPr>
            <w:r>
              <w:rPr>
                <w:rFonts w:hint="eastAsia"/>
                <w:color w:val="auto"/>
                <w:sz w:val="28"/>
                <w:szCs w:val="28"/>
                <w:highlight w:val="none"/>
                <w:lang w:eastAsia="zh-CN"/>
              </w:rPr>
              <w:t>按照本市森林城市发展规划有关要求，持续深化和巩固国家森林城市建设。</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pacing w:val="-6"/>
                <w:sz w:val="28"/>
                <w:szCs w:val="28"/>
                <w:highlight w:val="none"/>
              </w:rPr>
              <w:t>持续推进</w:t>
            </w:r>
          </w:p>
        </w:tc>
        <w:tc>
          <w:tcPr>
            <w:tcW w:w="2040" w:type="dxa"/>
            <w:vAlign w:val="center"/>
          </w:tcPr>
          <w:p>
            <w:pPr>
              <w:snapToGrid w:val="0"/>
              <w:ind w:left="-110" w:leftChars="-50" w:right="-110" w:rightChars="-50"/>
              <w:jc w:val="center"/>
              <w:rPr>
                <w:color w:val="auto"/>
                <w:sz w:val="28"/>
                <w:szCs w:val="28"/>
                <w:highlight w:val="none"/>
              </w:rPr>
            </w:pPr>
            <w:r>
              <w:rPr>
                <w:rFonts w:hint="eastAsia"/>
                <w:color w:val="auto"/>
                <w:sz w:val="28"/>
                <w:szCs w:val="28"/>
                <w:highlight w:val="none"/>
              </w:rPr>
              <w:t>区园林绿化局</w:t>
            </w:r>
          </w:p>
        </w:tc>
        <w:tc>
          <w:tcPr>
            <w:tcW w:w="2346" w:type="dxa"/>
            <w:vAlign w:val="center"/>
          </w:tcPr>
          <w:p>
            <w:pPr>
              <w:snapToGrid w:val="0"/>
              <w:jc w:val="center"/>
              <w:rPr>
                <w:color w:val="auto"/>
                <w:sz w:val="28"/>
                <w:szCs w:val="28"/>
                <w:highlight w:val="none"/>
              </w:rPr>
            </w:pPr>
            <w:r>
              <w:rPr>
                <w:rFonts w:hint="eastAsia"/>
                <w:color w:val="auto"/>
                <w:sz w:val="28"/>
                <w:szCs w:val="28"/>
                <w:highlight w:val="none"/>
              </w:rPr>
              <w:t>区园林绿化局</w:t>
            </w:r>
          </w:p>
          <w:p>
            <w:pPr>
              <w:snapToGrid w:val="0"/>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snapToGrid w:val="0"/>
              <w:jc w:val="center"/>
              <w:rPr>
                <w:color w:val="auto"/>
                <w:spacing w:val="-26"/>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15</w:t>
            </w:r>
          </w:p>
        </w:tc>
        <w:tc>
          <w:tcPr>
            <w:tcW w:w="814" w:type="dxa"/>
            <w:vAlign w:val="center"/>
          </w:tcPr>
          <w:p>
            <w:pPr>
              <w:adjustRightInd w:val="0"/>
              <w:snapToGrid w:val="0"/>
              <w:jc w:val="center"/>
              <w:rPr>
                <w:color w:val="auto"/>
                <w:sz w:val="28"/>
                <w:szCs w:val="28"/>
                <w:highlight w:val="none"/>
                <w:lang w:eastAsia="zh-CN"/>
              </w:rPr>
            </w:pPr>
            <w:r>
              <w:rPr>
                <w:rFonts w:hint="eastAsia"/>
                <w:color w:val="auto"/>
                <w:spacing w:val="-6"/>
                <w:sz w:val="28"/>
                <w:szCs w:val="28"/>
                <w:highlight w:val="none"/>
                <w:lang w:eastAsia="zh-CN"/>
              </w:rPr>
              <w:t>深入推进生态文明建设工作</w:t>
            </w:r>
          </w:p>
        </w:tc>
        <w:tc>
          <w:tcPr>
            <w:tcW w:w="5986" w:type="dxa"/>
            <w:vAlign w:val="center"/>
          </w:tcPr>
          <w:p>
            <w:pPr>
              <w:spacing w:line="360" w:lineRule="exact"/>
              <w:rPr>
                <w:color w:val="auto"/>
                <w:sz w:val="28"/>
                <w:szCs w:val="28"/>
                <w:highlight w:val="none"/>
                <w:lang w:eastAsia="zh-CN"/>
              </w:rPr>
            </w:pPr>
            <w:r>
              <w:rPr>
                <w:rFonts w:hint="eastAsia"/>
                <w:color w:val="auto"/>
                <w:spacing w:val="-6"/>
                <w:sz w:val="28"/>
                <w:szCs w:val="28"/>
                <w:highlight w:val="none"/>
                <w:lang w:eastAsia="zh-CN"/>
              </w:rPr>
              <w:t>深入推进生态文明建设，按照生态环境部工作部署，持续</w:t>
            </w:r>
            <w:r>
              <w:rPr>
                <w:rFonts w:hint="eastAsia"/>
                <w:color w:val="auto"/>
                <w:sz w:val="28"/>
                <w:szCs w:val="28"/>
                <w:highlight w:val="none"/>
                <w:lang w:eastAsia="zh-CN"/>
              </w:rPr>
              <w:t>推进“国家环境保护模范城市”创建工作。</w:t>
            </w:r>
          </w:p>
        </w:tc>
        <w:tc>
          <w:tcPr>
            <w:tcW w:w="1334" w:type="dxa"/>
            <w:vAlign w:val="center"/>
          </w:tcPr>
          <w:p>
            <w:pPr>
              <w:spacing w:line="420" w:lineRule="exact"/>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ascii="Calibri" w:hAnsi="Calibri"/>
                <w:color w:val="auto"/>
                <w:sz w:val="28"/>
                <w:szCs w:val="28"/>
                <w:highlight w:val="none"/>
                <w:lang w:eastAsia="zh-CN"/>
              </w:rPr>
              <w:t>区委生态文明委办公室</w:t>
            </w:r>
          </w:p>
        </w:tc>
        <w:tc>
          <w:tcPr>
            <w:tcW w:w="2346" w:type="dxa"/>
            <w:vAlign w:val="center"/>
          </w:tcPr>
          <w:p>
            <w:pPr>
              <w:adjustRightInd w:val="0"/>
              <w:snapToGrid w:val="0"/>
              <w:jc w:val="center"/>
              <w:rPr>
                <w:color w:val="auto"/>
                <w:sz w:val="28"/>
                <w:szCs w:val="28"/>
                <w:highlight w:val="none"/>
                <w:lang w:eastAsia="zh-CN" w:bidi="ar"/>
              </w:rPr>
            </w:pPr>
            <w:r>
              <w:rPr>
                <w:rFonts w:hint="eastAsia" w:ascii="Calibri" w:hAnsi="Calibri"/>
                <w:color w:val="auto"/>
                <w:sz w:val="28"/>
                <w:szCs w:val="28"/>
                <w:highlight w:val="none"/>
                <w:lang w:eastAsia="zh-CN"/>
              </w:rPr>
              <w:t>区委生态文明委成员单位</w:t>
            </w:r>
          </w:p>
        </w:tc>
        <w:tc>
          <w:tcPr>
            <w:tcW w:w="2327" w:type="dxa"/>
            <w:vAlign w:val="center"/>
          </w:tcPr>
          <w:p>
            <w:pPr>
              <w:spacing w:line="420" w:lineRule="exact"/>
              <w:jc w:val="center"/>
              <w:rPr>
                <w:color w:val="auto"/>
                <w:sz w:val="28"/>
                <w:szCs w:val="28"/>
                <w:highlight w:val="none"/>
                <w:lang w:eastAsia="zh-CN"/>
              </w:rPr>
            </w:pPr>
            <w:r>
              <w:rPr>
                <w:rFonts w:hint="eastAsia"/>
                <w:color w:val="auto"/>
                <w:sz w:val="28"/>
                <w:szCs w:val="28"/>
                <w:highlight w:val="none"/>
                <w:lang w:eastAsia="zh-CN"/>
              </w:rPr>
              <w:t>各镇街（地区）</w:t>
            </w:r>
          </w:p>
          <w:p>
            <w:pPr>
              <w:spacing w:line="420" w:lineRule="exact"/>
              <w:jc w:val="center"/>
              <w:rPr>
                <w:color w:val="auto"/>
                <w:spacing w:val="-26"/>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16</w:t>
            </w:r>
          </w:p>
        </w:tc>
        <w:tc>
          <w:tcPr>
            <w:tcW w:w="814" w:type="dxa"/>
            <w:vAlign w:val="center"/>
          </w:tcPr>
          <w:p>
            <w:pPr>
              <w:pStyle w:val="2"/>
              <w:spacing w:line="440" w:lineRule="exact"/>
              <w:jc w:val="center"/>
              <w:rPr>
                <w:rFonts w:ascii="仿宋_GB2312"/>
                <w:color w:val="auto"/>
                <w:sz w:val="28"/>
                <w:szCs w:val="28"/>
                <w:highlight w:val="none"/>
              </w:rPr>
            </w:pPr>
            <w:r>
              <w:rPr>
                <w:rFonts w:hint="eastAsia" w:ascii="仿宋_GB2312"/>
                <w:color w:val="auto"/>
                <w:sz w:val="28"/>
                <w:szCs w:val="28"/>
                <w:highlight w:val="none"/>
              </w:rPr>
              <w:t>强化督查考核</w:t>
            </w:r>
          </w:p>
        </w:tc>
        <w:tc>
          <w:tcPr>
            <w:tcW w:w="5986" w:type="dxa"/>
            <w:vAlign w:val="center"/>
          </w:tcPr>
          <w:p>
            <w:pPr>
              <w:adjustRightInd w:val="0"/>
              <w:snapToGrid w:val="0"/>
              <w:spacing w:line="360" w:lineRule="exact"/>
              <w:rPr>
                <w:color w:val="auto"/>
                <w:sz w:val="28"/>
                <w:szCs w:val="28"/>
                <w:highlight w:val="none"/>
                <w:lang w:eastAsia="zh-CN"/>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生态保护</w:t>
            </w:r>
            <w:r>
              <w:rPr>
                <w:rFonts w:hint="eastAsia"/>
                <w:i w:val="0"/>
                <w:iCs w:val="0"/>
                <w:color w:val="auto"/>
                <w:spacing w:val="-2"/>
                <w:sz w:val="28"/>
                <w:highlight w:val="none"/>
              </w:rPr>
              <w:t>各项措施纳入年度重点督查计划。将年度重点工作纳入全区党建统领综合考核评价体系，对各镇街（地区）、相关部门进行考核评价。</w:t>
            </w:r>
          </w:p>
        </w:tc>
        <w:tc>
          <w:tcPr>
            <w:tcW w:w="1334" w:type="dxa"/>
            <w:vAlign w:val="center"/>
          </w:tcPr>
          <w:p>
            <w:pPr>
              <w:adjustRightInd w:val="0"/>
              <w:snapToGrid w:val="0"/>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spacing w:line="360" w:lineRule="exact"/>
              <w:ind w:left="-110" w:leftChars="-50" w:right="-110" w:rightChars="-50"/>
              <w:jc w:val="center"/>
              <w:rPr>
                <w:color w:val="auto"/>
                <w:sz w:val="28"/>
                <w:szCs w:val="28"/>
                <w:highlight w:val="none"/>
              </w:rPr>
            </w:pPr>
            <w:r>
              <w:rPr>
                <w:rFonts w:hint="eastAsia"/>
                <w:color w:val="auto"/>
                <w:sz w:val="28"/>
                <w:szCs w:val="28"/>
                <w:highlight w:val="none"/>
              </w:rPr>
              <w:t>区生态环境局</w:t>
            </w:r>
          </w:p>
        </w:tc>
        <w:tc>
          <w:tcPr>
            <w:tcW w:w="2346" w:type="dxa"/>
            <w:vAlign w:val="center"/>
          </w:tcPr>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区生态环境局</w:t>
            </w:r>
          </w:p>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区委办</w:t>
            </w:r>
          </w:p>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区政府办</w:t>
            </w:r>
          </w:p>
          <w:p>
            <w:pPr>
              <w:spacing w:line="360" w:lineRule="exact"/>
              <w:ind w:left="-110" w:leftChars="-50" w:right="-110" w:rightChars="-50"/>
              <w:jc w:val="center"/>
              <w:rPr>
                <w:color w:val="auto"/>
                <w:sz w:val="28"/>
                <w:szCs w:val="28"/>
                <w:highlight w:val="none"/>
                <w:lang w:bidi="ar"/>
              </w:rPr>
            </w:pPr>
            <w:r>
              <w:rPr>
                <w:rFonts w:hint="eastAsia"/>
                <w:color w:val="auto"/>
                <w:sz w:val="28"/>
                <w:szCs w:val="28"/>
                <w:highlight w:val="none"/>
              </w:rPr>
              <w:t>区发改委</w:t>
            </w:r>
          </w:p>
        </w:tc>
        <w:tc>
          <w:tcPr>
            <w:tcW w:w="2327" w:type="dxa"/>
            <w:vAlign w:val="center"/>
          </w:tcPr>
          <w:p>
            <w:pPr>
              <w:spacing w:line="360" w:lineRule="exact"/>
              <w:ind w:left="-110" w:leftChars="-50" w:right="-110" w:rightChars="-50"/>
              <w:jc w:val="center"/>
              <w:rPr>
                <w:color w:val="auto"/>
                <w:spacing w:val="-26"/>
                <w:sz w:val="28"/>
                <w:szCs w:val="28"/>
                <w:highlight w:val="none"/>
              </w:rPr>
            </w:pPr>
            <w:r>
              <w:rPr>
                <w:rFonts w:hint="eastAsia"/>
                <w:color w:val="auto"/>
                <w:sz w:val="28"/>
                <w:szCs w:val="28"/>
                <w:highlight w:val="none"/>
              </w:rPr>
              <w:t>——</w:t>
            </w:r>
          </w:p>
        </w:tc>
      </w:tr>
    </w:tbl>
    <w:p>
      <w:pPr>
        <w:pStyle w:val="2"/>
        <w:rPr>
          <w:rFonts w:hint="eastAsia" w:eastAsia="仿宋_GB2312"/>
          <w:color w:val="auto"/>
          <w:sz w:val="32"/>
          <w:szCs w:val="32"/>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sectPr>
      <w:footerReference r:id="rId6" w:type="default"/>
      <w:pgSz w:w="16838" w:h="11906" w:orient="landscape"/>
      <w:pgMar w:top="1587" w:right="880" w:bottom="1474" w:left="778" w:header="851" w:footer="992" w:gutter="0"/>
      <w:pgNumType w:fmt="numberInDash"/>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jljZGFlODQ0N2QxNTYzOGNiNzgxMDc4NGRhZDMifQ=="/>
  </w:docVars>
  <w:rsids>
    <w:rsidRoot w:val="3F043CCE"/>
    <w:rsid w:val="002460B7"/>
    <w:rsid w:val="002F0548"/>
    <w:rsid w:val="0040708C"/>
    <w:rsid w:val="004101FF"/>
    <w:rsid w:val="012F4ED9"/>
    <w:rsid w:val="02045CC4"/>
    <w:rsid w:val="023F7C64"/>
    <w:rsid w:val="03427C90"/>
    <w:rsid w:val="040155AC"/>
    <w:rsid w:val="04C534DA"/>
    <w:rsid w:val="04E82079"/>
    <w:rsid w:val="05341D8A"/>
    <w:rsid w:val="053E497E"/>
    <w:rsid w:val="054107A5"/>
    <w:rsid w:val="057F0EFB"/>
    <w:rsid w:val="059E56FC"/>
    <w:rsid w:val="05EE4C35"/>
    <w:rsid w:val="065A6329"/>
    <w:rsid w:val="07106023"/>
    <w:rsid w:val="07931948"/>
    <w:rsid w:val="07970C9D"/>
    <w:rsid w:val="07D045EA"/>
    <w:rsid w:val="07DF3249"/>
    <w:rsid w:val="080C4E6D"/>
    <w:rsid w:val="08B550AD"/>
    <w:rsid w:val="09967298"/>
    <w:rsid w:val="0A692167"/>
    <w:rsid w:val="0A76671F"/>
    <w:rsid w:val="0AB90AAD"/>
    <w:rsid w:val="0ADE2538"/>
    <w:rsid w:val="0B0F11BF"/>
    <w:rsid w:val="0BE117A1"/>
    <w:rsid w:val="0BF44153"/>
    <w:rsid w:val="0C992AF4"/>
    <w:rsid w:val="0D4E276B"/>
    <w:rsid w:val="0D661533"/>
    <w:rsid w:val="0DAC6A5E"/>
    <w:rsid w:val="0E0F33E0"/>
    <w:rsid w:val="0E4767DF"/>
    <w:rsid w:val="0EF75CC9"/>
    <w:rsid w:val="102217DE"/>
    <w:rsid w:val="10B24832"/>
    <w:rsid w:val="115869B1"/>
    <w:rsid w:val="121E0079"/>
    <w:rsid w:val="13160F43"/>
    <w:rsid w:val="136C798B"/>
    <w:rsid w:val="149D0C30"/>
    <w:rsid w:val="1535736D"/>
    <w:rsid w:val="15520103"/>
    <w:rsid w:val="1601042C"/>
    <w:rsid w:val="161A43FD"/>
    <w:rsid w:val="16501117"/>
    <w:rsid w:val="175343EB"/>
    <w:rsid w:val="178E235F"/>
    <w:rsid w:val="17982DB6"/>
    <w:rsid w:val="18205E2D"/>
    <w:rsid w:val="18254144"/>
    <w:rsid w:val="18295AB2"/>
    <w:rsid w:val="18BA1340"/>
    <w:rsid w:val="193D78B8"/>
    <w:rsid w:val="196B4F61"/>
    <w:rsid w:val="19A910BA"/>
    <w:rsid w:val="1A103CF9"/>
    <w:rsid w:val="1A5618D7"/>
    <w:rsid w:val="1A9A14C6"/>
    <w:rsid w:val="1AF1641B"/>
    <w:rsid w:val="1B5E4B4A"/>
    <w:rsid w:val="1BFE0D02"/>
    <w:rsid w:val="1C074908"/>
    <w:rsid w:val="1C0A321C"/>
    <w:rsid w:val="1C1D667F"/>
    <w:rsid w:val="1CAA50F1"/>
    <w:rsid w:val="1D542248"/>
    <w:rsid w:val="1D694121"/>
    <w:rsid w:val="1D747F8F"/>
    <w:rsid w:val="1F711228"/>
    <w:rsid w:val="20195507"/>
    <w:rsid w:val="20CD40CC"/>
    <w:rsid w:val="2134351D"/>
    <w:rsid w:val="222D177B"/>
    <w:rsid w:val="222D1E77"/>
    <w:rsid w:val="222E3CAB"/>
    <w:rsid w:val="223949D6"/>
    <w:rsid w:val="22DD5043"/>
    <w:rsid w:val="2310052A"/>
    <w:rsid w:val="235F432E"/>
    <w:rsid w:val="248F7231"/>
    <w:rsid w:val="24916DDF"/>
    <w:rsid w:val="24BA7EA7"/>
    <w:rsid w:val="24DC2506"/>
    <w:rsid w:val="26524A32"/>
    <w:rsid w:val="26AD4339"/>
    <w:rsid w:val="26B40561"/>
    <w:rsid w:val="273D4883"/>
    <w:rsid w:val="27FD2549"/>
    <w:rsid w:val="283B3B15"/>
    <w:rsid w:val="28973DD2"/>
    <w:rsid w:val="28AC1CAF"/>
    <w:rsid w:val="28BB330A"/>
    <w:rsid w:val="29CD2ACF"/>
    <w:rsid w:val="2A222F53"/>
    <w:rsid w:val="2A4A37DD"/>
    <w:rsid w:val="2A743498"/>
    <w:rsid w:val="2AB559DE"/>
    <w:rsid w:val="2B096AEF"/>
    <w:rsid w:val="2B570410"/>
    <w:rsid w:val="2B83162C"/>
    <w:rsid w:val="2BF272ED"/>
    <w:rsid w:val="2C055E1D"/>
    <w:rsid w:val="2C3D2CB2"/>
    <w:rsid w:val="2CFD4A31"/>
    <w:rsid w:val="2D3A6B08"/>
    <w:rsid w:val="2D3C05CD"/>
    <w:rsid w:val="2D5B7D80"/>
    <w:rsid w:val="2DAC2E77"/>
    <w:rsid w:val="2DBF33B2"/>
    <w:rsid w:val="2DE10828"/>
    <w:rsid w:val="2EC42A04"/>
    <w:rsid w:val="2F380AB3"/>
    <w:rsid w:val="2F391811"/>
    <w:rsid w:val="2FF40310"/>
    <w:rsid w:val="30C672DC"/>
    <w:rsid w:val="317C0308"/>
    <w:rsid w:val="31B07D71"/>
    <w:rsid w:val="32E57A3A"/>
    <w:rsid w:val="333E2423"/>
    <w:rsid w:val="338A0C8B"/>
    <w:rsid w:val="33D120AF"/>
    <w:rsid w:val="347D0A73"/>
    <w:rsid w:val="34C42899"/>
    <w:rsid w:val="34CB36EE"/>
    <w:rsid w:val="35206C5A"/>
    <w:rsid w:val="35542F73"/>
    <w:rsid w:val="35734D7B"/>
    <w:rsid w:val="35F61D95"/>
    <w:rsid w:val="368D5711"/>
    <w:rsid w:val="36D2420F"/>
    <w:rsid w:val="36F83419"/>
    <w:rsid w:val="37D37CB4"/>
    <w:rsid w:val="37E45228"/>
    <w:rsid w:val="38177364"/>
    <w:rsid w:val="38414C7F"/>
    <w:rsid w:val="389A258D"/>
    <w:rsid w:val="3A737AAB"/>
    <w:rsid w:val="3B125459"/>
    <w:rsid w:val="3B4C364F"/>
    <w:rsid w:val="3BCE7031"/>
    <w:rsid w:val="3BD04469"/>
    <w:rsid w:val="3BD92B31"/>
    <w:rsid w:val="3C226D2B"/>
    <w:rsid w:val="3C703E58"/>
    <w:rsid w:val="3C7D45D0"/>
    <w:rsid w:val="3D252989"/>
    <w:rsid w:val="3D836178"/>
    <w:rsid w:val="3DDE0246"/>
    <w:rsid w:val="3E1935DD"/>
    <w:rsid w:val="3E946A56"/>
    <w:rsid w:val="3EA30434"/>
    <w:rsid w:val="3EA85A70"/>
    <w:rsid w:val="3ECE5ABE"/>
    <w:rsid w:val="3F043CCE"/>
    <w:rsid w:val="3F5F0162"/>
    <w:rsid w:val="3FF64BBD"/>
    <w:rsid w:val="40753D5D"/>
    <w:rsid w:val="41004E33"/>
    <w:rsid w:val="41507B42"/>
    <w:rsid w:val="41A712F9"/>
    <w:rsid w:val="423E1AED"/>
    <w:rsid w:val="426F4A48"/>
    <w:rsid w:val="435477AC"/>
    <w:rsid w:val="441001B9"/>
    <w:rsid w:val="441A2858"/>
    <w:rsid w:val="449A762A"/>
    <w:rsid w:val="44DD12C8"/>
    <w:rsid w:val="45B46B9B"/>
    <w:rsid w:val="46003EE1"/>
    <w:rsid w:val="468F6D1E"/>
    <w:rsid w:val="46F12703"/>
    <w:rsid w:val="47356337"/>
    <w:rsid w:val="47D91EC2"/>
    <w:rsid w:val="480C1B92"/>
    <w:rsid w:val="48194612"/>
    <w:rsid w:val="48EC0D41"/>
    <w:rsid w:val="48F70E01"/>
    <w:rsid w:val="4927790F"/>
    <w:rsid w:val="49F4796A"/>
    <w:rsid w:val="4A850EA1"/>
    <w:rsid w:val="4A8B0C23"/>
    <w:rsid w:val="4B4148EF"/>
    <w:rsid w:val="4C28190B"/>
    <w:rsid w:val="4C2D2020"/>
    <w:rsid w:val="4CE245B0"/>
    <w:rsid w:val="4D345B28"/>
    <w:rsid w:val="4D714C0F"/>
    <w:rsid w:val="4D7E6DC0"/>
    <w:rsid w:val="4E5F5192"/>
    <w:rsid w:val="4EB71A30"/>
    <w:rsid w:val="4F174EFC"/>
    <w:rsid w:val="4F3F6BB6"/>
    <w:rsid w:val="4F4E47DF"/>
    <w:rsid w:val="4F8F45D1"/>
    <w:rsid w:val="4FF54BD5"/>
    <w:rsid w:val="50711897"/>
    <w:rsid w:val="50764E76"/>
    <w:rsid w:val="50945132"/>
    <w:rsid w:val="50B7353B"/>
    <w:rsid w:val="516A5D40"/>
    <w:rsid w:val="519270CE"/>
    <w:rsid w:val="51D05ACB"/>
    <w:rsid w:val="534045C6"/>
    <w:rsid w:val="53EC4D27"/>
    <w:rsid w:val="53FB0021"/>
    <w:rsid w:val="541F4E9B"/>
    <w:rsid w:val="5442710B"/>
    <w:rsid w:val="547A66A6"/>
    <w:rsid w:val="54E24F69"/>
    <w:rsid w:val="55E337F8"/>
    <w:rsid w:val="564E47D6"/>
    <w:rsid w:val="56A56795"/>
    <w:rsid w:val="57AD50E4"/>
    <w:rsid w:val="57DC42DE"/>
    <w:rsid w:val="58492451"/>
    <w:rsid w:val="58D37DEF"/>
    <w:rsid w:val="594E15CD"/>
    <w:rsid w:val="599C3B06"/>
    <w:rsid w:val="5A3C364B"/>
    <w:rsid w:val="5ABF7D5A"/>
    <w:rsid w:val="5ACB1A0A"/>
    <w:rsid w:val="5BB8324D"/>
    <w:rsid w:val="5C365677"/>
    <w:rsid w:val="5C4B7D93"/>
    <w:rsid w:val="5CD72343"/>
    <w:rsid w:val="5D861042"/>
    <w:rsid w:val="5DDD3A8B"/>
    <w:rsid w:val="5E5800C7"/>
    <w:rsid w:val="5ED812D5"/>
    <w:rsid w:val="5F016987"/>
    <w:rsid w:val="5F482B0B"/>
    <w:rsid w:val="5FE41DD1"/>
    <w:rsid w:val="607340A2"/>
    <w:rsid w:val="607D6250"/>
    <w:rsid w:val="609D103A"/>
    <w:rsid w:val="60E63EBF"/>
    <w:rsid w:val="60F479CE"/>
    <w:rsid w:val="613F4D3F"/>
    <w:rsid w:val="61B062A8"/>
    <w:rsid w:val="61ED0D65"/>
    <w:rsid w:val="62157F52"/>
    <w:rsid w:val="62A81C75"/>
    <w:rsid w:val="62F02F18"/>
    <w:rsid w:val="63676EB7"/>
    <w:rsid w:val="63FD4D63"/>
    <w:rsid w:val="64245EB6"/>
    <w:rsid w:val="646C0D6F"/>
    <w:rsid w:val="64ED7494"/>
    <w:rsid w:val="65627CAA"/>
    <w:rsid w:val="65FC5BDC"/>
    <w:rsid w:val="677C6196"/>
    <w:rsid w:val="682F324E"/>
    <w:rsid w:val="683968A7"/>
    <w:rsid w:val="683E0146"/>
    <w:rsid w:val="68C95553"/>
    <w:rsid w:val="6984058E"/>
    <w:rsid w:val="6A287455"/>
    <w:rsid w:val="6A2E69F3"/>
    <w:rsid w:val="6B361AB3"/>
    <w:rsid w:val="6C7D60BF"/>
    <w:rsid w:val="6C83418F"/>
    <w:rsid w:val="6C926312"/>
    <w:rsid w:val="6D254893"/>
    <w:rsid w:val="6D574A88"/>
    <w:rsid w:val="6DA907EB"/>
    <w:rsid w:val="6DAF7764"/>
    <w:rsid w:val="6DD61616"/>
    <w:rsid w:val="6E472A00"/>
    <w:rsid w:val="6F4317D0"/>
    <w:rsid w:val="6F7721D4"/>
    <w:rsid w:val="70A81CEE"/>
    <w:rsid w:val="70AA6321"/>
    <w:rsid w:val="72672712"/>
    <w:rsid w:val="728167B9"/>
    <w:rsid w:val="72E43E84"/>
    <w:rsid w:val="72FF7C11"/>
    <w:rsid w:val="731F7978"/>
    <w:rsid w:val="733233DD"/>
    <w:rsid w:val="734A006A"/>
    <w:rsid w:val="738B5F54"/>
    <w:rsid w:val="73E5738D"/>
    <w:rsid w:val="73EC268E"/>
    <w:rsid w:val="743862F3"/>
    <w:rsid w:val="746D7301"/>
    <w:rsid w:val="74CC07B6"/>
    <w:rsid w:val="7508653D"/>
    <w:rsid w:val="75A673C0"/>
    <w:rsid w:val="75BE13DE"/>
    <w:rsid w:val="75BE72BE"/>
    <w:rsid w:val="75DC1613"/>
    <w:rsid w:val="76094DA5"/>
    <w:rsid w:val="76F344FF"/>
    <w:rsid w:val="792D13F7"/>
    <w:rsid w:val="7931395C"/>
    <w:rsid w:val="79BE32E2"/>
    <w:rsid w:val="79E555A2"/>
    <w:rsid w:val="7A25683D"/>
    <w:rsid w:val="7A260A3E"/>
    <w:rsid w:val="7A4F18B8"/>
    <w:rsid w:val="7A6B3AA3"/>
    <w:rsid w:val="7AB27A22"/>
    <w:rsid w:val="7AE0118B"/>
    <w:rsid w:val="7BAB154C"/>
    <w:rsid w:val="7BB31DB3"/>
    <w:rsid w:val="7C3D454A"/>
    <w:rsid w:val="7D1B56A1"/>
    <w:rsid w:val="7D2142A4"/>
    <w:rsid w:val="7D933393"/>
    <w:rsid w:val="7DD67ED4"/>
    <w:rsid w:val="7DF51CCF"/>
    <w:rsid w:val="7E1B3CC3"/>
    <w:rsid w:val="7E2030A7"/>
    <w:rsid w:val="7E781057"/>
    <w:rsid w:val="7E911CAA"/>
    <w:rsid w:val="7EEC15BE"/>
    <w:rsid w:val="7FB85079"/>
    <w:rsid w:val="7FB92B73"/>
    <w:rsid w:val="B7D75B91"/>
    <w:rsid w:val="F972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4">
    <w:name w:val="heading 1"/>
    <w:basedOn w:val="1"/>
    <w:next w:val="1"/>
    <w:qFormat/>
    <w:uiPriority w:val="1"/>
    <w:pPr>
      <w:ind w:left="1168"/>
      <w:outlineLvl w:val="1"/>
    </w:pPr>
    <w:rPr>
      <w:rFonts w:ascii="方正小标宋简体" w:hAnsi="方正小标宋简体" w:eastAsia="方正小标宋简体" w:cs="方正小标宋简体"/>
      <w:i/>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1"/>
    </w:rPr>
  </w:style>
  <w:style w:type="paragraph" w:styleId="3">
    <w:name w:val="toc 2"/>
    <w:basedOn w:val="1"/>
    <w:next w:val="1"/>
    <w:qFormat/>
    <w:uiPriority w:val="99"/>
    <w:pPr>
      <w:ind w:left="420" w:leftChars="200"/>
    </w:pPr>
    <w:rPr>
      <w:szCs w:val="21"/>
    </w:rPr>
  </w:style>
  <w:style w:type="paragraph" w:styleId="5">
    <w:name w:val="Body Text"/>
    <w:basedOn w:val="1"/>
    <w:qFormat/>
    <w:uiPriority w:val="1"/>
    <w:rPr>
      <w:rFonts w:ascii="仿宋_GB2312" w:hAnsi="仿宋_GB2312" w:eastAsia="仿宋_GB2312" w:cs="仿宋_GB2312"/>
      <w:sz w:val="32"/>
      <w:szCs w:val="32"/>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9"/>
    <w:basedOn w:val="1"/>
    <w:next w:val="1"/>
    <w:qFormat/>
    <w:uiPriority w:val="0"/>
    <w:pPr>
      <w:ind w:left="1600" w:leftChars="1600"/>
    </w:p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spacing w:after="0"/>
      <w:ind w:left="0" w:leftChars="0" w:firstLine="420" w:firstLineChars="200"/>
    </w:pPr>
    <w:rPr>
      <w:rFonts w:eastAsia="仿宋_GB2312"/>
      <w:sz w:val="32"/>
    </w:rPr>
  </w:style>
  <w:style w:type="paragraph" w:styleId="15">
    <w:name w:val="List Paragraph"/>
    <w:basedOn w:val="1"/>
    <w:qFormat/>
    <w:uiPriority w:val="1"/>
    <w:pPr>
      <w:spacing w:before="130"/>
      <w:ind w:left="2108" w:hanging="322"/>
    </w:pPr>
    <w:rPr>
      <w:rFonts w:ascii="仿宋_GB2312" w:hAnsi="仿宋_GB2312" w:eastAsia="仿宋_GB2312" w:cs="仿宋_GB2312"/>
    </w:rPr>
  </w:style>
  <w:style w:type="paragraph" w:customStyle="1" w:styleId="16">
    <w:name w:val="Table Paragraph"/>
    <w:basedOn w:val="1"/>
    <w:qFormat/>
    <w:uiPriority w:val="1"/>
    <w:rPr>
      <w:rFonts w:ascii="仿宋_GB2312" w:hAnsi="仿宋_GB2312" w:eastAsia="仿宋_GB2312" w:cs="仿宋_GB2312"/>
    </w:rPr>
  </w:style>
  <w:style w:type="character" w:customStyle="1" w:styleId="17">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32302</Words>
  <Characters>32799</Characters>
  <Lines>0</Lines>
  <Paragraphs>0</Paragraphs>
  <TotalTime>0</TotalTime>
  <ScaleCrop>false</ScaleCrop>
  <LinksUpToDate>false</LinksUpToDate>
  <CharactersWithSpaces>32981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2023-01-04T13:55:00Z</dcterms:created>
  <dc:creator>罗铁永</dc:creator>
  <cp:lastModifiedBy>WPS_1641266743</cp:lastModifiedBy>
  <cp:lastPrinted>2023-01-12T09:41:00Z</cp:lastPrinted>
  <dcterms:modified xsi:type="dcterms:W3CDTF">2023-01-18T02:03:05Z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14918BAE5113449585A32D96005B69EE</vt:lpwstr>
  </property>
</Properties>
</file>