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560" w:lineRule="exact"/>
        <w:jc w:val="center"/>
        <w:rPr>
          <w:rFonts w:ascii="黑体" w:hAnsi="黑体" w:eastAsia="黑体" w:cs="黑体"/>
          <w:sz w:val="44"/>
          <w:szCs w:val="44"/>
        </w:rPr>
      </w:pPr>
      <w:r>
        <w:rPr>
          <w:rFonts w:hint="eastAsia" w:ascii="黑体" w:hAnsi="黑体" w:eastAsia="黑体" w:cs="黑体"/>
          <w:sz w:val="44"/>
          <w:szCs w:val="44"/>
        </w:rPr>
        <w:t>密云区“十四五”时期</w:t>
      </w:r>
    </w:p>
    <w:p>
      <w:pPr>
        <w:spacing w:line="560" w:lineRule="exact"/>
        <w:jc w:val="center"/>
        <w:rPr>
          <w:rFonts w:ascii="黑体" w:hAnsi="黑体" w:eastAsia="黑体"/>
          <w:sz w:val="44"/>
          <w:szCs w:val="44"/>
        </w:rPr>
      </w:pPr>
      <w:r>
        <w:rPr>
          <w:rFonts w:hint="eastAsia" w:ascii="黑体" w:hAnsi="黑体" w:eastAsia="黑体" w:cs="黑体"/>
          <w:sz w:val="44"/>
          <w:szCs w:val="44"/>
        </w:rPr>
        <w:br w:type="textWrapping"/>
      </w:r>
      <w:r>
        <w:rPr>
          <w:rFonts w:hint="eastAsia" w:ascii="黑体" w:hAnsi="黑体" w:eastAsia="黑体" w:cs="黑体"/>
          <w:sz w:val="44"/>
          <w:szCs w:val="44"/>
        </w:rPr>
        <w:t>社会治理与民政事业发展规划</w:t>
      </w: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p>
    <w:p>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密云</w:t>
      </w:r>
      <w:bookmarkStart w:id="243" w:name="_GoBack"/>
      <w:bookmarkEnd w:id="243"/>
      <w:r>
        <w:rPr>
          <w:rFonts w:hint="eastAsia" w:ascii="楷体_GB2312" w:hAnsi="楷体_GB2312" w:eastAsia="楷体_GB2312" w:cs="楷体_GB2312"/>
          <w:sz w:val="32"/>
          <w:szCs w:val="32"/>
        </w:rPr>
        <w:t>区委社会工委区民政局</w:t>
      </w:r>
    </w:p>
    <w:p>
      <w:pPr>
        <w:spacing w:line="360" w:lineRule="auto"/>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2021年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月</w:t>
      </w:r>
    </w:p>
    <w:p>
      <w:pPr>
        <w:spacing w:line="360" w:lineRule="auto"/>
        <w:jc w:val="center"/>
        <w:rPr>
          <w:rFonts w:ascii="楷体_GB2312" w:hAnsi="楷体_GB2312" w:eastAsia="楷体_GB2312" w:cs="楷体_GB2312"/>
          <w:sz w:val="32"/>
          <w:szCs w:val="32"/>
        </w:rPr>
      </w:pPr>
    </w:p>
    <w:p>
      <w:pPr>
        <w:spacing w:line="360" w:lineRule="auto"/>
        <w:rPr>
          <w:rFonts w:ascii="楷体_GB2312" w:hAnsi="楷体_GB2312" w:eastAsia="楷体_GB2312" w:cs="楷体_GB2312"/>
          <w:sz w:val="32"/>
          <w:szCs w:val="32"/>
        </w:rPr>
      </w:pPr>
    </w:p>
    <w:p>
      <w:pPr>
        <w:pStyle w:val="14"/>
        <w:tabs>
          <w:tab w:val="right" w:leader="dot" w:pos="8290"/>
        </w:tabs>
        <w:spacing w:before="100" w:beforeAutospacing="1" w:after="0"/>
        <w:jc w:val="center"/>
        <w:rPr>
          <w:rFonts w:ascii="黑体" w:hAnsi="黑体" w:eastAsia="黑体"/>
          <w:caps w:val="0"/>
          <w:sz w:val="28"/>
          <w:szCs w:val="24"/>
          <w:u w:val="none"/>
        </w:rPr>
      </w:pPr>
    </w:p>
    <w:p>
      <w:pPr>
        <w:pStyle w:val="14"/>
        <w:tabs>
          <w:tab w:val="right" w:leader="dot" w:pos="8290"/>
        </w:tabs>
        <w:spacing w:before="100" w:beforeAutospacing="1" w:after="0"/>
        <w:jc w:val="center"/>
        <w:rPr>
          <w:rFonts w:ascii="黑体" w:hAnsi="黑体" w:eastAsia="黑体"/>
          <w:caps w:val="0"/>
          <w:sz w:val="28"/>
          <w:szCs w:val="24"/>
          <w:u w:val="none"/>
        </w:rPr>
      </w:pPr>
      <w:r>
        <w:rPr>
          <w:rFonts w:hint="eastAsia" w:ascii="黑体" w:hAnsi="黑体" w:eastAsia="黑体"/>
          <w:caps w:val="0"/>
          <w:sz w:val="28"/>
          <w:szCs w:val="24"/>
          <w:u w:val="none"/>
        </w:rPr>
        <w:t>目 录</w:t>
      </w:r>
    </w:p>
    <w:p>
      <w:pPr>
        <w:pStyle w:val="14"/>
        <w:tabs>
          <w:tab w:val="right" w:leader="dot" w:pos="8290"/>
        </w:tabs>
        <w:rPr>
          <w:rFonts w:eastAsia="宋体"/>
          <w:b w:val="0"/>
          <w:bCs w:val="0"/>
          <w:caps w:val="0"/>
          <w:sz w:val="21"/>
          <w:u w:val="none"/>
        </w:rPr>
      </w:pPr>
      <w:r>
        <w:rPr>
          <w:rFonts w:hint="eastAsia" w:ascii="宋体" w:hAnsi="宋体" w:eastAsia="宋体" w:cs="宋体"/>
          <w:caps w:val="0"/>
          <w:sz w:val="28"/>
          <w:szCs w:val="28"/>
        </w:rPr>
        <w:fldChar w:fldCharType="begin"/>
      </w:r>
      <w:r>
        <w:rPr>
          <w:rFonts w:hint="eastAsia" w:ascii="宋体" w:hAnsi="宋体" w:eastAsia="宋体" w:cs="宋体"/>
          <w:caps w:val="0"/>
          <w:sz w:val="28"/>
          <w:szCs w:val="28"/>
        </w:rPr>
        <w:instrText xml:space="preserve"> TOC \o "1-2" \h \z \u </w:instrText>
      </w:r>
      <w:r>
        <w:rPr>
          <w:rFonts w:hint="eastAsia" w:ascii="宋体" w:hAnsi="宋体" w:eastAsia="宋体" w:cs="宋体"/>
          <w:caps w:val="0"/>
          <w:sz w:val="28"/>
          <w:szCs w:val="28"/>
        </w:rPr>
        <w:fldChar w:fldCharType="separate"/>
      </w:r>
      <w:r>
        <w:fldChar w:fldCharType="begin"/>
      </w:r>
      <w:r>
        <w:instrText xml:space="preserve"> HYPERLINK \l "_Toc77367966" </w:instrText>
      </w:r>
      <w:r>
        <w:fldChar w:fldCharType="separate"/>
      </w:r>
      <w:r>
        <w:rPr>
          <w:rStyle w:val="23"/>
          <w:rFonts w:hint="eastAsia" w:ascii="微软雅黑" w:hAnsi="微软雅黑" w:eastAsia="微软雅黑" w:cs="微软雅黑"/>
        </w:rPr>
        <w:t>第一部分</w:t>
      </w:r>
      <w:r>
        <w:rPr>
          <w:rStyle w:val="23"/>
        </w:rPr>
        <w:t xml:space="preserve">  </w:t>
      </w:r>
      <w:r>
        <w:rPr>
          <w:rStyle w:val="23"/>
          <w:rFonts w:hint="eastAsia" w:ascii="微软雅黑" w:hAnsi="微软雅黑" w:eastAsia="微软雅黑" w:cs="微软雅黑"/>
        </w:rPr>
        <w:t>规划背景</w:t>
      </w:r>
      <w:r>
        <w:tab/>
      </w:r>
      <w:r>
        <w:fldChar w:fldCharType="begin"/>
      </w:r>
      <w:r>
        <w:instrText xml:space="preserve"> PAGEREF _Toc77367966 \h </w:instrText>
      </w:r>
      <w:r>
        <w:fldChar w:fldCharType="separate"/>
      </w:r>
      <w:r>
        <w:t>- 2 -</w:t>
      </w:r>
      <w:r>
        <w:fldChar w:fldCharType="end"/>
      </w:r>
      <w:r>
        <w:fldChar w:fldCharType="end"/>
      </w:r>
    </w:p>
    <w:p>
      <w:pPr>
        <w:pStyle w:val="14"/>
        <w:tabs>
          <w:tab w:val="right" w:leader="dot" w:pos="8290"/>
        </w:tabs>
        <w:rPr>
          <w:rFonts w:eastAsia="宋体"/>
          <w:b w:val="0"/>
          <w:bCs w:val="0"/>
          <w:caps w:val="0"/>
          <w:sz w:val="21"/>
          <w:u w:val="none"/>
        </w:rPr>
      </w:pPr>
      <w:r>
        <w:fldChar w:fldCharType="begin"/>
      </w:r>
      <w:r>
        <w:instrText xml:space="preserve"> HYPERLINK \l "_Toc77367967" </w:instrText>
      </w:r>
      <w:r>
        <w:fldChar w:fldCharType="separate"/>
      </w:r>
      <w:r>
        <w:rPr>
          <w:rStyle w:val="23"/>
          <w:rFonts w:hint="eastAsia" w:ascii="微软雅黑" w:hAnsi="微软雅黑" w:eastAsia="微软雅黑" w:cs="微软雅黑"/>
        </w:rPr>
        <w:t>一、</w:t>
      </w:r>
      <w:r>
        <w:rPr>
          <w:rStyle w:val="23"/>
        </w:rPr>
        <w:t>“</w:t>
      </w:r>
      <w:r>
        <w:rPr>
          <w:rStyle w:val="23"/>
          <w:rFonts w:hint="eastAsia" w:ascii="微软雅黑" w:hAnsi="微软雅黑" w:eastAsia="微软雅黑" w:cs="微软雅黑"/>
        </w:rPr>
        <w:t>十三五</w:t>
      </w:r>
      <w:r>
        <w:rPr>
          <w:rStyle w:val="23"/>
        </w:rPr>
        <w:t>”</w:t>
      </w:r>
      <w:r>
        <w:rPr>
          <w:rStyle w:val="23"/>
          <w:rFonts w:hint="eastAsia" w:ascii="微软雅黑" w:hAnsi="微软雅黑" w:eastAsia="微软雅黑" w:cs="微软雅黑"/>
        </w:rPr>
        <w:t>时期密云区社会治理与民政事业发展主要成就</w:t>
      </w:r>
      <w:r>
        <w:tab/>
      </w:r>
      <w:r>
        <w:fldChar w:fldCharType="begin"/>
      </w:r>
      <w:r>
        <w:instrText xml:space="preserve"> PAGEREF _Toc77367967 \h </w:instrText>
      </w:r>
      <w:r>
        <w:fldChar w:fldCharType="separate"/>
      </w:r>
      <w:r>
        <w:t>- 2 -</w:t>
      </w:r>
      <w:r>
        <w:fldChar w:fldCharType="end"/>
      </w:r>
      <w:r>
        <w:fldChar w:fldCharType="end"/>
      </w:r>
    </w:p>
    <w:p>
      <w:pPr>
        <w:pStyle w:val="14"/>
        <w:tabs>
          <w:tab w:val="right" w:leader="dot" w:pos="8290"/>
        </w:tabs>
        <w:rPr>
          <w:rFonts w:eastAsia="宋体"/>
          <w:b w:val="0"/>
          <w:bCs w:val="0"/>
          <w:caps w:val="0"/>
          <w:sz w:val="21"/>
          <w:u w:val="none"/>
        </w:rPr>
      </w:pPr>
      <w:r>
        <w:fldChar w:fldCharType="begin"/>
      </w:r>
      <w:r>
        <w:instrText xml:space="preserve"> HYPERLINK \l "_Toc77367968" </w:instrText>
      </w:r>
      <w:r>
        <w:fldChar w:fldCharType="separate"/>
      </w:r>
      <w:r>
        <w:rPr>
          <w:rStyle w:val="23"/>
          <w:rFonts w:hint="eastAsia" w:ascii="微软雅黑" w:hAnsi="微软雅黑" w:eastAsia="微软雅黑" w:cs="微软雅黑"/>
        </w:rPr>
        <w:t>二、</w:t>
      </w:r>
      <w:r>
        <w:rPr>
          <w:rStyle w:val="23"/>
        </w:rPr>
        <w:t>“</w:t>
      </w:r>
      <w:r>
        <w:rPr>
          <w:rStyle w:val="23"/>
          <w:rFonts w:hint="eastAsia" w:ascii="微软雅黑" w:hAnsi="微软雅黑" w:eastAsia="微软雅黑" w:cs="微软雅黑"/>
        </w:rPr>
        <w:t>十四五</w:t>
      </w:r>
      <w:r>
        <w:rPr>
          <w:rStyle w:val="23"/>
        </w:rPr>
        <w:t>”</w:t>
      </w:r>
      <w:r>
        <w:rPr>
          <w:rStyle w:val="23"/>
          <w:rFonts w:hint="eastAsia" w:ascii="微软雅黑" w:hAnsi="微软雅黑" w:eastAsia="微软雅黑" w:cs="微软雅黑"/>
        </w:rPr>
        <w:t>时期社会治理与民政事业发展面临的新要求新挑战</w:t>
      </w:r>
      <w:r>
        <w:tab/>
      </w:r>
      <w:r>
        <w:fldChar w:fldCharType="begin"/>
      </w:r>
      <w:r>
        <w:instrText xml:space="preserve"> PAGEREF _Toc77367968 \h </w:instrText>
      </w:r>
      <w:r>
        <w:fldChar w:fldCharType="separate"/>
      </w:r>
      <w:r>
        <w:t>- 9 -</w:t>
      </w:r>
      <w:r>
        <w:fldChar w:fldCharType="end"/>
      </w:r>
      <w:r>
        <w:fldChar w:fldCharType="end"/>
      </w:r>
    </w:p>
    <w:p>
      <w:pPr>
        <w:pStyle w:val="14"/>
        <w:tabs>
          <w:tab w:val="right" w:leader="dot" w:pos="8290"/>
        </w:tabs>
        <w:rPr>
          <w:rFonts w:eastAsia="宋体"/>
          <w:b w:val="0"/>
          <w:bCs w:val="0"/>
          <w:caps w:val="0"/>
          <w:sz w:val="21"/>
          <w:u w:val="none"/>
        </w:rPr>
      </w:pPr>
      <w:r>
        <w:fldChar w:fldCharType="begin"/>
      </w:r>
      <w:r>
        <w:instrText xml:space="preserve"> HYPERLINK \l "_Toc77367969" </w:instrText>
      </w:r>
      <w:r>
        <w:fldChar w:fldCharType="separate"/>
      </w:r>
      <w:r>
        <w:rPr>
          <w:rStyle w:val="23"/>
          <w:rFonts w:hint="eastAsia" w:ascii="微软雅黑" w:hAnsi="微软雅黑" w:eastAsia="微软雅黑" w:cs="微软雅黑"/>
        </w:rPr>
        <w:t>第二部分</w:t>
      </w:r>
      <w:r>
        <w:rPr>
          <w:rStyle w:val="23"/>
        </w:rPr>
        <w:t xml:space="preserve">  </w:t>
      </w:r>
      <w:r>
        <w:rPr>
          <w:rStyle w:val="23"/>
          <w:rFonts w:hint="eastAsia" w:ascii="微软雅黑" w:hAnsi="微软雅黑" w:eastAsia="微软雅黑" w:cs="微软雅黑"/>
        </w:rPr>
        <w:t>总体要求</w:t>
      </w:r>
      <w:r>
        <w:tab/>
      </w:r>
      <w:r>
        <w:fldChar w:fldCharType="begin"/>
      </w:r>
      <w:r>
        <w:instrText xml:space="preserve"> PAGEREF _Toc77367969 \h </w:instrText>
      </w:r>
      <w:r>
        <w:fldChar w:fldCharType="separate"/>
      </w:r>
      <w:r>
        <w:t>- 12 -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"_Toc77367970" </w:instrText>
      </w:r>
      <w:r>
        <w:fldChar w:fldCharType="separate"/>
      </w:r>
      <w:r>
        <w:rPr>
          <w:rStyle w:val="23"/>
          <w:rFonts w:hint="eastAsia" w:ascii="微软雅黑" w:hAnsi="微软雅黑" w:eastAsia="微软雅黑" w:cs="微软雅黑"/>
        </w:rPr>
        <w:t>一、指导思想</w:t>
      </w:r>
      <w:r>
        <w:tab/>
      </w:r>
      <w:r>
        <w:fldChar w:fldCharType="begin"/>
      </w:r>
      <w:r>
        <w:instrText xml:space="preserve"> PAGEREF _Toc77367970 \h </w:instrText>
      </w:r>
      <w:r>
        <w:fldChar w:fldCharType="separate"/>
      </w:r>
      <w:r>
        <w:t>- 12 -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"_Toc77367971" </w:instrText>
      </w:r>
      <w:r>
        <w:fldChar w:fldCharType="separate"/>
      </w:r>
      <w:r>
        <w:rPr>
          <w:rStyle w:val="23"/>
          <w:rFonts w:hint="eastAsia" w:ascii="微软雅黑" w:hAnsi="微软雅黑" w:eastAsia="微软雅黑" w:cs="微软雅黑"/>
        </w:rPr>
        <w:t>二、基本原则</w:t>
      </w:r>
      <w:r>
        <w:tab/>
      </w:r>
      <w:r>
        <w:fldChar w:fldCharType="begin"/>
      </w:r>
      <w:r>
        <w:instrText xml:space="preserve"> PAGEREF _Toc77367971 \h </w:instrText>
      </w:r>
      <w:r>
        <w:fldChar w:fldCharType="separate"/>
      </w:r>
      <w:r>
        <w:t>- 13 -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"_Toc77367972" </w:instrText>
      </w:r>
      <w:r>
        <w:fldChar w:fldCharType="separate"/>
      </w:r>
      <w:r>
        <w:rPr>
          <w:rStyle w:val="23"/>
          <w:rFonts w:hint="eastAsia" w:ascii="微软雅黑" w:hAnsi="微软雅黑" w:eastAsia="微软雅黑" w:cs="微软雅黑"/>
        </w:rPr>
        <w:t>三、发展目标</w:t>
      </w:r>
      <w:r>
        <w:tab/>
      </w:r>
      <w:r>
        <w:fldChar w:fldCharType="begin"/>
      </w:r>
      <w:r>
        <w:instrText xml:space="preserve"> PAGEREF _Toc77367972 \h </w:instrText>
      </w:r>
      <w:r>
        <w:fldChar w:fldCharType="separate"/>
      </w:r>
      <w:r>
        <w:t>- 14 -</w:t>
      </w:r>
      <w:r>
        <w:fldChar w:fldCharType="end"/>
      </w:r>
      <w:r>
        <w:fldChar w:fldCharType="end"/>
      </w:r>
    </w:p>
    <w:p>
      <w:pPr>
        <w:pStyle w:val="14"/>
        <w:tabs>
          <w:tab w:val="right" w:leader="dot" w:pos="8290"/>
        </w:tabs>
        <w:rPr>
          <w:rFonts w:eastAsia="宋体"/>
          <w:b w:val="0"/>
          <w:bCs w:val="0"/>
          <w:caps w:val="0"/>
          <w:sz w:val="21"/>
          <w:u w:val="none"/>
        </w:rPr>
      </w:pPr>
      <w:r>
        <w:fldChar w:fldCharType="begin"/>
      </w:r>
      <w:r>
        <w:instrText xml:space="preserve"> HYPERLINK \l "_Toc77367973" </w:instrText>
      </w:r>
      <w:r>
        <w:fldChar w:fldCharType="separate"/>
      </w:r>
      <w:r>
        <w:rPr>
          <w:rStyle w:val="23"/>
          <w:rFonts w:hint="eastAsia" w:ascii="微软雅黑" w:hAnsi="微软雅黑" w:eastAsia="微软雅黑" w:cs="微软雅黑"/>
        </w:rPr>
        <w:t>第三部分</w:t>
      </w:r>
      <w:r>
        <w:rPr>
          <w:rStyle w:val="23"/>
        </w:rPr>
        <w:t xml:space="preserve">  </w:t>
      </w:r>
      <w:r>
        <w:rPr>
          <w:rStyle w:val="23"/>
          <w:rFonts w:hint="eastAsia" w:ascii="微软雅黑" w:hAnsi="微软雅黑" w:eastAsia="微软雅黑" w:cs="微软雅黑"/>
        </w:rPr>
        <w:t>主要任务</w:t>
      </w:r>
      <w:r>
        <w:tab/>
      </w:r>
      <w:r>
        <w:fldChar w:fldCharType="begin"/>
      </w:r>
      <w:r>
        <w:instrText xml:space="preserve"> PAGEREF _Toc77367973 \h </w:instrText>
      </w:r>
      <w:r>
        <w:fldChar w:fldCharType="separate"/>
      </w:r>
      <w:r>
        <w:t>- 17 -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"_Toc77367974" </w:instrText>
      </w:r>
      <w:r>
        <w:fldChar w:fldCharType="separate"/>
      </w:r>
      <w:r>
        <w:rPr>
          <w:rStyle w:val="23"/>
          <w:rFonts w:hint="eastAsia" w:ascii="微软雅黑" w:hAnsi="微软雅黑" w:eastAsia="微软雅黑" w:cs="微软雅黑"/>
        </w:rPr>
        <w:t>一、加强党的领导，深化党建引领社会治理</w:t>
      </w:r>
      <w:r>
        <w:tab/>
      </w:r>
      <w:r>
        <w:fldChar w:fldCharType="begin"/>
      </w:r>
      <w:r>
        <w:instrText xml:space="preserve"> PAGEREF _Toc77367974 \h </w:instrText>
      </w:r>
      <w:r>
        <w:fldChar w:fldCharType="separate"/>
      </w:r>
      <w:r>
        <w:t>- 17 -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"_Toc77367975" </w:instrText>
      </w:r>
      <w:r>
        <w:fldChar w:fldCharType="separate"/>
      </w:r>
      <w:r>
        <w:rPr>
          <w:rStyle w:val="23"/>
          <w:rFonts w:hint="eastAsia" w:ascii="微软雅黑" w:hAnsi="微软雅黑" w:eastAsia="微软雅黑" w:cs="微软雅黑"/>
        </w:rPr>
        <w:t>二、实现重心下移，构建基层社会治理新格局</w:t>
      </w:r>
      <w:r>
        <w:tab/>
      </w:r>
      <w:r>
        <w:fldChar w:fldCharType="begin"/>
      </w:r>
      <w:r>
        <w:instrText xml:space="preserve"> PAGEREF _Toc77367975 \h </w:instrText>
      </w:r>
      <w:r>
        <w:fldChar w:fldCharType="separate"/>
      </w:r>
      <w:r>
        <w:t>- 19 -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"_Toc77367976" </w:instrText>
      </w:r>
      <w:r>
        <w:fldChar w:fldCharType="separate"/>
      </w:r>
      <w:r>
        <w:rPr>
          <w:rStyle w:val="23"/>
          <w:rFonts w:hint="eastAsia" w:ascii="微软雅黑" w:hAnsi="微软雅黑" w:eastAsia="微软雅黑" w:cs="微软雅黑"/>
        </w:rPr>
        <w:t>三、扩大社会参与，形成社会治理有效合力</w:t>
      </w:r>
      <w:r>
        <w:tab/>
      </w:r>
      <w:r>
        <w:fldChar w:fldCharType="begin"/>
      </w:r>
      <w:r>
        <w:instrText xml:space="preserve"> PAGEREF _Toc77367976 \h </w:instrText>
      </w:r>
      <w:r>
        <w:fldChar w:fldCharType="separate"/>
      </w:r>
      <w:r>
        <w:t>- 23 -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"_Toc77367977" </w:instrText>
      </w:r>
      <w:r>
        <w:fldChar w:fldCharType="separate"/>
      </w:r>
      <w:r>
        <w:rPr>
          <w:rStyle w:val="23"/>
          <w:rFonts w:hint="eastAsia" w:ascii="微软雅黑" w:hAnsi="微软雅黑" w:eastAsia="微软雅黑" w:cs="微软雅黑"/>
        </w:rPr>
        <w:t>四、优化政府职能，提升社会治理能力</w:t>
      </w:r>
      <w:r>
        <w:tab/>
      </w:r>
      <w:r>
        <w:fldChar w:fldCharType="begin"/>
      </w:r>
      <w:r>
        <w:instrText xml:space="preserve"> PAGEREF _Toc77367977 \h </w:instrText>
      </w:r>
      <w:r>
        <w:fldChar w:fldCharType="separate"/>
      </w:r>
      <w:r>
        <w:t>- 25 -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"_Toc77367978" </w:instrText>
      </w:r>
      <w:r>
        <w:fldChar w:fldCharType="separate"/>
      </w:r>
      <w:r>
        <w:rPr>
          <w:rStyle w:val="23"/>
          <w:rFonts w:hint="eastAsia" w:ascii="微软雅黑" w:hAnsi="微软雅黑" w:eastAsia="微软雅黑" w:cs="微软雅黑"/>
        </w:rPr>
        <w:t>五、增强社会活力，推动多元主体健康发展</w:t>
      </w:r>
      <w:r>
        <w:tab/>
      </w:r>
      <w:r>
        <w:fldChar w:fldCharType="begin"/>
      </w:r>
      <w:r>
        <w:instrText xml:space="preserve"> PAGEREF _Toc77367978 \h </w:instrText>
      </w:r>
      <w:r>
        <w:fldChar w:fldCharType="separate"/>
      </w:r>
      <w:r>
        <w:t>- 27 -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"_Toc77367979" </w:instrText>
      </w:r>
      <w:r>
        <w:fldChar w:fldCharType="separate"/>
      </w:r>
      <w:r>
        <w:rPr>
          <w:rStyle w:val="23"/>
          <w:rFonts w:hint="eastAsia" w:ascii="微软雅黑" w:hAnsi="微软雅黑" w:eastAsia="微软雅黑" w:cs="微软雅黑"/>
        </w:rPr>
        <w:t>六、提高治理效能，加快推进法治社会建设</w:t>
      </w:r>
      <w:r>
        <w:tab/>
      </w:r>
      <w:r>
        <w:fldChar w:fldCharType="begin"/>
      </w:r>
      <w:r>
        <w:instrText xml:space="preserve"> PAGEREF _Toc77367979 \h </w:instrText>
      </w:r>
      <w:r>
        <w:fldChar w:fldCharType="separate"/>
      </w:r>
      <w:r>
        <w:t>- 28 -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"_Toc77367980" </w:instrText>
      </w:r>
      <w:r>
        <w:fldChar w:fldCharType="separate"/>
      </w:r>
      <w:r>
        <w:rPr>
          <w:rStyle w:val="23"/>
          <w:rFonts w:hint="eastAsia" w:ascii="微软雅黑" w:hAnsi="微软雅黑" w:eastAsia="微软雅黑" w:cs="微软雅黑"/>
        </w:rPr>
        <w:t>七、强化科技支撑，提升智能化精细化水平</w:t>
      </w:r>
      <w:r>
        <w:tab/>
      </w:r>
      <w:r>
        <w:fldChar w:fldCharType="begin"/>
      </w:r>
      <w:r>
        <w:instrText xml:space="preserve"> PAGEREF _Toc77367980 \h </w:instrText>
      </w:r>
      <w:r>
        <w:fldChar w:fldCharType="separate"/>
      </w:r>
      <w:r>
        <w:t>- 30 -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"_Toc77367981" </w:instrText>
      </w:r>
      <w:r>
        <w:fldChar w:fldCharType="separate"/>
      </w:r>
      <w:r>
        <w:rPr>
          <w:rStyle w:val="23"/>
          <w:rFonts w:hint="eastAsia" w:ascii="微软雅黑" w:hAnsi="微软雅黑" w:eastAsia="微软雅黑" w:cs="微软雅黑"/>
        </w:rPr>
        <w:t>八、建立健全帮扶体系，织好民生保障安全网</w:t>
      </w:r>
      <w:r>
        <w:tab/>
      </w:r>
      <w:r>
        <w:fldChar w:fldCharType="begin"/>
      </w:r>
      <w:r>
        <w:instrText xml:space="preserve"> PAGEREF _Toc77367981 \h </w:instrText>
      </w:r>
      <w:r>
        <w:fldChar w:fldCharType="separate"/>
      </w:r>
      <w:r>
        <w:t>- 31 -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"_Toc77367982" </w:instrText>
      </w:r>
      <w:r>
        <w:fldChar w:fldCharType="separate"/>
      </w:r>
      <w:r>
        <w:rPr>
          <w:rStyle w:val="23"/>
          <w:rFonts w:hint="eastAsia" w:ascii="微软雅黑" w:hAnsi="微软雅黑" w:eastAsia="微软雅黑" w:cs="微软雅黑"/>
        </w:rPr>
        <w:t>九、完善养老服务体系，夯实养老服务根基</w:t>
      </w:r>
      <w:r>
        <w:tab/>
      </w:r>
      <w:r>
        <w:fldChar w:fldCharType="begin"/>
      </w:r>
      <w:r>
        <w:instrText xml:space="preserve"> PAGEREF _Toc77367982 \h </w:instrText>
      </w:r>
      <w:r>
        <w:fldChar w:fldCharType="separate"/>
      </w:r>
      <w:r>
        <w:t>- 34 -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"_Toc77367983" </w:instrText>
      </w:r>
      <w:r>
        <w:fldChar w:fldCharType="separate"/>
      </w:r>
      <w:r>
        <w:rPr>
          <w:rStyle w:val="23"/>
          <w:rFonts w:hint="eastAsia" w:ascii="微软雅黑" w:hAnsi="微软雅黑" w:eastAsia="微软雅黑" w:cs="微软雅黑"/>
        </w:rPr>
        <w:t>十、完善特殊群体社会福利体系，共享社会发展成果</w:t>
      </w:r>
      <w:r>
        <w:tab/>
      </w:r>
      <w:r>
        <w:fldChar w:fldCharType="begin"/>
      </w:r>
      <w:r>
        <w:instrText xml:space="preserve"> PAGEREF _Toc77367983 \h </w:instrText>
      </w:r>
      <w:r>
        <w:fldChar w:fldCharType="separate"/>
      </w:r>
      <w:r>
        <w:t>- 37 -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"_Toc77367984" </w:instrText>
      </w:r>
      <w:r>
        <w:fldChar w:fldCharType="separate"/>
      </w:r>
      <w:r>
        <w:rPr>
          <w:rStyle w:val="23"/>
          <w:rFonts w:hint="eastAsia" w:ascii="微软雅黑" w:hAnsi="微软雅黑" w:eastAsia="微软雅黑" w:cs="微软雅黑"/>
        </w:rPr>
        <w:t>十一、深化专项服务供给改革，提升居民获得感</w:t>
      </w:r>
      <w:r>
        <w:tab/>
      </w:r>
      <w:r>
        <w:fldChar w:fldCharType="begin"/>
      </w:r>
      <w:r>
        <w:instrText xml:space="preserve"> PAGEREF _Toc77367984 \h </w:instrText>
      </w:r>
      <w:r>
        <w:fldChar w:fldCharType="separate"/>
      </w:r>
      <w:r>
        <w:t>- 38 -</w:t>
      </w:r>
      <w:r>
        <w:fldChar w:fldCharType="end"/>
      </w:r>
      <w:r>
        <w:fldChar w:fldCharType="end"/>
      </w:r>
    </w:p>
    <w:p>
      <w:pPr>
        <w:pStyle w:val="14"/>
        <w:tabs>
          <w:tab w:val="right" w:leader="dot" w:pos="8290"/>
        </w:tabs>
        <w:rPr>
          <w:rFonts w:eastAsia="宋体"/>
          <w:b w:val="0"/>
          <w:bCs w:val="0"/>
          <w:caps w:val="0"/>
          <w:sz w:val="21"/>
          <w:u w:val="none"/>
        </w:rPr>
      </w:pPr>
      <w:r>
        <w:fldChar w:fldCharType="begin"/>
      </w:r>
      <w:r>
        <w:instrText xml:space="preserve"> HYPERLINK \l "_Toc77367985" </w:instrText>
      </w:r>
      <w:r>
        <w:fldChar w:fldCharType="separate"/>
      </w:r>
      <w:r>
        <w:rPr>
          <w:rStyle w:val="23"/>
          <w:rFonts w:hint="eastAsia" w:ascii="微软雅黑" w:hAnsi="微软雅黑" w:eastAsia="微软雅黑" w:cs="微软雅黑"/>
        </w:rPr>
        <w:t>第四部分</w:t>
      </w:r>
      <w:r>
        <w:rPr>
          <w:rStyle w:val="23"/>
        </w:rPr>
        <w:t xml:space="preserve">  </w:t>
      </w:r>
      <w:r>
        <w:rPr>
          <w:rStyle w:val="23"/>
          <w:rFonts w:hint="eastAsia" w:ascii="微软雅黑" w:hAnsi="微软雅黑" w:eastAsia="微软雅黑" w:cs="微软雅黑"/>
        </w:rPr>
        <w:t>保障措施</w:t>
      </w:r>
      <w:r>
        <w:tab/>
      </w:r>
      <w:r>
        <w:fldChar w:fldCharType="begin"/>
      </w:r>
      <w:r>
        <w:instrText xml:space="preserve"> PAGEREF _Toc77367985 \h </w:instrText>
      </w:r>
      <w:r>
        <w:fldChar w:fldCharType="separate"/>
      </w:r>
      <w:r>
        <w:t>- 40 -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"_Toc77367986" </w:instrText>
      </w:r>
      <w:r>
        <w:fldChar w:fldCharType="separate"/>
      </w:r>
      <w:r>
        <w:rPr>
          <w:rStyle w:val="23"/>
          <w:rFonts w:hint="eastAsia" w:ascii="微软雅黑" w:hAnsi="微软雅黑" w:eastAsia="微软雅黑" w:cs="微软雅黑"/>
        </w:rPr>
        <w:t>一、加强组织保障</w:t>
      </w:r>
      <w:r>
        <w:tab/>
      </w:r>
      <w:r>
        <w:fldChar w:fldCharType="begin"/>
      </w:r>
      <w:r>
        <w:instrText xml:space="preserve"> PAGEREF _Toc77367986 \h </w:instrText>
      </w:r>
      <w:r>
        <w:fldChar w:fldCharType="separate"/>
      </w:r>
      <w:r>
        <w:t>- 40 -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"_Toc77367987" </w:instrText>
      </w:r>
      <w:r>
        <w:fldChar w:fldCharType="separate"/>
      </w:r>
      <w:r>
        <w:rPr>
          <w:rStyle w:val="23"/>
          <w:rFonts w:hint="eastAsia" w:ascii="微软雅黑" w:hAnsi="微软雅黑" w:eastAsia="微软雅黑" w:cs="微软雅黑"/>
        </w:rPr>
        <w:t>二、加强机制保障</w:t>
      </w:r>
      <w:r>
        <w:tab/>
      </w:r>
      <w:r>
        <w:fldChar w:fldCharType="begin"/>
      </w:r>
      <w:r>
        <w:instrText xml:space="preserve"> PAGEREF _Toc77367987 \h </w:instrText>
      </w:r>
      <w:r>
        <w:fldChar w:fldCharType="separate"/>
      </w:r>
      <w:r>
        <w:t>- 41 -</w:t>
      </w:r>
      <w:r>
        <w:fldChar w:fldCharType="end"/>
      </w:r>
      <w:r>
        <w:fldChar w:fldCharType="end"/>
      </w:r>
    </w:p>
    <w:p>
      <w:pPr>
        <w:pStyle w:val="18"/>
        <w:tabs>
          <w:tab w:val="right" w:leader="dot" w:pos="8290"/>
        </w:tabs>
        <w:rPr>
          <w:rFonts w:eastAsia="宋体"/>
          <w:b w:val="0"/>
          <w:bCs w:val="0"/>
          <w:smallCaps w:val="0"/>
          <w:sz w:val="21"/>
        </w:rPr>
      </w:pPr>
      <w:r>
        <w:fldChar w:fldCharType="begin"/>
      </w:r>
      <w:r>
        <w:instrText xml:space="preserve"> HYPERLINK \l "_Toc77367988" </w:instrText>
      </w:r>
      <w:r>
        <w:fldChar w:fldCharType="separate"/>
      </w:r>
      <w:r>
        <w:rPr>
          <w:rStyle w:val="23"/>
          <w:rFonts w:hint="eastAsia" w:ascii="微软雅黑" w:hAnsi="微软雅黑" w:eastAsia="微软雅黑" w:cs="微软雅黑"/>
        </w:rPr>
        <w:t>三、加强基础保障</w:t>
      </w:r>
      <w:r>
        <w:tab/>
      </w:r>
      <w:r>
        <w:fldChar w:fldCharType="begin"/>
      </w:r>
      <w:r>
        <w:instrText xml:space="preserve"> PAGEREF _Toc77367988 \h </w:instrText>
      </w:r>
      <w:r>
        <w:fldChar w:fldCharType="separate"/>
      </w:r>
      <w:r>
        <w:t>- 42 -</w:t>
      </w:r>
      <w:r>
        <w:fldChar w:fldCharType="end"/>
      </w:r>
      <w:r>
        <w:fldChar w:fldCharType="end"/>
      </w:r>
    </w:p>
    <w:p>
      <w:pPr>
        <w:pStyle w:val="30"/>
        <w:spacing w:before="100" w:beforeAutospacing="1" w:after="100" w:afterAutospacing="1" w:line="240" w:lineRule="auto"/>
        <w:rPr>
          <w:rFonts w:ascii="宋体" w:hAnsi="宋体" w:eastAsia="宋体" w:cs="宋体"/>
          <w:color w:val="auto"/>
        </w:rPr>
      </w:pPr>
      <w:r>
        <w:rPr>
          <w:rFonts w:hint="eastAsia" w:ascii="宋体" w:hAnsi="宋体" w:eastAsia="宋体" w:cs="宋体"/>
          <w:caps/>
          <w:color w:val="auto"/>
          <w:kern w:val="2"/>
          <w:u w:val="single"/>
        </w:rPr>
        <w:fldChar w:fldCharType="end"/>
      </w:r>
    </w:p>
    <w:p>
      <w:pPr>
        <w:widowControl/>
        <w:spacing w:line="560" w:lineRule="exact"/>
        <w:jc w:val="center"/>
        <w:rPr>
          <w:rFonts w:ascii="宋体" w:hAnsi="宋体" w:eastAsia="宋体" w:cs="宋体"/>
          <w:sz w:val="28"/>
          <w:szCs w:val="28"/>
        </w:rPr>
        <w:sectPr>
          <w:pgSz w:w="11900" w:h="16840"/>
          <w:pgMar w:top="1134" w:right="1800" w:bottom="1276"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pPr>
        <w:widowControl/>
        <w:spacing w:line="560" w:lineRule="exact"/>
        <w:jc w:val="center"/>
        <w:rPr>
          <w:rFonts w:ascii="黑体" w:hAnsi="黑体" w:eastAsia="黑体" w:cs="黑体"/>
          <w:sz w:val="40"/>
          <w:szCs w:val="40"/>
        </w:rPr>
      </w:pPr>
      <w:r>
        <w:rPr>
          <w:rFonts w:hint="eastAsia" w:ascii="黑体" w:hAnsi="黑体" w:eastAsia="黑体" w:cs="黑体"/>
          <w:sz w:val="40"/>
          <w:szCs w:val="40"/>
        </w:rPr>
        <w:t>前  言</w:t>
      </w:r>
    </w:p>
    <w:p>
      <w:pPr>
        <w:widowControl/>
        <w:spacing w:line="560" w:lineRule="exact"/>
        <w:ind w:firstLine="640" w:firstLineChars="200"/>
        <w:rPr>
          <w:rFonts w:ascii="仿宋_GB2312" w:hAnsi="仿宋" w:eastAsia="仿宋_GB2312"/>
          <w:sz w:val="32"/>
          <w:szCs w:val="32"/>
        </w:rPr>
      </w:pP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三五”时期，密云区大力推进社会治理与民政事业的全面发展，社会治理体系不断完善，民生保障水平明显提升。“十四五”时期,是我国全面建成小康社会、实现第一个百年奋斗目标之后，乘势而上开启全面建设社会主义现代化国家新征程、向第二个百年奋斗目标进军的第一个五年，是打造践行习近平生态文明思想典范之区的第一个五年，也是密云分区规划批复后的第一个五年。</w:t>
      </w:r>
    </w:p>
    <w:p>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适应新变化新形势，进一步夯实社会治理和民政事业基础，更好地保障和改善民生，构建全民共建共治共享的社会治理格局，根据《北京市“十四五”时期社会治理规划》《北京市“十四五”时期民政事业规划》《北京市密云区国民经济和社会发展第十四个五年规划纲要》，制定《北京市密云区“十四五”时期社会治理与民政事业发展规划》（以下简称《规划》），明确2021年—20</w:t>
      </w:r>
      <w:r>
        <w:rPr>
          <w:rFonts w:ascii="仿宋_GB2312" w:hAnsi="仿宋" w:eastAsia="仿宋_GB2312"/>
          <w:sz w:val="32"/>
          <w:szCs w:val="32"/>
        </w:rPr>
        <w:t>2</w:t>
      </w:r>
      <w:r>
        <w:rPr>
          <w:rFonts w:hint="eastAsia" w:ascii="仿宋_GB2312" w:hAnsi="仿宋" w:eastAsia="仿宋_GB2312"/>
          <w:sz w:val="32"/>
          <w:szCs w:val="32"/>
        </w:rPr>
        <w:t>5年社会治理与民政事业发展的总体要求、主要任务和保障措施，牢牢把握生态示范区战略定位，突出生态引领、突出人民群众，进一步提升生态价值、放大生态效益，为建成和谐、宜居、美丽的新密云奠定坚实的社会基础。</w:t>
      </w:r>
    </w:p>
    <w:p>
      <w:pPr>
        <w:spacing w:line="560" w:lineRule="exact"/>
        <w:rPr>
          <w:rFonts w:ascii="黑体" w:hAnsi="黑体" w:eastAsia="黑体" w:cs="Arial"/>
          <w:sz w:val="32"/>
          <w:szCs w:val="20"/>
        </w:rPr>
      </w:pPr>
    </w:p>
    <w:p>
      <w:pPr>
        <w:spacing w:line="560" w:lineRule="exact"/>
        <w:rPr>
          <w:rFonts w:ascii="黑体" w:hAnsi="黑体" w:eastAsia="黑体" w:cs="Arial"/>
          <w:sz w:val="32"/>
          <w:szCs w:val="20"/>
        </w:rPr>
      </w:pPr>
    </w:p>
    <w:p>
      <w:pPr>
        <w:spacing w:line="560" w:lineRule="exact"/>
        <w:rPr>
          <w:rFonts w:ascii="黑体" w:hAnsi="黑体" w:eastAsia="黑体" w:cs="Arial"/>
          <w:sz w:val="32"/>
          <w:szCs w:val="20"/>
        </w:rPr>
      </w:pPr>
    </w:p>
    <w:p>
      <w:pPr>
        <w:pStyle w:val="2"/>
        <w:wordWrap/>
        <w:adjustRightInd/>
        <w:snapToGrid/>
        <w:spacing w:line="560" w:lineRule="exact"/>
        <w:ind w:left="0" w:leftChars="0" w:right="0"/>
        <w:textAlignment w:val="auto"/>
      </w:pPr>
      <w:bookmarkStart w:id="0" w:name="_Toc4808"/>
      <w:bookmarkStart w:id="1" w:name="_Toc77367966"/>
      <w:bookmarkStart w:id="2" w:name="_Toc49455802"/>
      <w:bookmarkStart w:id="3" w:name="_Toc76488101"/>
      <w:r>
        <w:rPr>
          <w:rFonts w:hint="eastAsia"/>
        </w:rPr>
        <w:t>第一部分  规划背景</w:t>
      </w:r>
      <w:bookmarkEnd w:id="0"/>
      <w:bookmarkEnd w:id="1"/>
      <w:bookmarkEnd w:id="2"/>
      <w:bookmarkEnd w:id="3"/>
    </w:p>
    <w:p>
      <w:pPr>
        <w:wordWrap/>
        <w:adjustRightInd/>
        <w:snapToGrid/>
        <w:spacing w:line="560" w:lineRule="exact"/>
        <w:ind w:left="0" w:leftChars="0" w:right="0"/>
        <w:textAlignment w:val="auto"/>
        <w:rPr>
          <w:rFonts w:ascii="黑体" w:hAnsi="黑体" w:eastAsia="黑体" w:cs="Arial"/>
          <w:sz w:val="32"/>
          <w:szCs w:val="20"/>
        </w:rPr>
      </w:pPr>
    </w:p>
    <w:p>
      <w:pPr>
        <w:pStyle w:val="2"/>
        <w:wordWrap/>
        <w:adjustRightInd/>
        <w:snapToGrid/>
        <w:spacing w:line="560" w:lineRule="exact"/>
        <w:ind w:left="0" w:leftChars="0" w:right="0" w:firstLine="720" w:firstLineChars="200"/>
        <w:jc w:val="left"/>
        <w:textAlignment w:val="auto"/>
      </w:pPr>
      <w:bookmarkStart w:id="4" w:name="_Toc77367967"/>
      <w:bookmarkStart w:id="5" w:name="_Toc76488102"/>
      <w:bookmarkStart w:id="6" w:name="_Toc30594"/>
      <w:bookmarkStart w:id="7" w:name="_Toc4265"/>
      <w:r>
        <w:rPr>
          <w:rFonts w:hint="eastAsia"/>
        </w:rPr>
        <w:t>一、</w:t>
      </w:r>
      <w:r>
        <w:t>“</w:t>
      </w:r>
      <w:r>
        <w:rPr>
          <w:rFonts w:hint="eastAsia"/>
        </w:rPr>
        <w:t>十三五</w:t>
      </w:r>
      <w:r>
        <w:t>”</w:t>
      </w:r>
      <w:r>
        <w:rPr>
          <w:rFonts w:hint="eastAsia"/>
        </w:rPr>
        <w:t>时期密云区社会治理与民政事业发展主要成就</w:t>
      </w:r>
      <w:bookmarkEnd w:id="4"/>
      <w:bookmarkEnd w:id="5"/>
      <w:bookmarkEnd w:id="6"/>
      <w:bookmarkEnd w:id="7"/>
    </w:p>
    <w:p>
      <w:pPr>
        <w:wordWrap/>
        <w:adjustRightInd/>
        <w:snapToGrid/>
        <w:spacing w:line="560" w:lineRule="exact"/>
        <w:ind w:left="0" w:leftChars="0" w:right="0" w:firstLine="640" w:firstLineChars="200"/>
        <w:textAlignment w:val="auto"/>
        <w:rPr>
          <w:rFonts w:ascii="仿宋" w:hAnsi="仿宋" w:eastAsia="仿宋" w:cs="Arial"/>
          <w:sz w:val="32"/>
          <w:szCs w:val="20"/>
        </w:rPr>
      </w:pPr>
      <w:r>
        <w:rPr>
          <w:rFonts w:hint="eastAsia" w:ascii="仿宋_GB2312" w:hAnsi="仿宋_GB2312" w:eastAsia="仿宋_GB2312" w:cs="仿宋_GB2312"/>
          <w:sz w:val="32"/>
          <w:szCs w:val="20"/>
        </w:rPr>
        <w:t>“十三五”期间，密云区深入贯彻落实中央、市委精神，紧扣保障民生和加强基层社会治理两大主题，大力推进社会治理和民政事业全面发展，推进基层社会治理现代化，各项规划指标均如期或超额完成。</w:t>
      </w:r>
    </w:p>
    <w:p>
      <w:pPr>
        <w:pStyle w:val="4"/>
        <w:numPr>
          <w:ilvl w:val="0"/>
          <w:numId w:val="1"/>
        </w:numPr>
        <w:wordWrap/>
        <w:adjustRightInd/>
        <w:snapToGrid/>
        <w:spacing w:line="560" w:lineRule="exact"/>
        <w:ind w:left="0" w:leftChars="0" w:right="0"/>
        <w:textAlignment w:val="auto"/>
        <w:rPr>
          <w:rFonts w:hAnsi="仿宋_GB2312" w:cs="仿宋_GB2312"/>
          <w:b w:val="0"/>
          <w:bCs w:val="0"/>
          <w:szCs w:val="20"/>
        </w:rPr>
      </w:pPr>
      <w:bookmarkStart w:id="8" w:name="_Toc7822"/>
      <w:bookmarkStart w:id="9" w:name="_Toc76488103"/>
      <w:bookmarkStart w:id="10" w:name="_Toc16241"/>
      <w:r>
        <w:rPr>
          <w:rFonts w:hint="eastAsia" w:hAnsi="仿宋_GB2312" w:cs="仿宋_GB2312"/>
        </w:rPr>
        <w:t>城乡社区治理更加简约高效</w:t>
      </w:r>
      <w:bookmarkEnd w:id="8"/>
      <w:r>
        <w:rPr>
          <w:rFonts w:hint="eastAsia" w:hAnsi="仿宋_GB2312" w:cs="仿宋_GB2312"/>
        </w:rPr>
        <w:t>。</w:t>
      </w:r>
      <w:bookmarkStart w:id="11" w:name="_Toc416"/>
      <w:r>
        <w:rPr>
          <w:rFonts w:hint="eastAsia" w:hAnsi="仿宋_GB2312" w:cs="仿宋_GB2312"/>
          <w:b w:val="0"/>
          <w:bCs w:val="0"/>
          <w:szCs w:val="20"/>
        </w:rPr>
        <w:t>深化“1+5”党组织引领和谐社区建设机制，以社区党组织为领导核心，以居委会为组织发动力量，以业委会为监督执行力量，以物业为专业服务力量，以驻区单位为支撑保障力量，引入各方志愿服务力量，引导五方治理力量共同参与社区建设。制定《关于建立区街道社区党建工作协调委员会的工作方案》，区、街道、城市社区三级全部建立党建工作协调委员会，健全党建责任和问题清单，动员社会单位参与社会治理。全区回社区报到的党员认领服务岗位3.5万个，开展服务11.3万余人次。206个单位党组织全部到镇街、村（社区）报到，报到在职党员1.7万余人，报到率排名全市前列。城乡社区基础服务设施全部达到规范标准，47个城市社区管理服务用房面积全部达到350平方米以上，达标率达到100%；330个行政村，325个村管理服务用房面积达标，达标率98%。建成市级社区规范化示范点31个，智慧社区试点49个。20个镇街（地区）均建有一个社区服务中心，每个社区服务中心公共服务配套设施面积至少1000平方米以上。基层民主有序推进，圆满完成第九届、第十届社区居委会，第十届、第十一届村委会的换届选举工作，其中2018－2019年首次实现村、社区同步换届，村民选举参与率达到98.34%。灵活运用社区议事厅、居民恳谈会、“摆桌子听意见”等形式，建立健全社区议事协商机制。依法依规依程序修订、完善村规民约和居民公约，城乡基层社会治理能力和文明水平明显提升。</w:t>
      </w:r>
      <w:bookmarkEnd w:id="9"/>
    </w:p>
    <w:p>
      <w:pPr>
        <w:pStyle w:val="4"/>
        <w:wordWrap/>
        <w:adjustRightInd/>
        <w:snapToGrid/>
        <w:spacing w:line="560" w:lineRule="exact"/>
        <w:ind w:left="0" w:leftChars="0" w:right="0"/>
        <w:textAlignment w:val="auto"/>
        <w:rPr>
          <w:rFonts w:hAnsi="仿宋_GB2312" w:cs="仿宋_GB2312"/>
          <w:b w:val="0"/>
          <w:bCs w:val="0"/>
          <w:szCs w:val="20"/>
        </w:rPr>
      </w:pPr>
      <w:bookmarkStart w:id="12" w:name="_Toc76488104"/>
      <w:r>
        <w:rPr>
          <w:rFonts w:hint="eastAsia" w:hAnsi="仿宋_GB2312" w:cs="仿宋_GB2312"/>
        </w:rPr>
        <w:t>（二）基层公共服务质量明显提升。</w:t>
      </w:r>
      <w:r>
        <w:rPr>
          <w:rFonts w:hint="eastAsia" w:hAnsi="仿宋_GB2312" w:cs="仿宋_GB2312"/>
          <w:b w:val="0"/>
          <w:bCs w:val="0"/>
          <w:szCs w:val="20"/>
        </w:rPr>
        <w:t>以居民需求为导向，建设集餐饮、银行、健身、社区卫生等各项服务站点于一体的便民生活服务体系，建设提升便民商业网点57个，建成“一刻钟社区服务圈”示范点35个，覆盖鼓楼、果园街道和檀营地区47个城市社区，覆盖率达到100%。20个镇街（地区）均已建成社区服务中心及文体活动中心等公共服务设施，公共服务设施覆盖率达到100%。在330个行政村设立393家村卫生室，居民出行30分钟即可到达就近医疗机构就医。在全市率先实施校园开放，城区16所中小学校开放体育场地，覆盖</w:t>
      </w:r>
      <w:r>
        <w:rPr>
          <w:rFonts w:hint="eastAsia" w:hAnsi="仿宋_GB2312" w:cs="仿宋_GB2312"/>
          <w:b w:val="0"/>
          <w:bCs w:val="0"/>
          <w:szCs w:val="20"/>
          <w:lang w:eastAsia="zh-CN"/>
        </w:rPr>
        <w:t>惠及</w:t>
      </w:r>
      <w:r>
        <w:rPr>
          <w:rFonts w:hint="eastAsia" w:hAnsi="仿宋_GB2312" w:cs="仿宋_GB2312"/>
          <w:b w:val="0"/>
          <w:bCs w:val="0"/>
          <w:szCs w:val="20"/>
        </w:rPr>
        <w:t>城区居民。幼儿园普惠覆盖率达90%以上。依托区法律援助中心、镇街及相关部门法律援助工作站、村居法律援助联系点三级平台，形成1个区级法律援助中心、30个镇街及相关部门法律援助工作站、376个村居法律援助联系点的工作网络</w:t>
      </w:r>
      <w:r>
        <w:rPr>
          <w:rFonts w:hint="eastAsia" w:hAnsi="仿宋_GB2312" w:cs="仿宋_GB2312"/>
          <w:b w:val="0"/>
          <w:bCs w:val="0"/>
          <w:szCs w:val="20"/>
          <w:lang w:eastAsia="zh-CN"/>
        </w:rPr>
        <w:t>，</w:t>
      </w:r>
      <w:r>
        <w:rPr>
          <w:rFonts w:hint="eastAsia" w:hAnsi="仿宋_GB2312" w:cs="仿宋_GB2312"/>
          <w:b w:val="0"/>
          <w:bCs w:val="0"/>
          <w:szCs w:val="20"/>
        </w:rPr>
        <w:t>实现了“一村一居一律师”法律服务全覆盖。</w:t>
      </w:r>
      <w:bookmarkEnd w:id="12"/>
    </w:p>
    <w:bookmarkEnd w:id="11"/>
    <w:p>
      <w:pPr>
        <w:pStyle w:val="4"/>
        <w:wordWrap/>
        <w:adjustRightInd/>
        <w:snapToGrid/>
        <w:spacing w:line="560" w:lineRule="exact"/>
        <w:ind w:left="0" w:leftChars="0" w:right="0"/>
        <w:textAlignment w:val="auto"/>
        <w:rPr>
          <w:rFonts w:hAnsi="仿宋_GB2312" w:cs="仿宋_GB2312"/>
          <w:b w:val="0"/>
          <w:bCs w:val="0"/>
          <w:szCs w:val="20"/>
        </w:rPr>
      </w:pPr>
      <w:bookmarkStart w:id="13" w:name="_Toc59356566"/>
      <w:bookmarkStart w:id="14" w:name="_Toc76488105"/>
      <w:r>
        <w:rPr>
          <w:rFonts w:hint="eastAsia" w:hAnsi="仿宋_GB2312" w:cs="仿宋_GB2312"/>
        </w:rPr>
        <w:t>（三）城乡社区治理主体日益丰富</w:t>
      </w:r>
      <w:bookmarkEnd w:id="13"/>
      <w:r>
        <w:rPr>
          <w:rFonts w:hint="eastAsia" w:hAnsi="仿宋_GB2312" w:cs="仿宋_GB2312"/>
        </w:rPr>
        <w:t>。</w:t>
      </w:r>
      <w:r>
        <w:rPr>
          <w:rFonts w:hint="eastAsia" w:hAnsi="仿宋_GB2312" w:cs="仿宋_GB2312"/>
          <w:b w:val="0"/>
          <w:bCs w:val="0"/>
          <w:szCs w:val="20"/>
        </w:rPr>
        <w:t>进一步强化区级社会组织孵化基地功能，做实两个街道级孵化基地，“十三五”期间</w:t>
      </w:r>
      <w:r>
        <w:rPr>
          <w:rFonts w:hint="eastAsia" w:hAnsi="仿宋_GB2312" w:cs="仿宋_GB2312"/>
          <w:b w:val="0"/>
          <w:bCs w:val="0"/>
          <w:color w:val="auto"/>
          <w:szCs w:val="20"/>
          <w:u w:val="none"/>
        </w:rPr>
        <w:t>孵化扶持发展社会组织达180家，全</w:t>
      </w:r>
      <w:r>
        <w:rPr>
          <w:rFonts w:hint="eastAsia" w:hAnsi="仿宋_GB2312" w:cs="仿宋_GB2312"/>
          <w:b w:val="0"/>
          <w:bCs w:val="0"/>
          <w:szCs w:val="20"/>
        </w:rPr>
        <w:t>区共登记社会组织376个，备案社区社会组织总量达2568个。每万人常住人口拥有登记和备案社会组织58.8个。建立“枢纽型”社会组织联席会议、重要事项通报、信息沟通、工作联系等机制。区级枢纽型社会组织26家，实现镇街枢纽型社会组织全覆盖。全区建成社会工作专业服务机构35个。广泛开展志愿服务，全区“志愿北京”平台注册团体2369个，实名认证志愿者总数达到89913人，占全区常住人口总数的17%左右。深化团员回社区报到工作，推动团员全部注册成为志愿者，组织开展“五大青年行动”进社区等志愿服务活动。47个城市社区完成社区志愿服务站规范化建设，形成了区、街、社区三级社会动员工作体系。落实《社会工作专业人才发展规划纲要》，</w:t>
      </w:r>
      <w:r>
        <w:rPr>
          <w:rFonts w:hint="eastAsia" w:hAnsi="仿宋_GB2312" w:cs="仿宋_GB2312"/>
          <w:b w:val="0"/>
          <w:bCs w:val="0"/>
          <w:szCs w:val="20"/>
          <w:lang w:eastAsia="zh-CN"/>
        </w:rPr>
        <w:t>制定</w:t>
      </w:r>
      <w:r>
        <w:rPr>
          <w:rFonts w:hint="eastAsia" w:hAnsi="仿宋_GB2312" w:cs="仿宋_GB2312"/>
          <w:b w:val="0"/>
          <w:bCs w:val="0"/>
          <w:szCs w:val="20"/>
        </w:rPr>
        <w:t>出台鼓励城乡社区、专业社工机构、社会组织等使用专业人才政策措施，修订《社区工作者管理办法》，健全社区工作者绩效考核评估制度，完善社区工作者人事管理系统。全区社区工作者编制总数达到1012个，取得职业水平证书的达294人,占总人数的29.05%。组织开展“扎根社区、服务居民”社工之星评选活动，评选出社工之星20名。连续开展“最美社工”评选活动，1人获得首都最美社工、7人获得优秀社工称号。</w:t>
      </w:r>
      <w:bookmarkEnd w:id="14"/>
    </w:p>
    <w:p>
      <w:pPr>
        <w:pStyle w:val="4"/>
        <w:wordWrap/>
        <w:adjustRightInd/>
        <w:snapToGrid/>
        <w:spacing w:line="560" w:lineRule="exact"/>
        <w:ind w:left="0" w:leftChars="0" w:right="0"/>
        <w:textAlignment w:val="auto"/>
        <w:rPr>
          <w:rFonts w:hAnsi="仿宋_GB2312" w:cs="仿宋_GB2312"/>
          <w:szCs w:val="20"/>
        </w:rPr>
      </w:pPr>
      <w:bookmarkStart w:id="15" w:name="_Toc59356567"/>
      <w:bookmarkStart w:id="16" w:name="_Toc76488106"/>
      <w:r>
        <w:rPr>
          <w:rFonts w:hint="eastAsia" w:hAnsi="仿宋_GB2312" w:cs="仿宋_GB2312"/>
        </w:rPr>
        <w:t>（四）基层服务管理体制改革不断深入</w:t>
      </w:r>
      <w:bookmarkEnd w:id="15"/>
      <w:r>
        <w:rPr>
          <w:rFonts w:hint="eastAsia" w:hAnsi="仿宋_GB2312" w:cs="仿宋_GB2312"/>
        </w:rPr>
        <w:t>。</w:t>
      </w:r>
      <w:r>
        <w:rPr>
          <w:rFonts w:hint="eastAsia" w:hAnsi="仿宋_GB2312" w:cs="仿宋_GB2312"/>
          <w:b w:val="0"/>
          <w:bCs w:val="0"/>
          <w:szCs w:val="20"/>
        </w:rPr>
        <w:t>创新党建引领基层治理体制机制，大力推进“吹哨报到”改革，不断深化“接诉即办”机制，推动社会治理重心下移、力量下沉、服务基层，着力解决群众的操心事、烦心事、揪心事，打通服务群众的“最后一公里”。建设镇街综合治理数据调度指挥平台，20个镇街和第一批次35个职能部门上线。全区群众诉求解决率</w:t>
      </w:r>
      <w:r>
        <w:rPr>
          <w:rFonts w:hint="eastAsia" w:hAnsi="仿宋_GB2312" w:cs="仿宋_GB2312"/>
          <w:b w:val="0"/>
          <w:bCs w:val="0"/>
          <w:szCs w:val="20"/>
          <w:u w:val="none"/>
          <w:lang w:eastAsia="zh-CN"/>
        </w:rPr>
        <w:t>、</w:t>
      </w:r>
      <w:r>
        <w:rPr>
          <w:rFonts w:hint="eastAsia" w:hAnsi="仿宋_GB2312" w:cs="仿宋_GB2312"/>
          <w:b w:val="0"/>
          <w:bCs w:val="0"/>
          <w:szCs w:val="20"/>
        </w:rPr>
        <w:t>满意率稳步上升。精简优化设置街道内设机构，推进街道综合执法改革，规范城市协管员管理使用，街道党工委、办事处服务管理能力明显提升。创新社区治理模式，制定《社区工作发文联合审查工作细则》《未经批准进入社区工作事项负面清单实施细则》，落实社区事务准入制度。精简社区表格工作，区级层面需社区填报表格由46项精简为2项。推进政务服务重心下移，20个镇街全部建立政务服务中心，建立426个村居政务服务站，上线政务服务“密切帮”移动APP，实现区、镇街、社区（村）三级事项线上办理。</w:t>
      </w:r>
      <w:bookmarkEnd w:id="16"/>
    </w:p>
    <w:p>
      <w:pPr>
        <w:pStyle w:val="4"/>
        <w:wordWrap/>
        <w:adjustRightInd/>
        <w:snapToGrid/>
        <w:spacing w:line="560" w:lineRule="exact"/>
        <w:ind w:left="0" w:leftChars="0" w:right="0"/>
        <w:textAlignment w:val="auto"/>
        <w:rPr>
          <w:rFonts w:hAnsi="仿宋_GB2312" w:cs="仿宋_GB2312"/>
          <w:b w:val="0"/>
          <w:bCs w:val="0"/>
          <w:szCs w:val="20"/>
        </w:rPr>
      </w:pPr>
      <w:bookmarkStart w:id="17" w:name="_Toc59356569"/>
      <w:bookmarkStart w:id="18" w:name="_Toc76488107"/>
      <w:r>
        <w:rPr>
          <w:rFonts w:hint="eastAsia" w:hAnsi="仿宋_GB2312" w:cs="仿宋_GB2312"/>
        </w:rPr>
        <w:t>（五）社会救助事业稳步推进</w:t>
      </w:r>
      <w:bookmarkEnd w:id="17"/>
      <w:r>
        <w:rPr>
          <w:rFonts w:hint="eastAsia" w:hAnsi="仿宋_GB2312" w:cs="仿宋_GB2312"/>
        </w:rPr>
        <w:t>。</w:t>
      </w:r>
      <w:r>
        <w:rPr>
          <w:rFonts w:hint="eastAsia" w:hAnsi="仿宋_GB2312" w:cs="仿宋_GB2312"/>
          <w:b w:val="0"/>
          <w:bCs w:val="0"/>
          <w:szCs w:val="20"/>
        </w:rPr>
        <w:t>社会救助标准不断提升，城乡低保标准从家庭月人均710元调整到1170元，上调460元，增幅为64.8%。城乡低收入家庭认定标准由现行的家庭月人均930元调整为2200元，上调1270元，增幅为136%。累计发放城乡低保、特困、临时救助等各类社会救助专项资金7.3亿余元。充分发挥救助职能助力全区精准脱低。通过政府购买服务、委托等方式引入社会工作机构承接各镇街困难群众救助服务所的运营，建立困难群众主动发现机制，加快推进社会救助从“依申请”向“主动发现”转变，</w:t>
      </w:r>
      <w:r>
        <w:rPr>
          <w:rFonts w:hint="eastAsia" w:hAnsi="仿宋_GB2312" w:cs="仿宋_GB2312"/>
          <w:b w:val="0"/>
          <w:bCs w:val="0"/>
          <w:szCs w:val="20"/>
          <w:lang w:eastAsia="zh-CN"/>
        </w:rPr>
        <w:t>依托</w:t>
      </w:r>
      <w:r>
        <w:rPr>
          <w:rFonts w:hint="eastAsia" w:hAnsi="仿宋_GB2312" w:cs="仿宋_GB2312"/>
          <w:b w:val="0"/>
          <w:bCs w:val="0"/>
          <w:szCs w:val="20"/>
        </w:rPr>
        <w:t>区、镇街、社区</w:t>
      </w:r>
      <w:r>
        <w:rPr>
          <w:rFonts w:hint="eastAsia" w:hAnsi="仿宋_GB2312" w:cs="仿宋_GB2312"/>
          <w:b w:val="0"/>
          <w:bCs w:val="0"/>
          <w:szCs w:val="20"/>
          <w:lang w:val="en-US" w:eastAsia="zh-CN"/>
        </w:rPr>
        <w:t>(</w:t>
      </w:r>
      <w:r>
        <w:rPr>
          <w:rFonts w:hint="eastAsia" w:hAnsi="仿宋_GB2312" w:cs="仿宋_GB2312"/>
          <w:b w:val="0"/>
          <w:bCs w:val="0"/>
          <w:szCs w:val="20"/>
        </w:rPr>
        <w:t>村</w:t>
      </w:r>
      <w:r>
        <w:rPr>
          <w:rFonts w:hint="eastAsia" w:hAnsi="仿宋_GB2312" w:cs="仿宋_GB2312"/>
          <w:b w:val="0"/>
          <w:bCs w:val="0"/>
          <w:szCs w:val="20"/>
          <w:lang w:val="en-US" w:eastAsia="zh-CN"/>
        </w:rPr>
        <w:t>)</w:t>
      </w:r>
      <w:r>
        <w:rPr>
          <w:rFonts w:hint="eastAsia" w:hAnsi="仿宋_GB2312" w:cs="仿宋_GB2312"/>
          <w:b w:val="0"/>
          <w:bCs w:val="0"/>
          <w:szCs w:val="20"/>
        </w:rPr>
        <w:t>三级协调联动救助帮扶体系，实现救助服务全覆盖。20个镇（街）全部建立困难群众救助服务所，村（社区）全部建立困难群众救助服务站，建所建站率为100%。加强对最低生活保障对象的动态管理，确保抽查核准率100%，复审准确率100%，规范准入和退出机制，实现应保尽保、应退即退。坚持日常救助与重点节日救助相结合，有序开展救助工作，共救助流浪乞讨人员619人</w:t>
      </w:r>
      <w:r>
        <w:rPr>
          <w:rFonts w:hint="eastAsia" w:hAnsi="仿宋_GB2312" w:cs="仿宋_GB2312"/>
          <w:b w:val="0"/>
          <w:bCs w:val="0"/>
          <w:szCs w:val="20"/>
          <w:lang w:eastAsia="zh-CN"/>
        </w:rPr>
        <w:t>。</w:t>
      </w:r>
      <w:r>
        <w:rPr>
          <w:rFonts w:hint="eastAsia" w:hAnsi="仿宋_GB2312" w:cs="仿宋_GB2312"/>
          <w:b w:val="0"/>
          <w:bCs w:val="0"/>
          <w:szCs w:val="20"/>
        </w:rPr>
        <w:t>投资1600万元建成全市第一个民政局自有产权的国家三级标准救助站，为身处困境的特殊弱势群体提供了一个功能齐全、设施完善、环境适宜的临时救助和庇护场所，流浪乞讨人员救助服务质量明显提升。</w:t>
      </w:r>
      <w:bookmarkEnd w:id="18"/>
    </w:p>
    <w:p>
      <w:pPr>
        <w:pStyle w:val="4"/>
        <w:wordWrap/>
        <w:adjustRightInd/>
        <w:snapToGrid/>
        <w:spacing w:line="560" w:lineRule="exact"/>
        <w:ind w:left="0" w:leftChars="0" w:right="0"/>
        <w:textAlignment w:val="auto"/>
        <w:rPr>
          <w:rFonts w:hAnsi="仿宋_GB2312" w:cs="仿宋_GB2312"/>
          <w:b w:val="0"/>
          <w:bCs w:val="0"/>
          <w:szCs w:val="20"/>
        </w:rPr>
      </w:pPr>
      <w:bookmarkStart w:id="19" w:name="_Toc59356570"/>
      <w:bookmarkStart w:id="20" w:name="_Toc76488108"/>
      <w:r>
        <w:rPr>
          <w:rFonts w:hint="eastAsia" w:hAnsi="仿宋_GB2312" w:cs="仿宋_GB2312"/>
        </w:rPr>
        <w:t>（六）社会福利保障</w:t>
      </w:r>
      <w:bookmarkEnd w:id="19"/>
      <w:r>
        <w:rPr>
          <w:rFonts w:hint="eastAsia" w:hAnsi="仿宋_GB2312" w:cs="仿宋_GB2312"/>
        </w:rPr>
        <w:t>迈上新台阶。</w:t>
      </w:r>
      <w:r>
        <w:rPr>
          <w:rFonts w:hint="eastAsia" w:hAnsi="仿宋_GB2312" w:cs="仿宋_GB2312"/>
          <w:b w:val="0"/>
          <w:bCs w:val="0"/>
          <w:szCs w:val="20"/>
        </w:rPr>
        <w:t>加强儿童福利保障，镇级设立20名儿童督导员，实现镇街和地区</w:t>
      </w:r>
      <w:r>
        <w:rPr>
          <w:rFonts w:hint="eastAsia" w:hAnsi="仿宋_GB2312" w:cs="仿宋_GB2312"/>
          <w:b w:val="0"/>
          <w:bCs w:val="0"/>
          <w:szCs w:val="20"/>
          <w:lang w:eastAsia="zh-CN"/>
        </w:rPr>
        <w:t>全</w:t>
      </w:r>
      <w:r>
        <w:rPr>
          <w:rFonts w:hint="eastAsia" w:hAnsi="仿宋_GB2312" w:cs="仿宋_GB2312"/>
          <w:b w:val="0"/>
          <w:bCs w:val="0"/>
          <w:szCs w:val="20"/>
        </w:rPr>
        <w:t>覆盖。村级设立423名儿童主任，实现所有村庄社区1:1配置。发放困境儿童生活费636.48余万元、困境儿童医疗救助资金12.98万元。深入实施“福彩圆梦·孤儿助学”工程，为孤儿发放助学金9万元。加大残疾人保障力度，通过</w:t>
      </w:r>
      <w:r>
        <w:rPr>
          <w:rFonts w:hint="eastAsia" w:hAnsi="仿宋_GB2312" w:cs="仿宋_GB2312"/>
          <w:b w:val="0"/>
          <w:bCs w:val="0"/>
          <w:szCs w:val="20"/>
          <w:lang w:eastAsia="zh-CN"/>
        </w:rPr>
        <w:t>与</w:t>
      </w:r>
      <w:r>
        <w:rPr>
          <w:rFonts w:hint="eastAsia" w:hAnsi="仿宋_GB2312" w:cs="仿宋_GB2312"/>
          <w:b w:val="0"/>
          <w:bCs w:val="0"/>
          <w:szCs w:val="20"/>
        </w:rPr>
        <w:t>现有养老机构分区管理的形式，在溪翁庄镇社会福利中心、河南寨镇社会福利中心分别设立50张智障人员的床位，实行分区管理。加快区级精神卫生福利机构建设，依托密云区汇康养老服务中心开展精神卫生福利机构建设工作，承担区级精神卫生福利机构职能，开展集中收住非急症治疗期的精神、智力类残疾人工作。发放残疾人两项补贴3.87亿元。规范征地超转人员接收管理，完善“三级”服务管理机制,制定出台《征地超转人员服务管理工作细则》，凡因征地产生的超转人员全部纳入民政部门管理。稳步推进社会捐助，建成慈善超市20家、捐助站点26家，实现慈善超市和捐助站点全覆盖。成立慈善爱心救助协会22个，20个镇街实现全覆盖。开展“爱心暖阳”送温暖系列活动。</w:t>
      </w:r>
      <w:bookmarkEnd w:id="20"/>
    </w:p>
    <w:p>
      <w:pPr>
        <w:pStyle w:val="4"/>
        <w:wordWrap/>
        <w:adjustRightInd/>
        <w:snapToGrid/>
        <w:spacing w:line="560" w:lineRule="exact"/>
        <w:ind w:left="0" w:leftChars="0" w:right="0"/>
        <w:textAlignment w:val="auto"/>
        <w:rPr>
          <w:rFonts w:hAnsi="仿宋_GB2312" w:cs="仿宋_GB2312"/>
          <w:b w:val="0"/>
          <w:bCs w:val="0"/>
          <w:szCs w:val="20"/>
        </w:rPr>
      </w:pPr>
      <w:bookmarkStart w:id="21" w:name="_Toc59356571"/>
      <w:bookmarkStart w:id="22" w:name="_Toc76488109"/>
      <w:r>
        <w:rPr>
          <w:rFonts w:hint="eastAsia" w:hAnsi="仿宋_GB2312" w:cs="仿宋_GB2312"/>
        </w:rPr>
        <w:t>（七）养老服务事业</w:t>
      </w:r>
      <w:bookmarkEnd w:id="21"/>
      <w:r>
        <w:rPr>
          <w:rFonts w:hint="eastAsia" w:hAnsi="仿宋_GB2312" w:cs="仿宋_GB2312"/>
        </w:rPr>
        <w:t>取得长足发展。</w:t>
      </w:r>
      <w:r>
        <w:rPr>
          <w:rFonts w:hint="eastAsia" w:hAnsi="仿宋_GB2312" w:cs="仿宋_GB2312"/>
          <w:b w:val="0"/>
          <w:bCs w:val="0"/>
        </w:rPr>
        <w:t>三级养老服务体系日臻完善，</w:t>
      </w:r>
      <w:r>
        <w:rPr>
          <w:rFonts w:hint="eastAsia" w:hAnsi="仿宋_GB2312" w:cs="仿宋_GB2312"/>
          <w:b w:val="0"/>
          <w:bCs w:val="0"/>
          <w:szCs w:val="20"/>
        </w:rPr>
        <w:t>按照全市提出的“三边四级”养老服务体系总体要求，坚持以“居家为基础、社区为依托、机构为补充、医养相结合”的发展思路，充分发挥区级统筹指引作用，积极指导各镇（街）落实养老服务政策，建设养老照料中心，发展区域养老服务联合体，拓宽农村居家养老服务设施建设“准入门槛”，大力提升农村居家养老服务有效供给，深化居家养老服务领域“放管服”改革，鼓励社会力量参与居家养老服务工作。基本形成了“区级养老服务指导中心统筹资源到周边，镇街照料中心辐射服务到身边，村居幸福晚年驿站就近服务到床边”的三级居家养老服务格局。强化政策支持，出台《关于推进养老服务业发展的实施意见》《密云区老龄工作委员会关于贯彻落实&lt;北京市居家养老服务条例&gt;的实施意见》《密云区“十三五”时期老龄工作意见》。编制《养老服务设施三年行动计划（2018年-2020年）》《养老服务设施专项规划》和《养老体系建设与老龄事业发展中长期规划》，引导养老服务设施建设健康有序发展，建成“农村幸福晚年驿站”100家，邻里互助队（点）100个，养老机构37家，养老照料中心8家，共有床位5444张，千人养老床位数达10.8张，“老有所养”指数值达87.23，两项指标均排名全市前列。积极探索建立区级医院与养老机构结合新模式，在区医院及区中医院集中为养老机构老年人建立患病就医绿色通道，方便老年人就医。引导和帮助3家有条件的养老机构开展内设医疗机构工作，并逐步纳入医保定点</w:t>
      </w:r>
      <w:r>
        <w:rPr>
          <w:rFonts w:hint="eastAsia" w:hAnsi="仿宋_GB2312" w:cs="仿宋_GB2312"/>
          <w:b w:val="0"/>
          <w:bCs w:val="0"/>
          <w:szCs w:val="20"/>
          <w:lang w:eastAsia="zh-CN"/>
        </w:rPr>
        <w:t>，</w:t>
      </w:r>
      <w:r>
        <w:rPr>
          <w:rFonts w:hint="eastAsia" w:hAnsi="仿宋_GB2312" w:cs="仿宋_GB2312"/>
          <w:b w:val="0"/>
          <w:bCs w:val="0"/>
          <w:szCs w:val="20"/>
        </w:rPr>
        <w:t>养老护理型床位比例达100%。加强养老机构规范化管理，充分发挥星级养老机构的示范引领作用，鼓楼街道、密云镇、新城子镇等15家社会福利中心经过审核评定，已达到2星级及以上标准，星评率达91%。培训护理人员近2000人，持证上岗率达90%以上。探索公办养老机构管理体制改革。出台《关于深化公办养老机构管理体制改革工作的通知》，对公办养老机构运营方式实施分类管理，通过承包、委托经营等方式，推进养老服务社会化。全区19家公办养老机构已有12家实施公办民营，社会化养老服务效果显著。</w:t>
      </w:r>
      <w:bookmarkEnd w:id="22"/>
    </w:p>
    <w:p>
      <w:pPr>
        <w:pStyle w:val="4"/>
        <w:wordWrap/>
        <w:adjustRightInd/>
        <w:snapToGrid/>
        <w:spacing w:line="560" w:lineRule="exact"/>
        <w:ind w:left="0" w:leftChars="0" w:right="0"/>
        <w:textAlignment w:val="auto"/>
        <w:rPr>
          <w:rFonts w:hAnsi="仿宋_GB2312" w:cs="仿宋_GB2312"/>
          <w:szCs w:val="20"/>
        </w:rPr>
      </w:pPr>
      <w:bookmarkStart w:id="23" w:name="_Toc59356572"/>
      <w:bookmarkStart w:id="24" w:name="_Toc76488110"/>
      <w:r>
        <w:rPr>
          <w:rFonts w:hint="eastAsia" w:hAnsi="仿宋_GB2312" w:cs="仿宋_GB2312"/>
        </w:rPr>
        <w:t>（八）专项服务工作</w:t>
      </w:r>
      <w:bookmarkEnd w:id="23"/>
      <w:r>
        <w:rPr>
          <w:rFonts w:hint="eastAsia" w:hAnsi="仿宋_GB2312" w:cs="仿宋_GB2312"/>
        </w:rPr>
        <w:t>稳中有进。</w:t>
      </w:r>
      <w:r>
        <w:rPr>
          <w:rFonts w:hint="eastAsia" w:hAnsi="仿宋_GB2312" w:cs="仿宋_GB2312"/>
          <w:b w:val="0"/>
          <w:bCs w:val="0"/>
          <w:szCs w:val="20"/>
        </w:rPr>
        <w:t>提升婚姻登记服务质量，全面建成“5A”级婚姻登记机关，婚姻登记档案全部实现电子化管理，实现纸质和电子档案双保管。“十三五”期间，办理婚姻登记44926对，执法合格率100%。深化殡葬管理服务改革，推动殡葬管理体制改革，实现殡葬行政管理、公共服务与市场化经营服务职能分离。制定殡葬事业发展规划，全面推进绿色生态公益殡葬。规范殡葬服务市场，坚持殡仪服务项目和殡葬用品明码标价和公示收费制度。深入开展散葬坟墓、“住宅式”墓地等专项治理。大力弘扬见义勇为精神，建立见义勇为权益保护联席会议制度，确认见义勇为行为7例，接收法前见义勇为人员1人，受理评残2人。</w:t>
      </w:r>
      <w:bookmarkEnd w:id="10"/>
      <w:bookmarkEnd w:id="24"/>
      <w:bookmarkStart w:id="25" w:name="_Toc8121"/>
    </w:p>
    <w:p>
      <w:pPr>
        <w:pStyle w:val="2"/>
        <w:wordWrap/>
        <w:adjustRightInd/>
        <w:snapToGrid/>
        <w:spacing w:line="560" w:lineRule="exact"/>
        <w:ind w:left="0" w:leftChars="0" w:right="0" w:firstLine="720" w:firstLineChars="200"/>
        <w:jc w:val="left"/>
        <w:textAlignment w:val="auto"/>
      </w:pPr>
      <w:bookmarkStart w:id="26" w:name="_Toc77367968"/>
      <w:bookmarkStart w:id="27" w:name="_Toc76488111"/>
      <w:r>
        <w:rPr>
          <w:rFonts w:hint="eastAsia"/>
        </w:rPr>
        <w:t>二、“十四五”时期社会治理与民政事业发展面临的新要求新挑战</w:t>
      </w:r>
      <w:bookmarkEnd w:id="25"/>
      <w:bookmarkEnd w:id="26"/>
      <w:bookmarkEnd w:id="27"/>
    </w:p>
    <w:p>
      <w:pPr>
        <w:wordWrap/>
        <w:adjustRightInd/>
        <w:snapToGrid/>
        <w:spacing w:line="560" w:lineRule="exact"/>
        <w:ind w:left="0" w:leftChars="0" w:right="0" w:firstLine="640" w:firstLineChars="200"/>
        <w:textAlignment w:val="auto"/>
        <w:rPr>
          <w:rFonts w:ascii="仿宋_GB2312" w:hAnsi="仿宋_GB2312" w:eastAsia="仿宋_GB2312" w:cs="仿宋_GB2312"/>
          <w:sz w:val="32"/>
          <w:szCs w:val="20"/>
        </w:rPr>
      </w:pPr>
      <w:bookmarkStart w:id="28" w:name="_Toc49455821"/>
      <w:r>
        <w:rPr>
          <w:rFonts w:hint="eastAsia" w:ascii="仿宋" w:hAnsi="仿宋" w:eastAsia="仿宋" w:cs="仿宋"/>
          <w:sz w:val="32"/>
          <w:szCs w:val="32"/>
        </w:rPr>
        <w:t>“十四五”时期，我国进入全面建设社会主义现代化国家的新阶段，要深刻认识我国社会主要矛盾发展变化带来的新要求新挑战，主动适应社会结构、社会关系、社会行为、社会心理等深刻变化，进一步增强机遇意识和风险意识，把握发展规律，善于在危机中育新机、于变局中开新局，推动密云区社会治理和民政事业全面向前发展。</w:t>
      </w:r>
    </w:p>
    <w:p>
      <w:pPr>
        <w:pStyle w:val="4"/>
        <w:wordWrap/>
        <w:adjustRightInd/>
        <w:snapToGrid/>
        <w:spacing w:line="560" w:lineRule="exact"/>
        <w:ind w:left="0" w:leftChars="0" w:right="0"/>
        <w:textAlignment w:val="auto"/>
        <w:rPr>
          <w:rFonts w:hAnsi="仿宋_GB2312" w:cs="仿宋_GB2312"/>
          <w:b w:val="0"/>
          <w:bCs w:val="0"/>
          <w:szCs w:val="20"/>
        </w:rPr>
      </w:pPr>
      <w:bookmarkStart w:id="29" w:name="_Toc11423"/>
      <w:bookmarkStart w:id="30" w:name="_Toc59356579"/>
      <w:bookmarkStart w:id="31" w:name="_Toc76488117"/>
      <w:bookmarkStart w:id="32" w:name="_Toc59356577"/>
      <w:bookmarkStart w:id="33" w:name="_Toc26060"/>
      <w:bookmarkStart w:id="34" w:name="_Toc76488115"/>
      <w:r>
        <w:rPr>
          <w:rFonts w:hint="eastAsia" w:hAnsi="仿宋_GB2312" w:cs="仿宋_GB2312"/>
        </w:rPr>
        <w:t>（一）人民对美好生活的向往提出新要求</w:t>
      </w:r>
      <w:bookmarkEnd w:id="29"/>
      <w:bookmarkEnd w:id="30"/>
      <w:r>
        <w:rPr>
          <w:rFonts w:hint="eastAsia" w:hAnsi="仿宋_GB2312" w:cs="仿宋_GB2312"/>
        </w:rPr>
        <w:t>。</w:t>
      </w:r>
      <w:r>
        <w:rPr>
          <w:rFonts w:hint="eastAsia" w:hAnsi="仿宋_GB2312" w:cs="仿宋_GB2312"/>
          <w:b w:val="0"/>
          <w:bCs w:val="0"/>
          <w:szCs w:val="20"/>
        </w:rPr>
        <w:t>社会治理和民政事业关系民生、连着民心，体现着党为人民服务的根本宗旨，是社会建设的基础性工作。当前密云区城乡区域发展与收入差距较大，城乡基础设施建设短板较多,全区居民人均可支配收入与全市存在较大差距，城乡发展不平衡、不充分的问题较为突出，与现代化城市要求和广大群众迫切需求之间差距较大。“十四五”期间，必须把以人民为中心的发展思想贯彻到社会治理和民政事业发展的全过程，把人民对美好生活的向往作为推动社会治理和民政事业发展的根本动力，全面提升社会治理和民政事业水平，切实增强群众的获得感幸福感安全感。</w:t>
      </w:r>
      <w:bookmarkEnd w:id="31"/>
    </w:p>
    <w:p>
      <w:pPr>
        <w:pStyle w:val="4"/>
        <w:wordWrap/>
        <w:adjustRightInd/>
        <w:snapToGrid/>
        <w:spacing w:line="560" w:lineRule="exact"/>
        <w:ind w:left="0" w:leftChars="0" w:right="0"/>
        <w:textAlignment w:val="auto"/>
        <w:rPr>
          <w:rFonts w:hAnsi="仿宋_GB2312" w:cs="仿宋_GB2312"/>
          <w:b w:val="0"/>
          <w:bCs w:val="0"/>
          <w:szCs w:val="20"/>
        </w:rPr>
      </w:pPr>
      <w:r>
        <w:rPr>
          <w:rFonts w:hint="eastAsia" w:hAnsi="仿宋_GB2312" w:cs="仿宋_GB2312"/>
        </w:rPr>
        <w:t>（二）生态引领建设绿色密云提出新要求</w:t>
      </w:r>
      <w:bookmarkEnd w:id="32"/>
      <w:bookmarkEnd w:id="33"/>
      <w:r>
        <w:rPr>
          <w:rFonts w:hint="eastAsia" w:hAnsi="仿宋_GB2312" w:cs="仿宋_GB2312"/>
        </w:rPr>
        <w:t>。</w:t>
      </w:r>
      <w:r>
        <w:rPr>
          <w:rFonts w:hint="eastAsia" w:hAnsi="仿宋_GB2312" w:cs="仿宋_GB2312"/>
          <w:b w:val="0"/>
          <w:bCs w:val="0"/>
          <w:szCs w:val="20"/>
        </w:rPr>
        <w:t>密云区加强生态涵养区建设的战略规划，对处理好经济发展与环境保护的关系，实现两者的良性互动提出了新要求。从短期看，加强环境保护会为密云区经济社会发展带来一定压力，财政收入来源的制约必将影响对社会治理和民政事业的投入，民生保障又将进一步推动绿水青山就是金山银山理念的落实，这些都将倒逼密云必须建立起较为完善的绿色发展的体制机制，在立足生态环境保护的基础上，科学、合理、有序寻找和开发自身特色资源，努力实现生态环境保护和经济社会发展有机统一，形成绿色生产方式和生活方式，促使环境质量不断提升，为经济发展提供更大空间。</w:t>
      </w:r>
      <w:bookmarkEnd w:id="34"/>
    </w:p>
    <w:p>
      <w:pPr>
        <w:pStyle w:val="4"/>
        <w:wordWrap/>
        <w:adjustRightInd/>
        <w:snapToGrid/>
        <w:spacing w:line="560" w:lineRule="exact"/>
        <w:ind w:left="0" w:leftChars="0" w:right="0"/>
        <w:textAlignment w:val="auto"/>
        <w:rPr>
          <w:rFonts w:hAnsi="仿宋_GB2312" w:cs="仿宋_GB2312"/>
          <w:b w:val="0"/>
          <w:bCs w:val="0"/>
          <w:szCs w:val="20"/>
        </w:rPr>
      </w:pPr>
      <w:bookmarkStart w:id="35" w:name="_Toc21813"/>
      <w:bookmarkStart w:id="36" w:name="_Toc59356578"/>
      <w:bookmarkStart w:id="37" w:name="_Toc76488116"/>
      <w:r>
        <w:rPr>
          <w:rFonts w:hint="eastAsia" w:hAnsi="仿宋_GB2312" w:cs="仿宋_GB2312"/>
        </w:rPr>
        <w:t>（三）现代化社会治理体系提出新要求</w:t>
      </w:r>
      <w:bookmarkEnd w:id="35"/>
      <w:bookmarkEnd w:id="36"/>
      <w:r>
        <w:rPr>
          <w:rFonts w:hint="eastAsia" w:hAnsi="仿宋_GB2312" w:cs="仿宋_GB2312"/>
        </w:rPr>
        <w:t>。</w:t>
      </w:r>
      <w:r>
        <w:rPr>
          <w:rFonts w:hint="eastAsia" w:hAnsi="仿宋_GB2312" w:cs="仿宋_GB2312"/>
          <w:b w:val="0"/>
          <w:bCs w:val="0"/>
          <w:szCs w:val="20"/>
        </w:rPr>
        <w:t>对标现代化的社会治理体系，总结新冠疫情防控暴露的问题，密云区社会治理还面临较大挑战。公众和各类社会主体主动参与意愿较为薄弱，社会共同体意识有待进一步培养，社会主体参与空间不足，社会组织数量较少能力偏弱，社会治理社会化程度亟待提升。近年来，伴随着新城开发、土地流转，密云区出现较多“村居并行”现象，基层治理能力不足，社会治理精细化程度有待提高。在推进城乡一体化的大背景下，</w:t>
      </w:r>
      <w:bookmarkEnd w:id="37"/>
      <w:r>
        <w:rPr>
          <w:rFonts w:hint="eastAsia" w:hAnsi="仿宋_GB2312" w:cs="仿宋_GB2312"/>
          <w:b w:val="0"/>
          <w:bCs w:val="0"/>
          <w:szCs w:val="20"/>
        </w:rPr>
        <w:t>需要在完善社会治理体系、提高社会治理能力上持续发力。</w:t>
      </w:r>
    </w:p>
    <w:p>
      <w:pPr>
        <w:pStyle w:val="4"/>
        <w:wordWrap/>
        <w:adjustRightInd/>
        <w:snapToGrid/>
        <w:spacing w:line="560" w:lineRule="exact"/>
        <w:ind w:left="0" w:leftChars="0" w:right="0"/>
        <w:textAlignment w:val="auto"/>
        <w:rPr>
          <w:rFonts w:hAnsi="仿宋_GB2312" w:cs="仿宋_GB2312"/>
          <w:b w:val="0"/>
          <w:bCs w:val="0"/>
          <w:szCs w:val="20"/>
        </w:rPr>
      </w:pPr>
      <w:bookmarkStart w:id="38" w:name="_Toc59356574"/>
      <w:bookmarkStart w:id="39" w:name="_Toc76488112"/>
      <w:r>
        <w:rPr>
          <w:rFonts w:hint="eastAsia" w:hAnsi="仿宋_GB2312" w:cs="仿宋_GB2312"/>
        </w:rPr>
        <w:t>（四）我国经济社会发展新阶段带来新挑战</w:t>
      </w:r>
      <w:bookmarkEnd w:id="38"/>
      <w:r>
        <w:rPr>
          <w:rFonts w:hint="eastAsia" w:hAnsi="仿宋_GB2312" w:cs="仿宋_GB2312"/>
        </w:rPr>
        <w:t>。</w:t>
      </w:r>
      <w:r>
        <w:rPr>
          <w:rFonts w:hint="eastAsia" w:ascii="仿宋" w:hAnsi="仿宋" w:eastAsia="仿宋" w:cs="仿宋"/>
          <w:b w:val="0"/>
          <w:bCs w:val="0"/>
        </w:rPr>
        <w:t>“</w:t>
      </w:r>
      <w:r>
        <w:rPr>
          <w:rFonts w:hint="eastAsia" w:hAnsi="仿宋_GB2312" w:cs="仿宋_GB2312"/>
          <w:b w:val="0"/>
          <w:bCs w:val="0"/>
          <w:szCs w:val="20"/>
        </w:rPr>
        <w:t>十四五”时期我国进入经济高质量发展的新阶段，经济社会发展具有多方面优势和条件，但发展不平衡不充分问题仍然突出。在充分把握经济社会发展新阶段对密云区社会治理和民政事业发展带来机遇的同时，还需充分认识到各类重大风险给密云区社会治理和民政事业带来的挑战，进一步强化风险意识，加强风险预警和风险治理，严密防范自然灾害、事故灾难、公共卫生、社会安全等领域重大风险可能给社会治理和民政事业带来的负面影响，需重点关注欠发达镇，注意倾听弱势群体、困难群体的意见建议，着力解决好密云区发展不平衡不充分的问题，补齐工作短板，改善欠发达镇街基础服务设施。</w:t>
      </w:r>
      <w:bookmarkEnd w:id="39"/>
    </w:p>
    <w:p>
      <w:pPr>
        <w:pStyle w:val="4"/>
        <w:wordWrap/>
        <w:adjustRightInd/>
        <w:snapToGrid/>
        <w:spacing w:line="560" w:lineRule="exact"/>
        <w:ind w:left="0" w:leftChars="0" w:right="0"/>
        <w:textAlignment w:val="auto"/>
        <w:rPr>
          <w:rFonts w:hAnsi="仿宋_GB2312" w:cs="仿宋_GB2312"/>
          <w:b w:val="0"/>
          <w:bCs w:val="0"/>
          <w:szCs w:val="20"/>
        </w:rPr>
      </w:pPr>
      <w:bookmarkStart w:id="40" w:name="_Toc59356575"/>
      <w:bookmarkStart w:id="41" w:name="_Toc18798"/>
      <w:bookmarkStart w:id="42" w:name="_Toc76488113"/>
      <w:r>
        <w:rPr>
          <w:rFonts w:hint="eastAsia" w:hAnsi="仿宋_GB2312" w:cs="仿宋_GB2312"/>
        </w:rPr>
        <w:t>（五）养老服务需求与供给矛盾带来新挑战</w:t>
      </w:r>
      <w:bookmarkEnd w:id="40"/>
      <w:bookmarkEnd w:id="41"/>
      <w:r>
        <w:rPr>
          <w:rFonts w:hint="eastAsia" w:hAnsi="仿宋_GB2312" w:cs="仿宋_GB2312"/>
        </w:rPr>
        <w:t>。</w:t>
      </w:r>
      <w:r>
        <w:rPr>
          <w:rFonts w:hint="eastAsia" w:hAnsi="仿宋_GB2312" w:cs="仿宋_GB2312"/>
          <w:b w:val="0"/>
          <w:bCs w:val="0"/>
          <w:szCs w:val="20"/>
        </w:rPr>
        <w:t>密云区已达深度老龄化社会，特别是部分山区农村，留守老人比较集中，低保特困户中老年人居多，老年人生计和农村养老面临较大困境。突出的老龄化问题给各类养老津贴和养老服务带来较大的财政压力，更对全区养老服务业发展和养老设施建设带来严峻考验。养老事业还面临着社区养老服务驿站可持续性发展动力不足、养老服务设施医疗水平偏低、专业化人才和场地不足等突出问题。另外，当前的养老服务资源布局对康复护理服务需求较高及需长期照护服务的重残、失能和特困老年人群体支持不足。另外，当前养老服务机构仅能满足“老有所养”的基本需求，但在老有所乐、老有所学、老有所为等方面的功能亟待加强。</w:t>
      </w:r>
      <w:bookmarkEnd w:id="42"/>
    </w:p>
    <w:p>
      <w:pPr>
        <w:pStyle w:val="4"/>
        <w:wordWrap/>
        <w:adjustRightInd/>
        <w:snapToGrid/>
        <w:spacing w:line="560" w:lineRule="exact"/>
        <w:ind w:left="0" w:leftChars="0" w:right="0"/>
        <w:textAlignment w:val="auto"/>
        <w:rPr>
          <w:rFonts w:hint="eastAsia" w:hAnsi="仿宋_GB2312" w:cs="仿宋_GB2312"/>
          <w:b w:val="0"/>
          <w:bCs w:val="0"/>
          <w:szCs w:val="20"/>
        </w:rPr>
      </w:pPr>
      <w:bookmarkStart w:id="43" w:name="_Toc59356576"/>
      <w:bookmarkStart w:id="44" w:name="_Toc24863"/>
      <w:bookmarkStart w:id="45" w:name="_Toc76488114"/>
      <w:r>
        <w:rPr>
          <w:rFonts w:hint="eastAsia" w:hAnsi="仿宋_GB2312" w:cs="仿宋_GB2312"/>
        </w:rPr>
        <w:t>（六）信息基础设施相对滞后带来新挑战</w:t>
      </w:r>
      <w:bookmarkEnd w:id="43"/>
      <w:bookmarkEnd w:id="44"/>
      <w:r>
        <w:rPr>
          <w:rFonts w:hint="eastAsia" w:hAnsi="仿宋_GB2312" w:cs="仿宋_GB2312"/>
        </w:rPr>
        <w:t>。</w:t>
      </w:r>
      <w:r>
        <w:rPr>
          <w:rFonts w:hint="eastAsia" w:hAnsi="仿宋_GB2312" w:cs="仿宋_GB2312"/>
          <w:b w:val="0"/>
          <w:bCs w:val="0"/>
          <w:szCs w:val="20"/>
        </w:rPr>
        <w:t>随着智慧政务、智慧司法和智慧城市建设进程加快，信息基础设施成为社会治理的重大战略性基础设施。密云区信息基础设施总体水平较好，但市政基础设施智能化、数字化程度亟待提升，城乡规划建设的多维度、可视化、协同化体现不够，应急管理、生态保护和社会治理等领域智能化、数字化和整合度不足。大数据治理能力和相关制度建设滞后。关键信息基础设施面临的安全形势非常复杂，网络运营安全防护能力欠缺，在大量不可预知的安全风险和隐患面前，网络关键信息基础设施面临的安全形势较为严峻。</w:t>
      </w:r>
      <w:bookmarkEnd w:id="45"/>
      <w:bookmarkStart w:id="46" w:name="_Toc76488118"/>
    </w:p>
    <w:p>
      <w:pPr>
        <w:pStyle w:val="2"/>
        <w:wordWrap/>
        <w:adjustRightInd/>
        <w:snapToGrid/>
        <w:spacing w:line="560" w:lineRule="exact"/>
        <w:ind w:left="0" w:leftChars="0" w:right="0"/>
        <w:textAlignment w:val="auto"/>
        <w:rPr>
          <w:rFonts w:hint="eastAsia"/>
        </w:rPr>
      </w:pPr>
    </w:p>
    <w:p>
      <w:pPr>
        <w:pStyle w:val="2"/>
        <w:wordWrap/>
        <w:adjustRightInd/>
        <w:snapToGrid/>
        <w:spacing w:line="560" w:lineRule="exact"/>
        <w:ind w:left="0" w:leftChars="0" w:right="0"/>
        <w:textAlignment w:val="auto"/>
        <w:rPr>
          <w:rFonts w:hint="eastAsia"/>
        </w:rPr>
      </w:pPr>
      <w:bookmarkStart w:id="47" w:name="_Toc77367969"/>
      <w:r>
        <w:rPr>
          <w:rFonts w:hint="eastAsia"/>
        </w:rPr>
        <w:t>第二部分  总体要求</w:t>
      </w:r>
      <w:bookmarkEnd w:id="28"/>
      <w:bookmarkEnd w:id="46"/>
      <w:bookmarkEnd w:id="47"/>
      <w:bookmarkStart w:id="48" w:name="_Toc26056"/>
      <w:bookmarkStart w:id="49" w:name="_Toc12202"/>
      <w:bookmarkStart w:id="50" w:name="_Toc13297"/>
      <w:bookmarkStart w:id="51" w:name="_Toc15752"/>
      <w:bookmarkStart w:id="52" w:name="_Toc28598753"/>
      <w:bookmarkStart w:id="53" w:name="_Toc19730"/>
      <w:bookmarkStart w:id="54" w:name="_Toc4560"/>
      <w:bookmarkStart w:id="55" w:name="_Toc2676"/>
      <w:bookmarkStart w:id="56" w:name="_Toc383"/>
      <w:bookmarkStart w:id="57" w:name="_Toc22717"/>
      <w:bookmarkStart w:id="58" w:name="_Toc445132774"/>
      <w:bookmarkStart w:id="59" w:name="_Toc24781"/>
      <w:bookmarkStart w:id="60" w:name="_Toc49455822"/>
    </w:p>
    <w:p>
      <w:pPr>
        <w:pStyle w:val="2"/>
        <w:wordWrap/>
        <w:adjustRightInd/>
        <w:snapToGrid/>
        <w:spacing w:line="560" w:lineRule="exact"/>
        <w:ind w:left="0" w:leftChars="0" w:right="0"/>
        <w:textAlignment w:val="auto"/>
        <w:rPr>
          <w:rFonts w:hint="eastAsia"/>
        </w:rPr>
      </w:pPr>
    </w:p>
    <w:p>
      <w:pPr>
        <w:pStyle w:val="3"/>
        <w:wordWrap/>
        <w:adjustRightInd/>
        <w:snapToGrid/>
        <w:spacing w:line="560" w:lineRule="exact"/>
        <w:ind w:left="0" w:leftChars="0" w:right="0"/>
        <w:textAlignment w:val="auto"/>
      </w:pPr>
      <w:bookmarkStart w:id="61" w:name="_Toc76488119"/>
      <w:bookmarkStart w:id="62" w:name="_Toc77367970"/>
      <w:r>
        <w:t>一、指导思想</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ordWrap/>
        <w:adjustRightInd/>
        <w:snapToGrid/>
        <w:spacing w:line="560" w:lineRule="exact"/>
        <w:ind w:left="0" w:leftChars="0" w:right="0" w:firstLine="640" w:firstLineChars="200"/>
        <w:textAlignment w:val="auto"/>
        <w:rPr>
          <w:rFonts w:ascii="仿宋_GB2312" w:hAnsi="仿宋_GB2312" w:eastAsia="仿宋_GB2312" w:cs="仿宋_GB2312"/>
          <w:sz w:val="32"/>
          <w:szCs w:val="32"/>
        </w:rPr>
      </w:pPr>
      <w:bookmarkStart w:id="63" w:name="_Toc445132775"/>
      <w:bookmarkStart w:id="64" w:name="_Toc28988"/>
      <w:bookmarkStart w:id="65" w:name="_Toc23534"/>
      <w:bookmarkStart w:id="66" w:name="_Toc439083872"/>
      <w:bookmarkStart w:id="67" w:name="_Toc30821"/>
      <w:bookmarkStart w:id="68" w:name="_Toc10936"/>
      <w:bookmarkStart w:id="69" w:name="_Toc31183"/>
      <w:bookmarkStart w:id="70" w:name="_Toc28668"/>
      <w:bookmarkStart w:id="71" w:name="_Toc943"/>
      <w:bookmarkStart w:id="72" w:name="_Toc10902"/>
      <w:bookmarkStart w:id="73" w:name="_Toc14193"/>
      <w:r>
        <w:rPr>
          <w:rFonts w:hint="eastAsia" w:ascii="仿宋_GB2312" w:hAnsi="仿宋_GB2312" w:eastAsia="仿宋_GB2312" w:cs="仿宋_GB2312"/>
          <w:sz w:val="32"/>
          <w:szCs w:val="32"/>
        </w:rPr>
        <w:t>坚持以习近平新时代中国特色社会主义思想为指导，深入贯彻落实党的十九大、十九届二中、三中、四中、五中全会精神，</w:t>
      </w:r>
      <w:r>
        <w:rPr>
          <w:rFonts w:hint="eastAsia" w:ascii="仿宋_GB2312" w:hAnsi="仿宋_GB2312" w:eastAsia="仿宋_GB2312" w:cs="仿宋_GB2312"/>
          <w:kern w:val="0"/>
          <w:sz w:val="32"/>
          <w:szCs w:val="32"/>
        </w:rPr>
        <w:t>按照中央、市委和区委的决策部署，</w:t>
      </w:r>
      <w:r>
        <w:rPr>
          <w:rFonts w:hint="eastAsia" w:ascii="仿宋_GB2312" w:hAnsi="仿宋_GB2312" w:eastAsia="仿宋_GB2312" w:cs="仿宋_GB2312"/>
          <w:sz w:val="32"/>
          <w:szCs w:val="32"/>
        </w:rPr>
        <w:t>紧紧围绕密云区战略定位和密云分区规划（国土空间规划）（2017年-2035年），加强社会领域统筹，持续深化重点领域改革，推进民生重点工作，把基本民生保障的底兜得更牢，把社会治理的基础夯得更实。深入贯彻落实《北京市“十四五”时期社会治理规划》《北京市“十四五”时期民政事业规划》《北京市密云区国民经济和社会发展第十四个五年规划纲要》等文件精神，促进党建引领下的党组织、政府组织、基层组织、自治组织协同，形成具有符合密云实际，彰显生态示范区特色的社会治理和民政事业工作体系，为建成习近平生态文明思想典范之区提供坚实的社会基础。</w:t>
      </w:r>
    </w:p>
    <w:p>
      <w:pPr>
        <w:pStyle w:val="3"/>
        <w:wordWrap/>
        <w:adjustRightInd/>
        <w:snapToGrid/>
        <w:spacing w:line="560" w:lineRule="exact"/>
        <w:ind w:left="0" w:leftChars="0" w:right="0"/>
        <w:textAlignment w:val="auto"/>
      </w:pPr>
      <w:bookmarkStart w:id="74" w:name="_Toc76488120"/>
      <w:bookmarkStart w:id="75" w:name="_Toc28598754"/>
      <w:bookmarkStart w:id="76" w:name="_Toc49455823"/>
      <w:bookmarkStart w:id="77" w:name="_Toc77367971"/>
      <w:bookmarkStart w:id="78" w:name="_Toc20004"/>
      <w:r>
        <w:t>二、基本原则</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wordWrap/>
        <w:adjustRightInd/>
        <w:snapToGrid/>
        <w:spacing w:line="560" w:lineRule="exact"/>
        <w:ind w:left="0" w:leftChars="0" w:right="0"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坚持党委领导、政府主导</w:t>
      </w:r>
      <w:r>
        <w:rPr>
          <w:rFonts w:hint="eastAsia" w:ascii="仿宋_GB2312" w:hAnsi="仿宋_GB2312" w:eastAsia="仿宋_GB2312" w:cs="仿宋_GB2312"/>
          <w:sz w:val="32"/>
          <w:szCs w:val="32"/>
        </w:rPr>
        <w:t>。始终把坚持党的领导、发挥政府主导作用作为社会治理和民政事业的首要原则。充分发挥政府在社会治理和民政事业中的主导作用，深化社会治理和民政事业领域“放管服”改革，建设服务型法治政府，不断提升政府的社会治理和公共服务水平。</w:t>
      </w:r>
    </w:p>
    <w:p>
      <w:pPr>
        <w:wordWrap/>
        <w:adjustRightInd/>
        <w:snapToGrid/>
        <w:spacing w:line="560" w:lineRule="exact"/>
        <w:ind w:left="0" w:leftChars="0" w:right="0" w:firstLine="6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——坚持</w:t>
      </w:r>
      <w:r>
        <w:rPr>
          <w:rFonts w:hint="eastAsia" w:ascii="仿宋_GB2312" w:hAnsi="仿宋_GB2312" w:eastAsia="仿宋_GB2312" w:cs="仿宋_GB2312"/>
          <w:b/>
          <w:bCs/>
          <w:sz w:val="32"/>
          <w:szCs w:val="32"/>
        </w:rPr>
        <w:t>依法治理、公平正义</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始终把坚持依法治理、促进社会公平正义作为社会治理和民政事业的根本目标。坚持法治国家、法治政府、法治社会一体建设，坚持保障改善民生，突出人民，实现好、维护好、发展好广大人民群众的根本利益，兜底兜牢民生保障，推进社会治理重点领域规范化、标准化、法治化进程，让更多低收入群众共享社会发展成果，促进社会公平正义。</w:t>
      </w:r>
    </w:p>
    <w:p>
      <w:pPr>
        <w:wordWrap/>
        <w:adjustRightInd/>
        <w:snapToGrid/>
        <w:spacing w:line="560" w:lineRule="exact"/>
        <w:ind w:left="0" w:leftChars="0" w:right="0" w:firstLine="6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坚持问题导向、改革创新。</w:t>
      </w:r>
      <w:r>
        <w:rPr>
          <w:rFonts w:hint="eastAsia" w:ascii="仿宋_GB2312" w:hAnsi="仿宋_GB2312" w:eastAsia="仿宋_GB2312" w:cs="仿宋_GB2312"/>
          <w:sz w:val="32"/>
          <w:szCs w:val="32"/>
        </w:rPr>
        <w:t>始终把全面深化改革、解决突出问题作为社会治理和民政事业的基本方向。坚持问题导向和需求导向，更加注重解决广大人民群众普遍关心的突出问题，顺应广大人民群众过上更加美好生活的新期待。坚持分类指导、分层推进、创新实践，充分调动广大人民群众的积极性、主动性和创造性，为基层探索创新留下充分空间。</w:t>
      </w:r>
    </w:p>
    <w:p>
      <w:pPr>
        <w:pStyle w:val="29"/>
        <w:wordWrap/>
        <w:adjustRightInd/>
        <w:snapToGrid/>
        <w:spacing w:before="0" w:beforeAutospacing="0" w:after="0" w:afterAutospacing="0" w:line="560" w:lineRule="exact"/>
        <w:ind w:left="0" w:leftChars="0" w:right="0"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——坚持统筹城乡、夯实基础</w:t>
      </w:r>
      <w:r>
        <w:rPr>
          <w:rFonts w:hint="eastAsia" w:ascii="仿宋_GB2312" w:hAnsi="仿宋_GB2312" w:eastAsia="仿宋_GB2312" w:cs="仿宋_GB2312"/>
          <w:sz w:val="32"/>
          <w:szCs w:val="32"/>
        </w:rPr>
        <w:t>。全面落实生态涵养区的功能定位，突出生态引领。加快以保障改善民生为重点的社会建设，树立大抓基层、大抓基础的政策导向。推动社会治理和服务重心向基层下移，把更多资源、服务、管理下沉到基层，实现城乡民政事业均衡发展。聚焦力量全覆盖，发挥群团组织、社会组织作用，推动社会治理力量落到最基层，推进城乡社会治理一体化、民政事业全面协调发展。</w:t>
      </w:r>
    </w:p>
    <w:p>
      <w:pPr>
        <w:wordWrap/>
        <w:adjustRightInd/>
        <w:snapToGrid/>
        <w:spacing w:line="560" w:lineRule="exact"/>
        <w:ind w:left="0" w:leftChars="0" w:right="0" w:firstLine="600"/>
        <w:textAlignment w:val="auto"/>
        <w:rPr>
          <w:rFonts w:ascii="仿宋" w:hAnsi="仿宋" w:eastAsia="仿宋" w:cs="仿宋"/>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坚持多元共治、共建共享。</w:t>
      </w:r>
      <w:r>
        <w:rPr>
          <w:rFonts w:hint="eastAsia" w:ascii="仿宋_GB2312" w:hAnsi="仿宋_GB2312" w:eastAsia="仿宋_GB2312" w:cs="仿宋_GB2312"/>
          <w:sz w:val="32"/>
          <w:szCs w:val="32"/>
        </w:rPr>
        <w:t>加强社会协同、公众参与，调动一切积极因素，引导和支持社会力量参与社会治理和社会服务，动员和引导公众有序参与社会事务和社会治理，充分发挥多元主体在社会治理和民政事业中的协同、自治、自律、互律作用，实现政府治理和社会调节、居民自治良性互动，形成共建共治共享的治理格局。</w:t>
      </w:r>
    </w:p>
    <w:p>
      <w:pPr>
        <w:pStyle w:val="3"/>
        <w:wordWrap/>
        <w:adjustRightInd/>
        <w:snapToGrid/>
        <w:spacing w:line="560" w:lineRule="exact"/>
        <w:ind w:left="0" w:leftChars="0" w:right="0"/>
        <w:textAlignment w:val="auto"/>
      </w:pPr>
      <w:bookmarkStart w:id="79" w:name="_Toc76488121"/>
      <w:bookmarkStart w:id="80" w:name="_Toc77367972"/>
      <w:bookmarkStart w:id="81" w:name="_Hlk56682301"/>
      <w:r>
        <w:rPr>
          <w:rFonts w:hint="eastAsia"/>
        </w:rPr>
        <w:t>三、发展目标</w:t>
      </w:r>
      <w:bookmarkEnd w:id="79"/>
      <w:bookmarkEnd w:id="80"/>
    </w:p>
    <w:p>
      <w:pPr>
        <w:wordWrap/>
        <w:adjustRightInd/>
        <w:snapToGrid/>
        <w:spacing w:line="560" w:lineRule="exact"/>
        <w:ind w:left="0" w:leftChars="0" w:right="0" w:firstLine="640" w:firstLineChars="200"/>
        <w:textAlignment w:val="auto"/>
        <w:rPr>
          <w:rFonts w:ascii="仿宋" w:hAnsi="仿宋" w:eastAsia="仿宋" w:cs="仿宋_GB2312"/>
          <w:sz w:val="32"/>
          <w:szCs w:val="32"/>
        </w:rPr>
      </w:pPr>
      <w:r>
        <w:rPr>
          <w:rFonts w:hint="eastAsia" w:ascii="仿宋_GB2312" w:hAnsi="仿宋_GB2312" w:eastAsia="仿宋_GB2312" w:cs="仿宋_GB2312"/>
          <w:sz w:val="32"/>
          <w:szCs w:val="32"/>
        </w:rPr>
        <w:t>到2025年，“党委领导、政府负责、民主协商、社会协同、公众参与、法治保障、科技支撑”的社会治理体系更加健全完善，与全面建成小康社会相适应的基本民生保障格局基本形成，人民群众获得感、幸福感、安全感稳步提升。</w:t>
      </w:r>
    </w:p>
    <w:p>
      <w:pPr>
        <w:wordWrap/>
        <w:adjustRightInd/>
        <w:snapToGrid/>
        <w:spacing w:line="560" w:lineRule="exact"/>
        <w:ind w:left="0" w:leftChars="0" w:right="0" w:firstLine="643" w:firstLineChars="200"/>
        <w:textAlignment w:val="auto"/>
        <w:rPr>
          <w:rFonts w:ascii="仿宋_GB2312" w:hAnsi="仿宋_GB2312" w:eastAsia="仿宋_GB2312" w:cs="仿宋_GB2312"/>
          <w:sz w:val="32"/>
          <w:szCs w:val="32"/>
        </w:rPr>
      </w:pPr>
      <w:r>
        <w:rPr>
          <w:rFonts w:hint="eastAsia" w:ascii="仿宋" w:hAnsi="仿宋" w:eastAsia="仿宋" w:cs="仿宋_GB2312"/>
          <w:b/>
          <w:bCs/>
          <w:sz w:val="32"/>
          <w:szCs w:val="32"/>
        </w:rPr>
        <w:t>（</w:t>
      </w:r>
      <w:r>
        <w:rPr>
          <w:rFonts w:hint="eastAsia" w:ascii="仿宋" w:hAnsi="仿宋" w:eastAsia="仿宋" w:cs="Calibri"/>
          <w:b/>
          <w:bCs/>
          <w:sz w:val="32"/>
          <w:szCs w:val="32"/>
        </w:rPr>
        <w:t>一）</w:t>
      </w:r>
      <w:r>
        <w:rPr>
          <w:rFonts w:hint="eastAsia" w:ascii="仿宋" w:hAnsi="仿宋" w:eastAsia="仿宋" w:cs="仿宋_GB2312"/>
          <w:b/>
          <w:bCs/>
          <w:sz w:val="32"/>
          <w:szCs w:val="32"/>
        </w:rPr>
        <w:t>党对社会治理的领导全面加强。</w:t>
      </w:r>
      <w:r>
        <w:rPr>
          <w:rFonts w:hint="eastAsia" w:ascii="仿宋_GB2312" w:hAnsi="仿宋_GB2312" w:eastAsia="仿宋_GB2312" w:cs="仿宋_GB2312"/>
          <w:sz w:val="32"/>
          <w:szCs w:val="32"/>
        </w:rPr>
        <w:t>全面加强党对社会治理的领导，党建引领在基层社会治理中的作用凸显；街道体制改革深入推进，基层治理协商、矛盾纠纷化解等体制机制更加健全；社会组织、社区自治组织等社会主体发育壮大，共建共治共享社会治理共同体基本形成。全国文明城区创建工作进一步深化。</w:t>
      </w:r>
    </w:p>
    <w:p>
      <w:pPr>
        <w:wordWrap/>
        <w:adjustRightInd/>
        <w:snapToGrid/>
        <w:spacing w:line="560" w:lineRule="exact"/>
        <w:ind w:left="0" w:leftChars="0" w:right="0" w:firstLine="643" w:firstLineChars="200"/>
        <w:textAlignment w:val="auto"/>
        <w:rPr>
          <w:rFonts w:ascii="仿宋_GB2312" w:hAnsi="仿宋_GB2312" w:eastAsia="仿宋_GB2312" w:cs="仿宋_GB2312"/>
          <w:sz w:val="32"/>
          <w:szCs w:val="32"/>
        </w:rPr>
      </w:pPr>
      <w:r>
        <w:rPr>
          <w:rFonts w:hint="eastAsia" w:ascii="仿宋" w:hAnsi="仿宋" w:eastAsia="仿宋" w:cs="仿宋_GB2312"/>
          <w:b/>
          <w:bCs/>
          <w:sz w:val="32"/>
          <w:szCs w:val="32"/>
        </w:rPr>
        <w:t>（二）</w:t>
      </w:r>
      <w:r>
        <w:rPr>
          <w:rFonts w:ascii="仿宋" w:hAnsi="仿宋" w:eastAsia="仿宋" w:cs="仿宋_GB2312"/>
          <w:b/>
          <w:bCs/>
          <w:sz w:val="32"/>
          <w:szCs w:val="32"/>
        </w:rPr>
        <w:t>公共服务优质均衡</w:t>
      </w:r>
      <w:r>
        <w:rPr>
          <w:rFonts w:hint="eastAsia" w:ascii="仿宋" w:hAnsi="仿宋" w:eastAsia="仿宋" w:cs="仿宋_GB2312"/>
          <w:b/>
          <w:bCs/>
          <w:sz w:val="32"/>
          <w:szCs w:val="32"/>
        </w:rPr>
        <w:t>发展。</w:t>
      </w:r>
      <w:r>
        <w:rPr>
          <w:rFonts w:hint="eastAsia" w:ascii="仿宋_GB2312" w:hAnsi="仿宋_GB2312" w:eastAsia="仿宋_GB2312" w:cs="仿宋_GB2312"/>
          <w:sz w:val="32"/>
          <w:szCs w:val="32"/>
        </w:rPr>
        <w:t>全面构建更高质量的公共服务体系，覆盖全民、普惠共享的公共服务供给更加充足，高效快捷、便民利民的公共服务体验持续改善，政府保障基本、社会积极参与、全民共建共享的公共服务格局不断完善，市民多样化需求基本满足。探索社会力量参与提供非基本公共服务的新机制，鼓励企业履行社会责任，多元化供给机制基本形成。</w:t>
      </w:r>
    </w:p>
    <w:p>
      <w:pPr>
        <w:pStyle w:val="4"/>
        <w:wordWrap/>
        <w:adjustRightInd/>
        <w:snapToGrid/>
        <w:spacing w:line="560" w:lineRule="exact"/>
        <w:ind w:left="0" w:leftChars="0" w:right="0"/>
        <w:textAlignment w:val="auto"/>
        <w:rPr>
          <w:rFonts w:hAnsi="仿宋_GB2312" w:cs="仿宋_GB2312"/>
          <w:b w:val="0"/>
          <w:bCs w:val="0"/>
        </w:rPr>
      </w:pPr>
      <w:bookmarkStart w:id="82" w:name="_Toc76488122"/>
      <w:r>
        <w:rPr>
          <w:rFonts w:hint="eastAsia" w:ascii="仿宋" w:hAnsi="仿宋" w:eastAsia="仿宋" w:cs="仿宋_GB2312"/>
        </w:rPr>
        <w:t>（三）社会动员体系基本形成。</w:t>
      </w:r>
      <w:r>
        <w:rPr>
          <w:rFonts w:hint="eastAsia" w:hAnsi="仿宋_GB2312" w:cs="仿宋_GB2312"/>
          <w:b w:val="0"/>
          <w:bCs w:val="0"/>
        </w:rPr>
        <w:t>新时代文明实践中心建设取得新进展，志愿服务理念深入人心，社会领域备案和注册志愿者逐年增长，人民群众参与城市治理的主动性积极性不断提高；社会动员平台进一步拓展，社区参与机制进一步健全；大力发展社区社会组织，发挥其激活社区自治、提升社区服务、繁荣社区文化、维护社区稳定、弘扬社区志愿服务精神等积极作用。</w:t>
      </w:r>
      <w:bookmarkEnd w:id="82"/>
    </w:p>
    <w:p>
      <w:pPr>
        <w:pStyle w:val="4"/>
        <w:wordWrap/>
        <w:adjustRightInd/>
        <w:snapToGrid/>
        <w:spacing w:line="560" w:lineRule="exact"/>
        <w:ind w:left="0" w:leftChars="0" w:right="0"/>
        <w:textAlignment w:val="auto"/>
        <w:rPr>
          <w:rFonts w:hAnsi="仿宋_GB2312" w:cs="仿宋_GB2312"/>
          <w:b w:val="0"/>
          <w:bCs w:val="0"/>
        </w:rPr>
      </w:pPr>
      <w:bookmarkStart w:id="83" w:name="_Toc76488123"/>
      <w:r>
        <w:rPr>
          <w:rFonts w:hint="eastAsia" w:ascii="仿宋" w:hAnsi="仿宋" w:eastAsia="仿宋" w:cs="仿宋_GB2312"/>
        </w:rPr>
        <w:t>（</w:t>
      </w:r>
      <w:r>
        <w:rPr>
          <w:rFonts w:hint="eastAsia" w:ascii="仿宋" w:hAnsi="仿宋" w:eastAsia="仿宋" w:cs="Calibri"/>
        </w:rPr>
        <w:t>四）</w:t>
      </w:r>
      <w:r>
        <w:rPr>
          <w:rFonts w:hint="eastAsia" w:ascii="仿宋" w:hAnsi="仿宋" w:eastAsia="仿宋" w:cs="仿宋_GB2312"/>
        </w:rPr>
        <w:t>社会救助体系精准</w:t>
      </w:r>
      <w:r>
        <w:rPr>
          <w:rFonts w:hint="eastAsia" w:ascii="仿宋" w:hAnsi="仿宋" w:eastAsia="仿宋" w:cs="Calibri"/>
        </w:rPr>
        <w:t>有效。</w:t>
      </w:r>
      <w:r>
        <w:rPr>
          <w:rFonts w:hint="eastAsia" w:hAnsi="仿宋_GB2312" w:cs="仿宋_GB2312"/>
          <w:b w:val="0"/>
          <w:bCs w:val="0"/>
        </w:rPr>
        <w:t>坚持以人民为中心的发展思想，按照保基本、兜底线、救急难、可持续的总体思路，加快构建党建引领、政府主导、社会参与、政策衔接、兜底有力的综合救助格局。对残疾人、困境儿童、生活困难老年人、生活无着</w:t>
      </w:r>
      <w:r>
        <w:rPr>
          <w:rFonts w:hint="eastAsia" w:hAnsi="仿宋_GB2312" w:cs="仿宋_GB2312"/>
          <w:b w:val="0"/>
          <w:bCs w:val="0"/>
          <w:lang w:eastAsia="zh-CN"/>
        </w:rPr>
        <w:t>的</w:t>
      </w:r>
      <w:r>
        <w:rPr>
          <w:rFonts w:hint="eastAsia" w:hAnsi="仿宋_GB2312" w:cs="仿宋_GB2312"/>
          <w:b w:val="0"/>
          <w:bCs w:val="0"/>
        </w:rPr>
        <w:t>流浪乞讨人员和临时困难群众的保障范围、保障标准、保障方式更加精准有效，实现弱有所扶、困有所助、难有所帮，让困难群众生活更加幸福美满。</w:t>
      </w:r>
      <w:bookmarkEnd w:id="83"/>
    </w:p>
    <w:p>
      <w:pPr>
        <w:pStyle w:val="4"/>
        <w:wordWrap/>
        <w:adjustRightInd/>
        <w:snapToGrid/>
        <w:spacing w:line="560" w:lineRule="exact"/>
        <w:ind w:left="0" w:leftChars="0" w:right="0"/>
        <w:textAlignment w:val="auto"/>
        <w:rPr>
          <w:rFonts w:hAnsi="仿宋_GB2312" w:cs="仿宋_GB2312"/>
          <w:b w:val="0"/>
          <w:bCs w:val="0"/>
        </w:rPr>
      </w:pPr>
      <w:bookmarkStart w:id="84" w:name="_Toc76488124"/>
      <w:r>
        <w:rPr>
          <w:rFonts w:hint="eastAsia" w:ascii="仿宋" w:hAnsi="仿宋" w:eastAsia="仿宋" w:cs="仿宋_GB2312"/>
        </w:rPr>
        <w:t>（</w:t>
      </w:r>
      <w:r>
        <w:rPr>
          <w:rFonts w:hint="eastAsia" w:ascii="仿宋" w:hAnsi="仿宋" w:eastAsia="仿宋" w:cs="微软雅黑"/>
        </w:rPr>
        <w:t>五</w:t>
      </w:r>
      <w:r>
        <w:rPr>
          <w:rFonts w:hint="eastAsia" w:ascii="仿宋" w:hAnsi="仿宋" w:eastAsia="仿宋" w:cs="仿宋_GB2312"/>
        </w:rPr>
        <w:t>）养老事业和养老产业协同发展。</w:t>
      </w:r>
      <w:r>
        <w:rPr>
          <w:rFonts w:hint="eastAsia" w:hAnsi="仿宋_GB2312" w:cs="仿宋_GB2312"/>
          <w:b w:val="0"/>
          <w:bCs w:val="0"/>
        </w:rPr>
        <w:t>进一步完善多层次养老服务体系，以社区居家养老为主，提升幸福老年驿站服务能力，拓展养老服务内容，依托医疗资源推进医养结合发展，完善区、镇街、社区（村）三级养老服务体系。在保障生态空间可持续发展的前提下，引导发展与生态涵养、资源环境相适宜的健康养老模式，适度发展高端养老服务设施，满足多层次、多元化、个性化的</w:t>
      </w:r>
      <w:r>
        <w:rPr>
          <w:rFonts w:hint="eastAsia" w:hAnsi="仿宋_GB2312" w:cs="仿宋_GB2312"/>
          <w:b w:val="0"/>
          <w:bCs w:val="0"/>
          <w:lang w:eastAsia="zh-CN"/>
        </w:rPr>
        <w:t>养老</w:t>
      </w:r>
      <w:r>
        <w:rPr>
          <w:rFonts w:hint="eastAsia" w:hAnsi="仿宋_GB2312" w:cs="仿宋_GB2312"/>
          <w:b w:val="0"/>
          <w:bCs w:val="0"/>
        </w:rPr>
        <w:t>服务需求。</w:t>
      </w:r>
      <w:bookmarkEnd w:id="84"/>
    </w:p>
    <w:p>
      <w:pPr>
        <w:pStyle w:val="4"/>
        <w:wordWrap/>
        <w:adjustRightInd/>
        <w:snapToGrid/>
        <w:spacing w:line="560" w:lineRule="exact"/>
        <w:ind w:left="0" w:leftChars="0" w:right="0"/>
        <w:textAlignment w:val="auto"/>
        <w:rPr>
          <w:rFonts w:hint="eastAsia" w:hAnsi="仿宋_GB2312" w:cs="仿宋_GB2312"/>
          <w:b w:val="0"/>
          <w:bCs w:val="0"/>
        </w:rPr>
      </w:pPr>
      <w:bookmarkStart w:id="85" w:name="_Toc76488125"/>
      <w:r>
        <w:rPr>
          <w:rFonts w:hint="eastAsia" w:ascii="仿宋" w:hAnsi="仿宋" w:eastAsia="仿宋" w:cs="仿宋_GB2312"/>
        </w:rPr>
        <w:t>（</w:t>
      </w:r>
      <w:r>
        <w:rPr>
          <w:rFonts w:hint="eastAsia" w:ascii="仿宋" w:hAnsi="仿宋" w:eastAsia="仿宋" w:cs="Calibri"/>
        </w:rPr>
        <w:t>六</w:t>
      </w:r>
      <w:r>
        <w:rPr>
          <w:rFonts w:hint="eastAsia" w:ascii="仿宋" w:hAnsi="仿宋" w:eastAsia="仿宋" w:cs="仿宋_GB2312"/>
        </w:rPr>
        <w:t>）</w:t>
      </w:r>
      <w:r>
        <w:rPr>
          <w:rFonts w:hint="eastAsia" w:ascii="仿宋" w:hAnsi="仿宋" w:eastAsia="仿宋" w:cs="Calibri"/>
        </w:rPr>
        <w:t>专项</w:t>
      </w:r>
      <w:r>
        <w:rPr>
          <w:rFonts w:hint="eastAsia" w:ascii="仿宋" w:hAnsi="仿宋" w:eastAsia="仿宋" w:cs="仿宋_GB2312"/>
        </w:rPr>
        <w:t>社会服务质量持续提升。</w:t>
      </w:r>
      <w:r>
        <w:rPr>
          <w:rFonts w:hint="eastAsia" w:hAnsi="仿宋_GB2312" w:cs="仿宋_GB2312"/>
          <w:b w:val="0"/>
          <w:bCs w:val="0"/>
        </w:rPr>
        <w:t>推动与人民群众美好生活需要相适应的专项社会服务体系建设，创新婚姻家庭服务，深化殡葬服务管理改革，加强见义勇为权益保障，加快推进“慈善密云”建设</w:t>
      </w:r>
      <w:r>
        <w:rPr>
          <w:rFonts w:hint="eastAsia" w:hAnsi="仿宋_GB2312" w:cs="仿宋_GB2312"/>
          <w:b w:val="0"/>
          <w:bCs w:val="0"/>
          <w:lang w:eastAsia="zh-CN"/>
        </w:rPr>
        <w:t>。</w:t>
      </w:r>
      <w:r>
        <w:rPr>
          <w:rFonts w:hint="eastAsia" w:hAnsi="仿宋_GB2312" w:cs="仿宋_GB2312"/>
          <w:b w:val="0"/>
          <w:bCs w:val="0"/>
        </w:rPr>
        <w:t>全面回应精细化、个性化、多样化的基层治理诉求，显著提升人民群众的幸福感和获得感。</w:t>
      </w:r>
      <w:bookmarkEnd w:id="85"/>
    </w:p>
    <w:p>
      <w:pPr>
        <w:pStyle w:val="4"/>
        <w:wordWrap/>
        <w:adjustRightInd/>
        <w:snapToGrid/>
        <w:spacing w:line="560" w:lineRule="exact"/>
        <w:ind w:left="0" w:leftChars="0" w:right="0"/>
        <w:textAlignment w:val="auto"/>
        <w:rPr>
          <w:rFonts w:hint="eastAsia" w:hAnsi="仿宋_GB2312" w:cs="仿宋_GB2312"/>
          <w:b w:val="0"/>
          <w:bCs w:val="0"/>
        </w:rPr>
      </w:pPr>
      <w:r>
        <w:rPr>
          <w:rFonts w:hint="eastAsia" w:hAnsi="仿宋_GB2312" w:cs="仿宋_GB2312"/>
          <w:b w:val="0"/>
          <w:bCs w:val="0"/>
        </w:rPr>
        <w:t>展望</w:t>
      </w:r>
      <w:r>
        <w:rPr>
          <w:rFonts w:hint="eastAsia" w:hAnsi="仿宋_GB2312" w:cs="仿宋_GB2312"/>
          <w:b w:val="0"/>
          <w:bCs w:val="0"/>
          <w:lang w:val="en-US" w:eastAsia="zh-CN"/>
        </w:rPr>
        <w:t>2035</w:t>
      </w:r>
      <w:r>
        <w:rPr>
          <w:rFonts w:hint="eastAsia" w:hAnsi="仿宋_GB2312" w:cs="仿宋_GB2312"/>
          <w:b w:val="0"/>
          <w:bCs w:val="0"/>
        </w:rPr>
        <w:t>年，与全市基本实现现代化相适应，密云区现代化社会治理格局基本建成，社会治理的社会化、法治化、智能化、专业化程度突显，人民平等参与、平等发展权利得到充分保障，社会发展和居民生活的城乡差距显著缩小，文化软实力达到新高度。以人民为中心的高质量民政事业发展体系建设完善，公共服务均等化基本实现，市民“七有”要求“五性”需求在更高水平上获得满足，人民生活更为宽裕，社会充满活力又和谐有序。</w:t>
      </w:r>
    </w:p>
    <w:p>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319" w:afterLines="100" w:line="559" w:lineRule="exact"/>
        <w:ind w:left="0" w:leftChars="0" w:right="0" w:firstLine="640" w:firstLineChars="200"/>
        <w:textAlignment w:val="auto"/>
        <w:outlineLvl w:val="9"/>
        <w:rPr>
          <w:rFonts w:hint="eastAsia" w:ascii="Arial" w:hAnsi="Arial" w:eastAsia="黑体" w:cs="黑体"/>
          <w:kern w:val="2"/>
          <w:sz w:val="32"/>
          <w:szCs w:val="32"/>
          <w:lang w:val="en-US" w:eastAsia="zh-CN" w:bidi="ar-SA"/>
        </w:rPr>
      </w:pPr>
      <w:r>
        <w:rPr>
          <w:rFonts w:hint="eastAsia" w:ascii="Arial" w:hAnsi="Arial" w:eastAsia="黑体" w:cs="黑体"/>
          <w:kern w:val="2"/>
          <w:sz w:val="32"/>
          <w:szCs w:val="32"/>
          <w:lang w:val="en-US" w:eastAsia="zh-CN" w:bidi="ar-SA"/>
        </w:rPr>
        <w:t>具体指标</w:t>
      </w:r>
    </w:p>
    <w:tbl>
      <w:tblPr>
        <w:tblStyle w:val="26"/>
        <w:tblW w:w="88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8"/>
        <w:gridCol w:w="719"/>
        <w:gridCol w:w="5508"/>
        <w:gridCol w:w="778"/>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9" w:hRule="atLeast"/>
          <w:jc w:val="center"/>
        </w:trPr>
        <w:tc>
          <w:tcPr>
            <w:tcW w:w="7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sz w:val="21"/>
                <w:szCs w:val="21"/>
              </w:rPr>
            </w:pPr>
            <w:r>
              <w:rPr>
                <w:rFonts w:ascii="宋体" w:hAnsi="宋体" w:eastAsia="宋体" w:cs="黑体"/>
                <w:kern w:val="0"/>
                <w:sz w:val="21"/>
                <w:szCs w:val="21"/>
              </w:rPr>
              <w:t>类别</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sz w:val="21"/>
                <w:szCs w:val="21"/>
              </w:rPr>
            </w:pPr>
            <w:r>
              <w:rPr>
                <w:rFonts w:ascii="宋体" w:hAnsi="宋体" w:eastAsia="宋体" w:cs="黑体"/>
                <w:kern w:val="0"/>
                <w:sz w:val="21"/>
                <w:szCs w:val="21"/>
              </w:rPr>
              <w:t>序号</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sz w:val="21"/>
                <w:szCs w:val="21"/>
              </w:rPr>
            </w:pPr>
            <w:r>
              <w:rPr>
                <w:rFonts w:ascii="宋体" w:hAnsi="宋体" w:eastAsia="宋体" w:cs="黑体"/>
                <w:kern w:val="0"/>
                <w:sz w:val="21"/>
                <w:szCs w:val="21"/>
              </w:rPr>
              <w:t>指    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sz w:val="21"/>
                <w:szCs w:val="21"/>
              </w:rPr>
            </w:pPr>
            <w:r>
              <w:rPr>
                <w:rFonts w:ascii="宋体" w:hAnsi="宋体" w:eastAsia="宋体" w:cs="黑体"/>
                <w:kern w:val="0"/>
                <w:sz w:val="21"/>
                <w:szCs w:val="21"/>
              </w:rPr>
              <w:t>目标</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sz w:val="21"/>
                <w:szCs w:val="21"/>
              </w:rPr>
            </w:pPr>
            <w:r>
              <w:rPr>
                <w:rFonts w:ascii="宋体" w:hAnsi="宋体" w:eastAsia="宋体" w:cs="黑体"/>
                <w:kern w:val="0"/>
                <w:sz w:val="21"/>
                <w:szCs w:val="21"/>
              </w:rPr>
              <w:t>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黑体"/>
                <w:kern w:val="0"/>
                <w:sz w:val="18"/>
                <w:szCs w:val="18"/>
              </w:rPr>
            </w:pPr>
            <w:r>
              <w:rPr>
                <w:rFonts w:hint="eastAsia" w:ascii="宋体" w:hAnsi="宋体" w:eastAsia="宋体" w:cs="黑体"/>
                <w:kern w:val="0"/>
                <w:sz w:val="18"/>
                <w:szCs w:val="18"/>
              </w:rPr>
              <w:t>党建</w:t>
            </w:r>
          </w:p>
          <w:p>
            <w:pPr>
              <w:widowControl/>
              <w:jc w:val="center"/>
              <w:textAlignment w:val="center"/>
              <w:rPr>
                <w:rFonts w:ascii="宋体" w:hAnsi="宋体" w:eastAsia="宋体" w:cs="黑体"/>
                <w:kern w:val="0"/>
                <w:sz w:val="18"/>
                <w:szCs w:val="18"/>
              </w:rPr>
            </w:pPr>
            <w:r>
              <w:rPr>
                <w:rFonts w:hint="eastAsia" w:ascii="宋体" w:hAnsi="宋体" w:eastAsia="宋体" w:cs="黑体"/>
                <w:kern w:val="0"/>
                <w:sz w:val="18"/>
                <w:szCs w:val="18"/>
              </w:rPr>
              <w:t>引领</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村（社区）党组织书记兼任村（社区）委员会主任比例（%）</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kern w:val="0"/>
                <w:sz w:val="18"/>
                <w:szCs w:val="18"/>
              </w:rPr>
            </w:pPr>
            <w:r>
              <w:rPr>
                <w:rFonts w:ascii="宋体" w:hAnsi="宋体" w:eastAsia="宋体" w:cs="宋体"/>
                <w:kern w:val="0"/>
                <w:sz w:val="18"/>
                <w:szCs w:val="18"/>
              </w:rPr>
              <w:t>≥</w:t>
            </w:r>
            <w:r>
              <w:rPr>
                <w:rFonts w:hint="eastAsia" w:ascii="宋体" w:hAnsi="宋体" w:eastAsia="宋体" w:cs="黑体"/>
                <w:kern w:val="0"/>
                <w:sz w:val="18"/>
                <w:szCs w:val="18"/>
              </w:rPr>
              <w:t>80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kern w:val="0"/>
                <w:sz w:val="18"/>
                <w:szCs w:val="18"/>
              </w:rPr>
            </w:pPr>
            <w:r>
              <w:rPr>
                <w:rFonts w:hint="eastAsia" w:ascii="宋体" w:hAnsi="宋体" w:eastAsia="宋体" w:cs="黑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8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社会组织党组织和党的工作覆盖率（%）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黑体"/>
                <w:kern w:val="0"/>
                <w:sz w:val="18"/>
                <w:szCs w:val="18"/>
              </w:rPr>
            </w:pPr>
            <w:r>
              <w:rPr>
                <w:rFonts w:hint="eastAsia" w:ascii="宋体" w:hAnsi="宋体" w:eastAsia="宋体" w:cs="黑体"/>
                <w:kern w:val="0"/>
                <w:sz w:val="18"/>
                <w:szCs w:val="18"/>
              </w:rPr>
              <w:t>社</w:t>
            </w:r>
          </w:p>
          <w:p>
            <w:pPr>
              <w:widowControl/>
              <w:jc w:val="center"/>
              <w:textAlignment w:val="center"/>
              <w:rPr>
                <w:rFonts w:hint="eastAsia" w:ascii="宋体" w:hAnsi="宋体" w:eastAsia="宋体" w:cs="黑体"/>
                <w:kern w:val="0"/>
                <w:sz w:val="18"/>
                <w:szCs w:val="18"/>
              </w:rPr>
            </w:pPr>
            <w:r>
              <w:rPr>
                <w:rFonts w:hint="eastAsia" w:ascii="宋体" w:hAnsi="宋体" w:eastAsia="宋体" w:cs="黑体"/>
                <w:kern w:val="0"/>
                <w:sz w:val="18"/>
                <w:szCs w:val="18"/>
              </w:rPr>
              <w:t>区</w:t>
            </w:r>
          </w:p>
          <w:p>
            <w:pPr>
              <w:widowControl/>
              <w:jc w:val="center"/>
              <w:textAlignment w:val="center"/>
              <w:rPr>
                <w:rFonts w:hint="eastAsia" w:ascii="宋体" w:hAnsi="宋体" w:eastAsia="宋体" w:cs="黑体"/>
                <w:kern w:val="0"/>
                <w:sz w:val="18"/>
                <w:szCs w:val="18"/>
              </w:rPr>
            </w:pPr>
            <w:r>
              <w:rPr>
                <w:rFonts w:hint="eastAsia" w:ascii="宋体" w:hAnsi="宋体" w:eastAsia="宋体" w:cs="黑体"/>
                <w:kern w:val="0"/>
                <w:sz w:val="18"/>
                <w:szCs w:val="18"/>
              </w:rPr>
              <w:t>建</w:t>
            </w:r>
          </w:p>
          <w:p>
            <w:pPr>
              <w:widowControl/>
              <w:jc w:val="center"/>
              <w:textAlignment w:val="center"/>
              <w:rPr>
                <w:rFonts w:ascii="宋体" w:hAnsi="宋体" w:eastAsia="宋体" w:cs="黑体"/>
                <w:sz w:val="18"/>
                <w:szCs w:val="18"/>
              </w:rPr>
            </w:pPr>
            <w:r>
              <w:rPr>
                <w:rFonts w:hint="eastAsia" w:ascii="宋体" w:hAnsi="宋体" w:eastAsia="宋体" w:cs="黑体"/>
                <w:kern w:val="0"/>
                <w:sz w:val="18"/>
                <w:szCs w:val="18"/>
              </w:rPr>
              <w:t>设</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3</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建成楼门院（微）治理示范点（个数）</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提升街道（镇）社区活动中心服务品质的个数</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业委会（物管会）组建率（%）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6</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物业服务覆盖率（%）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7</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新建城市社区“一刻钟社区服务圈”覆盖率（%）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新建城乡社区服务管理用房设施面积最小规模（平方米）</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500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城乡社区办公和服务用房面积达标率（%）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社会心理服务覆盖社区（村）比例（%）</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黑体"/>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建成社会心理服务站点（中心）</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18"/>
                <w:szCs w:val="18"/>
              </w:rPr>
            </w:pPr>
            <w:r>
              <w:rPr>
                <w:rFonts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黑体"/>
                <w:kern w:val="0"/>
                <w:sz w:val="18"/>
                <w:szCs w:val="18"/>
              </w:rPr>
            </w:pPr>
            <w:r>
              <w:rPr>
                <w:rFonts w:ascii="宋体" w:hAnsi="宋体" w:eastAsia="宋体" w:cs="黑体"/>
                <w:kern w:val="0"/>
                <w:sz w:val="18"/>
                <w:szCs w:val="18"/>
              </w:rPr>
              <w:t>公</w:t>
            </w:r>
          </w:p>
          <w:p>
            <w:pPr>
              <w:widowControl/>
              <w:jc w:val="center"/>
              <w:textAlignment w:val="center"/>
              <w:rPr>
                <w:rFonts w:ascii="宋体" w:hAnsi="宋体" w:eastAsia="宋体" w:cs="黑体"/>
                <w:kern w:val="0"/>
                <w:sz w:val="18"/>
                <w:szCs w:val="18"/>
              </w:rPr>
            </w:pPr>
            <w:r>
              <w:rPr>
                <w:rFonts w:ascii="宋体" w:hAnsi="宋体" w:eastAsia="宋体" w:cs="黑体"/>
                <w:kern w:val="0"/>
                <w:sz w:val="18"/>
                <w:szCs w:val="18"/>
              </w:rPr>
              <w:t>众</w:t>
            </w:r>
          </w:p>
          <w:p>
            <w:pPr>
              <w:widowControl/>
              <w:jc w:val="center"/>
              <w:textAlignment w:val="center"/>
              <w:rPr>
                <w:rFonts w:ascii="宋体" w:hAnsi="宋体" w:eastAsia="宋体" w:cs="黑体"/>
                <w:kern w:val="0"/>
                <w:sz w:val="18"/>
                <w:szCs w:val="18"/>
              </w:rPr>
            </w:pPr>
            <w:r>
              <w:rPr>
                <w:rFonts w:ascii="宋体" w:hAnsi="宋体" w:eastAsia="宋体" w:cs="黑体"/>
                <w:kern w:val="0"/>
                <w:sz w:val="18"/>
                <w:szCs w:val="18"/>
              </w:rPr>
              <w:t>参</w:t>
            </w:r>
          </w:p>
          <w:p>
            <w:pPr>
              <w:widowControl/>
              <w:jc w:val="center"/>
              <w:textAlignment w:val="center"/>
              <w:rPr>
                <w:rFonts w:ascii="宋体" w:hAnsi="宋体" w:eastAsia="宋体" w:cs="黑体"/>
                <w:kern w:val="0"/>
                <w:sz w:val="18"/>
                <w:szCs w:val="18"/>
              </w:rPr>
            </w:pPr>
            <w:r>
              <w:rPr>
                <w:rFonts w:ascii="宋体" w:hAnsi="宋体" w:eastAsia="宋体" w:cs="黑体"/>
                <w:kern w:val="0"/>
                <w:sz w:val="18"/>
                <w:szCs w:val="18"/>
              </w:rPr>
              <w:t>与</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12</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社区居民委员会直接选举和户代表选举比例（%）</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left w:val="single" w:color="000000" w:sz="4" w:space="0"/>
              <w:right w:val="single" w:color="000000" w:sz="4" w:space="0"/>
            </w:tcBorders>
            <w:vAlign w:val="center"/>
          </w:tcPr>
          <w:p>
            <w:pPr>
              <w:widowControl/>
              <w:jc w:val="center"/>
              <w:textAlignment w:val="center"/>
              <w:rPr>
                <w:rFonts w:ascii="宋体" w:hAnsi="宋体" w:eastAsia="宋体" w:cs="黑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13</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注册志愿者活动参与率（%）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≥35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left w:val="single" w:color="000000" w:sz="4" w:space="0"/>
              <w:right w:val="single" w:color="000000" w:sz="4" w:space="0"/>
            </w:tcBorders>
            <w:vAlign w:val="center"/>
          </w:tcPr>
          <w:p>
            <w:pPr>
              <w:widowControl/>
              <w:jc w:val="center"/>
              <w:textAlignment w:val="center"/>
              <w:rPr>
                <w:rFonts w:ascii="宋体" w:hAnsi="宋体" w:eastAsia="宋体" w:cs="黑体"/>
                <w:kern w:val="0"/>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新时代文明实践活动参与率（%）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黑体"/>
                <w:kern w:val="0"/>
                <w:sz w:val="24"/>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每万人常住人口拥有社会组织（个）</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社</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工</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队</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伍</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w:t>
            </w:r>
            <w:r>
              <w:rPr>
                <w:rFonts w:hint="default" w:ascii="宋体" w:hAnsi="宋体" w:cs="宋体"/>
                <w:kern w:val="0"/>
                <w:sz w:val="18"/>
                <w:szCs w:val="18"/>
                <w:lang w:val="en-US" w:eastAsia="zh-CN"/>
              </w:rPr>
              <w:t>新招社工大专以上学历（%）</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17</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w:t>
            </w:r>
            <w:r>
              <w:rPr>
                <w:rFonts w:hint="default" w:ascii="宋体" w:hAnsi="宋体" w:cs="宋体"/>
                <w:kern w:val="0"/>
                <w:sz w:val="18"/>
                <w:szCs w:val="18"/>
                <w:lang w:val="en-US" w:eastAsia="zh-CN"/>
              </w:rPr>
              <w:t>新招社工本科以上学历（%）</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w:t>
            </w:r>
            <w:r>
              <w:rPr>
                <w:rFonts w:hint="default" w:ascii="宋体" w:hAnsi="宋体" w:cs="宋体"/>
                <w:kern w:val="0"/>
                <w:sz w:val="18"/>
                <w:szCs w:val="18"/>
                <w:lang w:val="en-US" w:eastAsia="zh-CN"/>
              </w:rPr>
              <w:t>社区工作者持社会工作职业水平证书比率（%）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≥40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19</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 xml:space="preserve"> </w:t>
            </w:r>
            <w:r>
              <w:rPr>
                <w:rFonts w:hint="default" w:ascii="宋体" w:hAnsi="宋体" w:cs="宋体"/>
                <w:kern w:val="0"/>
                <w:sz w:val="18"/>
                <w:szCs w:val="18"/>
                <w:lang w:val="en-US" w:eastAsia="zh-CN"/>
              </w:rPr>
              <w:t>社区工作者一线工作比率（%）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≥80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社会工作专业服务机构（个）</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50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社</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会</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管</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理</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21</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常住人口规模（万人）</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default" w:ascii="宋体" w:hAnsi="宋体" w:eastAsia="宋体" w:cs="宋体"/>
                <w:kern w:val="0"/>
                <w:sz w:val="18"/>
                <w:szCs w:val="18"/>
              </w:rPr>
              <w:t>＜52</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2</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城乡居民公共行为文明指数（%）</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3</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群众安全感指数（%）</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≥90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4</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 食品安全抽检合格率（%）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&gt;</w:t>
            </w:r>
            <w:r>
              <w:rPr>
                <w:rFonts w:hint="eastAsia" w:ascii="宋体" w:hAnsi="宋体" w:eastAsia="宋体" w:cs="宋体"/>
                <w:kern w:val="0"/>
                <w:sz w:val="18"/>
                <w:szCs w:val="18"/>
                <w:lang w:val="en-US" w:eastAsia="zh-CN"/>
              </w:rPr>
              <w:t>98.5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eastAsia="zh-CN"/>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5</w:t>
            </w:r>
          </w:p>
        </w:tc>
        <w:tc>
          <w:tcPr>
            <w:tcW w:w="5508"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信访事项按期答复率（%）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≥95</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养老</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服务</w:t>
            </w:r>
          </w:p>
        </w:tc>
        <w:tc>
          <w:tcPr>
            <w:tcW w:w="71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6</w:t>
            </w:r>
          </w:p>
        </w:tc>
        <w:tc>
          <w:tcPr>
            <w:tcW w:w="5508"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 xml:space="preserve">每千名常住人口拥有养老床位数（张） </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2</w:t>
            </w:r>
            <w:r>
              <w:rPr>
                <w:rFonts w:hint="eastAsia" w:ascii="宋体" w:hAnsi="宋体" w:cs="宋体"/>
                <w:kern w:val="0"/>
                <w:sz w:val="18"/>
                <w:szCs w:val="18"/>
                <w:lang w:val="en-US" w:eastAsia="zh-CN"/>
              </w:rPr>
              <w:t>7</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建成农村邻里互助养老服务点（个）</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28</w:t>
            </w:r>
          </w:p>
        </w:tc>
        <w:tc>
          <w:tcPr>
            <w:tcW w:w="55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示范性品牌养老服务机构（家）</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社会</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救助</w:t>
            </w:r>
          </w:p>
        </w:tc>
        <w:tc>
          <w:tcPr>
            <w:tcW w:w="71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29</w:t>
            </w:r>
          </w:p>
        </w:tc>
        <w:tc>
          <w:tcPr>
            <w:tcW w:w="5508"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有集中供养需求的特困对象集中供养率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社会</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福利</w:t>
            </w:r>
          </w:p>
        </w:tc>
        <w:tc>
          <w:tcPr>
            <w:tcW w:w="71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0</w:t>
            </w:r>
          </w:p>
        </w:tc>
        <w:tc>
          <w:tcPr>
            <w:tcW w:w="5508"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村（社区）儿童主任在岗履职率（%）</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jc w:val="center"/>
        </w:trPr>
        <w:tc>
          <w:tcPr>
            <w:tcW w:w="788"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p>
        </w:tc>
        <w:tc>
          <w:tcPr>
            <w:tcW w:w="719"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1</w:t>
            </w:r>
          </w:p>
        </w:tc>
        <w:tc>
          <w:tcPr>
            <w:tcW w:w="5508" w:type="dxa"/>
            <w:tcBorders>
              <w:top w:val="single" w:color="000000" w:sz="4" w:space="0"/>
              <w:left w:val="single" w:color="auto" w:sz="4" w:space="0"/>
              <w:bottom w:val="single" w:color="auto" w:sz="4" w:space="0"/>
              <w:right w:val="single" w:color="000000"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困境儿童保护和发现报告的职能纳入村（社区）委会责任的比率（%）</w:t>
            </w:r>
          </w:p>
        </w:tc>
        <w:tc>
          <w:tcPr>
            <w:tcW w:w="77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100</w:t>
            </w:r>
          </w:p>
        </w:tc>
        <w:tc>
          <w:tcPr>
            <w:tcW w:w="108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6" w:hRule="atLeast"/>
          <w:jc w:val="center"/>
        </w:trPr>
        <w:tc>
          <w:tcPr>
            <w:tcW w:w="788" w:type="dxa"/>
            <w:tcBorders>
              <w:top w:val="single" w:color="auto" w:sz="4" w:space="0"/>
              <w:left w:val="single" w:color="auto" w:sz="4" w:space="0"/>
              <w:bottom w:val="single" w:color="auto" w:sz="4" w:space="0"/>
              <w:right w:val="single" w:color="auto" w:sz="4" w:space="0"/>
            </w:tcBorders>
            <w:vAlign w:val="center"/>
          </w:tcPr>
          <w:p>
            <w:pPr>
              <w:widowControl/>
              <w:ind w:firstLine="180" w:firstLineChars="100"/>
              <w:jc w:val="both"/>
              <w:textAlignment w:val="center"/>
              <w:rPr>
                <w:rFonts w:hint="eastAsia" w:ascii="宋体" w:hAnsi="宋体" w:eastAsia="宋体" w:cs="宋体"/>
                <w:kern w:val="0"/>
                <w:sz w:val="18"/>
                <w:szCs w:val="18"/>
              </w:rPr>
            </w:pPr>
            <w:r>
              <w:rPr>
                <w:rFonts w:hint="eastAsia" w:ascii="宋体" w:hAnsi="宋体" w:eastAsia="宋体" w:cs="宋体"/>
                <w:kern w:val="0"/>
                <w:sz w:val="18"/>
                <w:szCs w:val="18"/>
              </w:rPr>
              <w:t>专项</w:t>
            </w:r>
          </w:p>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服务</w:t>
            </w:r>
          </w:p>
        </w:tc>
        <w:tc>
          <w:tcPr>
            <w:tcW w:w="7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3</w:t>
            </w:r>
            <w:r>
              <w:rPr>
                <w:rFonts w:hint="eastAsia" w:ascii="宋体" w:hAnsi="宋体" w:cs="宋体"/>
                <w:kern w:val="0"/>
                <w:sz w:val="18"/>
                <w:szCs w:val="18"/>
                <w:lang w:val="en-US" w:eastAsia="zh-CN"/>
              </w:rPr>
              <w:t>2</w:t>
            </w:r>
          </w:p>
        </w:tc>
        <w:tc>
          <w:tcPr>
            <w:tcW w:w="550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kern w:val="0"/>
                <w:sz w:val="18"/>
                <w:szCs w:val="18"/>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rPr>
              <w:t>基层慈善服务站点对城乡社区覆盖率（%）</w:t>
            </w: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08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预期性</w:t>
            </w:r>
          </w:p>
        </w:tc>
      </w:tr>
      <w:bookmarkEnd w:id="81"/>
    </w:tbl>
    <w:p>
      <w:pPr>
        <w:pStyle w:val="2"/>
        <w:wordWrap/>
        <w:adjustRightInd/>
        <w:snapToGrid/>
        <w:spacing w:line="560" w:lineRule="exact"/>
        <w:ind w:left="0" w:leftChars="0" w:right="0"/>
        <w:textAlignment w:val="auto"/>
        <w:rPr>
          <w:rFonts w:hint="eastAsia"/>
        </w:rPr>
      </w:pPr>
      <w:bookmarkStart w:id="86" w:name="_Toc49455835"/>
      <w:bookmarkStart w:id="87" w:name="_Toc11122"/>
      <w:bookmarkStart w:id="88" w:name="_Toc2522"/>
    </w:p>
    <w:p>
      <w:pPr>
        <w:pStyle w:val="2"/>
        <w:wordWrap/>
        <w:adjustRightInd/>
        <w:snapToGrid/>
        <w:spacing w:line="560" w:lineRule="exact"/>
        <w:ind w:left="0" w:leftChars="0" w:right="0"/>
        <w:textAlignment w:val="auto"/>
        <w:rPr>
          <w:rFonts w:hint="eastAsia"/>
        </w:rPr>
      </w:pPr>
      <w:bookmarkStart w:id="89" w:name="_Toc76488126"/>
      <w:bookmarkStart w:id="90" w:name="_Toc77367973"/>
      <w:r>
        <w:rPr>
          <w:rFonts w:hint="eastAsia"/>
        </w:rPr>
        <w:t>第三部分  主要任务</w:t>
      </w:r>
      <w:bookmarkEnd w:id="86"/>
      <w:bookmarkEnd w:id="89"/>
      <w:bookmarkEnd w:id="90"/>
    </w:p>
    <w:p>
      <w:pPr>
        <w:pStyle w:val="2"/>
        <w:wordWrap/>
        <w:adjustRightInd/>
        <w:snapToGrid/>
        <w:spacing w:line="560" w:lineRule="exact"/>
        <w:ind w:left="0" w:leftChars="0" w:right="0"/>
        <w:textAlignment w:val="auto"/>
        <w:rPr>
          <w:rFonts w:hint="eastAsia"/>
        </w:rPr>
      </w:pPr>
    </w:p>
    <w:p>
      <w:pPr>
        <w:pStyle w:val="3"/>
        <w:spacing w:line="560" w:lineRule="exact"/>
      </w:pPr>
      <w:bookmarkStart w:id="91" w:name="_Toc49455836"/>
      <w:bookmarkStart w:id="92" w:name="_Toc77367974"/>
      <w:bookmarkStart w:id="93" w:name="_Toc76488127"/>
      <w:r>
        <w:rPr>
          <w:rFonts w:hint="eastAsia"/>
        </w:rPr>
        <w:t>一、加强党的领导，深化党建引领社会治理</w:t>
      </w:r>
      <w:bookmarkEnd w:id="91"/>
      <w:bookmarkEnd w:id="92"/>
      <w:bookmarkEnd w:id="93"/>
    </w:p>
    <w:p>
      <w:pPr>
        <w:pStyle w:val="4"/>
        <w:spacing w:line="560" w:lineRule="exact"/>
        <w:rPr>
          <w:rFonts w:hAnsi="仿宋_GB2312" w:cs="仿宋_GB2312"/>
          <w:b w:val="0"/>
          <w:bCs w:val="0"/>
        </w:rPr>
      </w:pPr>
      <w:bookmarkStart w:id="94" w:name="_Toc49455837"/>
      <w:bookmarkStart w:id="95" w:name="_Toc76488128"/>
      <w:r>
        <w:rPr>
          <w:rFonts w:hint="eastAsia" w:hAnsi="仿宋_GB2312" w:cs="仿宋_GB2312"/>
        </w:rPr>
        <w:t>（一）健全党对社会治理工作的领导体系</w:t>
      </w:r>
      <w:bookmarkEnd w:id="94"/>
      <w:r>
        <w:rPr>
          <w:rFonts w:hint="eastAsia" w:hAnsi="仿宋_GB2312" w:cs="仿宋_GB2312"/>
        </w:rPr>
        <w:t>。</w:t>
      </w:r>
      <w:r>
        <w:rPr>
          <w:rFonts w:hint="eastAsia" w:hAnsi="仿宋_GB2312" w:cs="仿宋_GB2312"/>
          <w:b w:val="0"/>
          <w:bCs w:val="0"/>
        </w:rPr>
        <w:t>贯彻落实党的十九大、十九届二中、三中、四中、五中全会精神，以打造践行习近平生态文明思想典范之区为统领，全面提升我区生态文明建设的示范和引领效应，积极构建更加有效的社会治理体系。进一步强化党在社会治理中的领导核心作用，切实发挥党组织的政治引领功能，加强党领导基层社会治理的干部队伍建设，深入贯彻落实中央和市委关于抓党建促低收入村增收、促乡村振兴的工作要求，总结和创新密云区村党组织第一书记在低收入村基层组织建设、经济发展、民生改善和软弱涣散村整顿等方面经验，加强党的基层干部管理和激励机制，积极引导党员发挥先锋模范作用。</w:t>
      </w:r>
      <w:bookmarkEnd w:id="95"/>
    </w:p>
    <w:p>
      <w:pPr>
        <w:pStyle w:val="4"/>
        <w:spacing w:line="560" w:lineRule="exact"/>
        <w:rPr>
          <w:rFonts w:hAnsi="仿宋_GB2312" w:cs="仿宋_GB2312"/>
          <w:b w:val="0"/>
          <w:bCs w:val="0"/>
        </w:rPr>
      </w:pPr>
      <w:bookmarkStart w:id="96" w:name="_Toc49455838"/>
      <w:bookmarkStart w:id="97" w:name="_Toc76488129"/>
      <w:r>
        <w:rPr>
          <w:rFonts w:hint="eastAsia" w:hAnsi="仿宋_GB2312" w:cs="仿宋_GB2312"/>
        </w:rPr>
        <w:t>（二）完善社会领域党建工作体系</w:t>
      </w:r>
      <w:bookmarkEnd w:id="96"/>
      <w:r>
        <w:rPr>
          <w:rFonts w:hint="eastAsia" w:hAnsi="仿宋_GB2312" w:cs="仿宋_GB2312"/>
        </w:rPr>
        <w:t>。</w:t>
      </w:r>
      <w:r>
        <w:rPr>
          <w:rFonts w:hint="eastAsia" w:hAnsi="仿宋_GB2312" w:cs="仿宋_GB2312"/>
          <w:b w:val="0"/>
          <w:bCs w:val="0"/>
        </w:rPr>
        <w:t>加强和改进社会领域党建工作，进一步扩大非公经济组织和社会组织党的组织和党的工作覆盖面，在推动发展、服务群众、凝聚人心、促进和谐方面发挥积极作用。积极研究密云区“两新”组织的人群结构特点和需求，找准“两新”组织中各方利益最佳结合点，将“两新”组织党建与其所属的行业联系联结联动起来，形成“依托行业抓党建、抓好党建促进行业健康发展”的工作局面，探索密云区社会领域党建中“围绕业务中心工作抓党建、抓好党建促进业务中心工作开展”的互动共赢模式。社会组织党组织和党的工作覆盖率达到95%。</w:t>
      </w:r>
      <w:bookmarkEnd w:id="97"/>
    </w:p>
    <w:p>
      <w:pPr>
        <w:pStyle w:val="4"/>
        <w:spacing w:line="560" w:lineRule="exact"/>
        <w:rPr>
          <w:rFonts w:hAnsi="仿宋_GB2312" w:cs="仿宋_GB2312"/>
          <w:b w:val="0"/>
          <w:bCs w:val="0"/>
        </w:rPr>
      </w:pPr>
      <w:bookmarkStart w:id="98" w:name="_Toc49455839"/>
      <w:bookmarkStart w:id="99" w:name="_Toc76488130"/>
      <w:r>
        <w:rPr>
          <w:rFonts w:hint="eastAsia" w:hAnsi="仿宋_GB2312" w:cs="仿宋_GB2312"/>
        </w:rPr>
        <w:t>（三）拓展区域化党建工作格局</w:t>
      </w:r>
      <w:bookmarkEnd w:id="98"/>
      <w:r>
        <w:rPr>
          <w:rFonts w:hint="eastAsia" w:hAnsi="仿宋_GB2312" w:cs="仿宋_GB2312"/>
        </w:rPr>
        <w:t>。</w:t>
      </w:r>
      <w:r>
        <w:rPr>
          <w:rFonts w:hint="eastAsia" w:hAnsi="仿宋_GB2312" w:cs="仿宋_GB2312"/>
          <w:b w:val="0"/>
          <w:bCs w:val="0"/>
        </w:rPr>
        <w:t>立足于首都最重要的水源保护地及区域生态治理协作区、国家生态文明先行示范区、特色文化旅游休闲及创新发展示范区的战略定位，在新城综合发展核心区建设引领带动新型城镇化和怀柔科学城协同发展过程中，各级党组织立足于区域化党建大格局，联合新城综合发展核心区内的机关、事业单位、非公企业、社会组织党组织等，整合社区党建力量、共享社区党建资源、全面推广区域化党建工作格局，在现有基础上进一步提升社区区域化党建的总体质量和整体水平，拓展深挖社区区域化党建承载的政治功能、服务功能和社会功能，共同推动社区区域化党建与社区治理的深度融合。</w:t>
      </w:r>
      <w:bookmarkEnd w:id="99"/>
    </w:p>
    <w:p>
      <w:pPr>
        <w:pStyle w:val="4"/>
        <w:spacing w:line="560" w:lineRule="exact"/>
        <w:rPr>
          <w:rFonts w:hAnsi="仿宋_GB2312" w:cs="仿宋_GB2312"/>
          <w:b w:val="0"/>
          <w:bCs w:val="0"/>
        </w:rPr>
      </w:pPr>
      <w:bookmarkStart w:id="100" w:name="_Toc49455840"/>
      <w:bookmarkStart w:id="101" w:name="_Toc76488131"/>
      <w:r>
        <w:rPr>
          <w:rFonts w:hint="eastAsia" w:hAnsi="仿宋_GB2312" w:cs="仿宋_GB2312"/>
        </w:rPr>
        <w:t>（四）创新党建引领基层治理机制</w:t>
      </w:r>
      <w:bookmarkEnd w:id="100"/>
      <w:r>
        <w:rPr>
          <w:rFonts w:hint="eastAsia" w:hAnsi="仿宋_GB2312" w:cs="仿宋_GB2312"/>
        </w:rPr>
        <w:t>。</w:t>
      </w:r>
      <w:r>
        <w:rPr>
          <w:rFonts w:hint="eastAsia" w:hAnsi="仿宋_GB2312" w:cs="仿宋_GB2312"/>
          <w:b w:val="0"/>
          <w:bCs w:val="0"/>
        </w:rPr>
        <w:t>在基层治理中全面加强党组织的领导核心地位，全面落实村（社区）党组织书记、村（居）委会主任“一肩挑”要求，推行村（居）“两委”交叉兼职，严格落实候选人资格条件“十不能”，进一步推进“两委”班子成员年轻化。村（社区）党组织书记兼任村（居）委员会主任比例不低于上届。聚焦街乡党组织在党建、治理、服务三方面的主责主业，着力强化党组织政治领导、服务凝聚、利益整合功能，积极探索网格化管理，进一步扩大“多网”融合的范围和广度，提升治理的精细化和智能化水平，注重运用法治思维和法治方式化解社会矛盾，推进密云区党建城乡基层治理的常态化、长效化、法治化和科学化。</w:t>
      </w:r>
      <w:bookmarkEnd w:id="101"/>
    </w:p>
    <w:p>
      <w:pPr>
        <w:pStyle w:val="3"/>
        <w:spacing w:line="560" w:lineRule="exact"/>
      </w:pPr>
      <w:bookmarkStart w:id="102" w:name="_Toc76488132"/>
      <w:bookmarkStart w:id="103" w:name="_Toc77367975"/>
      <w:bookmarkStart w:id="104" w:name="_Toc49455859"/>
      <w:bookmarkStart w:id="105" w:name="_Toc49455841"/>
      <w:r>
        <w:rPr>
          <w:rFonts w:hint="eastAsia"/>
        </w:rPr>
        <w:t>二、实现重心下移，构建基层社会治理新格局</w:t>
      </w:r>
      <w:bookmarkEnd w:id="102"/>
      <w:bookmarkEnd w:id="103"/>
      <w:bookmarkEnd w:id="104"/>
    </w:p>
    <w:p>
      <w:pPr>
        <w:pStyle w:val="4"/>
        <w:spacing w:line="560" w:lineRule="exact"/>
        <w:rPr>
          <w:rFonts w:hAnsi="仿宋_GB2312" w:cs="仿宋_GB2312"/>
          <w:b w:val="0"/>
          <w:bCs w:val="0"/>
        </w:rPr>
      </w:pPr>
      <w:bookmarkStart w:id="106" w:name="_Toc49455860"/>
      <w:bookmarkStart w:id="107" w:name="_Toc76488133"/>
      <w:r>
        <w:rPr>
          <w:rFonts w:hint="eastAsia" w:hAnsi="仿宋_GB2312" w:cs="仿宋_GB2312"/>
        </w:rPr>
        <w:t>（一）深化基层管理体制改革</w:t>
      </w:r>
      <w:bookmarkEnd w:id="106"/>
      <w:r>
        <w:rPr>
          <w:rFonts w:hint="eastAsia" w:hAnsi="仿宋_GB2312" w:cs="仿宋_GB2312"/>
        </w:rPr>
        <w:t>。</w:t>
      </w:r>
      <w:r>
        <w:rPr>
          <w:rFonts w:hint="eastAsia" w:hAnsi="仿宋_GB2312" w:cs="仿宋_GB2312"/>
          <w:b w:val="0"/>
          <w:bCs w:val="0"/>
        </w:rPr>
        <w:t>进一步推动社会治理和服务重心向基层下移，提升效能，推动街道管理体制改革继续深化，解决“看得见的管不了、管得了的看不见”的治理难题。巩固近年来推行党建引领“街乡吹哨、部门报到”“接诉即办”的经验，将之作为常态机制推进基层社会治理管理体系改革的重点工作。在深化基层管理体系改革中，着重化解经济社会发展风险和解决民生问题，注意把握应用现代信息技术实现政府和民众互动的创新热点，加大信息整合力度，构建统一规范的网格化工作体系，有效整合基层党建、城市管理、市场监管、社会治理、公共安全等网格资源，实现职能部门各类业务数据在镇街层面的有效整合和分类共享。</w:t>
      </w:r>
      <w:bookmarkEnd w:id="107"/>
    </w:p>
    <w:p>
      <w:pPr>
        <w:pStyle w:val="4"/>
        <w:spacing w:line="560" w:lineRule="exact"/>
        <w:rPr>
          <w:rFonts w:hAnsi="仿宋_GB2312" w:cs="仿宋_GB2312"/>
          <w:b w:val="0"/>
          <w:bCs w:val="0"/>
        </w:rPr>
      </w:pPr>
      <w:bookmarkStart w:id="108" w:name="_Toc49455861"/>
      <w:bookmarkStart w:id="109" w:name="_Toc76488134"/>
      <w:r>
        <w:rPr>
          <w:rFonts w:hint="eastAsia" w:hAnsi="仿宋_GB2312" w:cs="仿宋_GB2312"/>
        </w:rPr>
        <w:t>（二）创新基层社会治理机制</w:t>
      </w:r>
      <w:bookmarkEnd w:id="108"/>
      <w:r>
        <w:rPr>
          <w:rFonts w:hint="eastAsia" w:hAnsi="仿宋_GB2312" w:cs="仿宋_GB2312"/>
        </w:rPr>
        <w:t>。</w:t>
      </w:r>
      <w:r>
        <w:rPr>
          <w:rFonts w:hint="eastAsia" w:hAnsi="仿宋_GB2312" w:cs="仿宋_GB2312"/>
          <w:b w:val="0"/>
          <w:bCs w:val="0"/>
        </w:rPr>
        <w:t>积极探索社区治理新模式，结合垃圾分类、物业管理等新法规的实施要求，进一步创新完善党建区域化、自治单元化、动员社会化、服务精准化、管理精细化的社区治理体系，切实形成“五化协同”的社区治理新模式。着力打造密云治理品牌，深入推进国家生态文明先行示范区、特色文化旅游休闲及创新发展示范区创建，全面加强公共文化服务体系和公共卫生应急体系建设等方面深入研究，积极创新，最大限度激发社会共治的智慧，汇聚社会共治的能量。建成5个楼门院“微治理”示范点；提升5个街道（镇）社区活动中心的服务品质；业委会（物管会）组建率不低于90%；物业服务覆盖率不低于90%；健全党建工作考核评价体系，将成员单位参与支持各级党建工作协调委员会工作情况纳入单位党建工作考核；培育共建共治党建品牌20个，实施社区“领头雁”功能。选树先进社区党组织20个，表彰优秀社区书记40名，建立社区书记示范点6个，力争打造具有市级影响力的党建品牌。</w:t>
      </w:r>
      <w:bookmarkEnd w:id="109"/>
    </w:p>
    <w:p>
      <w:pPr>
        <w:pStyle w:val="4"/>
        <w:spacing w:line="560" w:lineRule="exact"/>
        <w:rPr>
          <w:rFonts w:hAnsi="仿宋_GB2312" w:cs="仿宋_GB2312"/>
          <w:b w:val="0"/>
          <w:bCs w:val="0"/>
        </w:rPr>
      </w:pPr>
      <w:bookmarkStart w:id="110" w:name="_Toc49455862"/>
      <w:bookmarkStart w:id="111" w:name="_Toc76488135"/>
      <w:r>
        <w:rPr>
          <w:rFonts w:hint="eastAsia" w:hAnsi="仿宋_GB2312" w:cs="仿宋_GB2312"/>
        </w:rPr>
        <w:t>（三）改进城乡社区治理方式</w:t>
      </w:r>
      <w:bookmarkEnd w:id="110"/>
      <w:r>
        <w:rPr>
          <w:rFonts w:hint="eastAsia" w:hAnsi="仿宋_GB2312" w:cs="仿宋_GB2312"/>
        </w:rPr>
        <w:t>。</w:t>
      </w:r>
      <w:r>
        <w:rPr>
          <w:rFonts w:hint="eastAsia" w:hAnsi="仿宋_GB2312" w:cs="仿宋_GB2312"/>
          <w:b w:val="0"/>
          <w:bCs w:val="0"/>
        </w:rPr>
        <w:t>在履行保水政治责任、全面推进生态保护的背景下，根据《密云分区规划（国土空间规划）（2017年—2035年）》构建“一心一带四区”的空间格局规划，深入推进“四好农村路”建设，有序推进农村公路的互联互通；持续推进污水改造，建立农村污水处理长效管护机制；提高安全稳定供电水平; 深入开展“疏解整治促提升”专项行动，实施市郊铁路沿线环境提升工程；发挥街巷长、小巷管家积极作用，开展背街小巷环境整治；稳步推进住宅小区周边机关事业单位停车资源社会化，充分利用公共空间施划停车泊位；持续推进“厕所革命”</w:t>
      </w:r>
      <w:r>
        <w:rPr>
          <w:rFonts w:hint="eastAsia" w:hAnsi="仿宋_GB2312" w:cs="仿宋_GB2312"/>
          <w:b w:val="0"/>
          <w:bCs w:val="0"/>
          <w:lang w:eastAsia="zh-CN"/>
        </w:rPr>
        <w:t>；</w:t>
      </w:r>
      <w:r>
        <w:rPr>
          <w:rFonts w:hint="eastAsia" w:hAnsi="仿宋_GB2312" w:cs="仿宋_GB2312"/>
          <w:b w:val="0"/>
          <w:bCs w:val="0"/>
        </w:rPr>
        <w:t>推进城乡生活垃圾分类，完善垃圾收运处理体系，实现再生资源分类循环利用和安全集中处置，把美丽乡村建设作为落实乡村振兴战略的重要抓手，推进市级美丽乡村示范村建设，在各镇开展示范村创建工作。补齐城乡社区治理短板，推动形成党领导下的政府治理和社会调节、居民自治良性互动格局。</w:t>
      </w:r>
      <w:bookmarkEnd w:id="111"/>
    </w:p>
    <w:p>
      <w:pPr>
        <w:pStyle w:val="4"/>
        <w:spacing w:line="560" w:lineRule="exact"/>
        <w:rPr>
          <w:rFonts w:hAnsi="仿宋_GB2312" w:cs="仿宋_GB2312"/>
          <w:b w:val="0"/>
          <w:bCs w:val="0"/>
        </w:rPr>
      </w:pPr>
      <w:bookmarkStart w:id="112" w:name="_Toc49455863"/>
      <w:bookmarkStart w:id="113" w:name="_Toc76488136"/>
      <w:r>
        <w:rPr>
          <w:rFonts w:hint="eastAsia" w:hAnsi="仿宋_GB2312" w:cs="仿宋_GB2312"/>
        </w:rPr>
        <w:t>（四）健全社区服务响应体系</w:t>
      </w:r>
      <w:bookmarkEnd w:id="112"/>
      <w:r>
        <w:rPr>
          <w:rFonts w:hint="eastAsia" w:hAnsi="仿宋_GB2312" w:cs="仿宋_GB2312"/>
        </w:rPr>
        <w:t>。</w:t>
      </w:r>
      <w:r>
        <w:rPr>
          <w:rFonts w:hint="eastAsia" w:hAnsi="仿宋_GB2312" w:cs="仿宋_GB2312"/>
          <w:b w:val="0"/>
          <w:bCs w:val="0"/>
        </w:rPr>
        <w:t>建立健全社区服务响应体系，大力提升社区服务质量。配合疏解非首都核心功能，积极鼓励支持连锁企业、品牌企业进社区，加快社区便民商业连锁化发展，替代社区低端商业业态，建设以社区居民生活需求为导向、线上线下相融合的社区综合便民服务体系。基于密云区创建生态文明城区的发展规划，在水源保护区和农村地区等商业配套不成熟的地区延伸社区服务，探索发展“互联网+社区服务”，鼓励电子商务企业、实体服务商开展合作。</w:t>
      </w:r>
      <w:bookmarkEnd w:id="113"/>
    </w:p>
    <w:p>
      <w:pPr>
        <w:pStyle w:val="4"/>
        <w:spacing w:line="560" w:lineRule="exact"/>
        <w:rPr>
          <w:rFonts w:hAnsi="仿宋_GB2312" w:cs="仿宋_GB2312"/>
          <w:b w:val="0"/>
          <w:bCs w:val="0"/>
        </w:rPr>
      </w:pPr>
      <w:bookmarkStart w:id="114" w:name="_Toc49455864"/>
      <w:bookmarkStart w:id="115" w:name="_Toc76488137"/>
      <w:r>
        <w:rPr>
          <w:rFonts w:hint="eastAsia" w:hAnsi="仿宋_GB2312" w:cs="仿宋_GB2312"/>
        </w:rPr>
        <w:t>（五）强化社区基层基础建设</w:t>
      </w:r>
      <w:bookmarkEnd w:id="114"/>
      <w:r>
        <w:rPr>
          <w:rFonts w:hint="eastAsia" w:hAnsi="仿宋_GB2312" w:cs="仿宋_GB2312"/>
        </w:rPr>
        <w:t>。</w:t>
      </w:r>
      <w:r>
        <w:rPr>
          <w:rFonts w:hint="eastAsia" w:hAnsi="仿宋_GB2312" w:cs="仿宋_GB2312"/>
          <w:b w:val="0"/>
          <w:bCs w:val="0"/>
        </w:rPr>
        <w:t>进一步加强社区基层基础建设，以“街乡吹哨、部门报到”为依托，以网格化为基础，以城乡治理综合数据指挥中心为平台，在全区推广鼓楼街道“三全一快”工作机制，实现“全天候值守、全领域覆盖、全过程跟踪，快速高效处置”，根据居民诉求、12345市民服务热线及媒体报道等哨声来源，在街道综合治理数据指挥中心建立“7×24”全天候有人值守制度，接诉电话30秒响应，综合执法中心执法队昼夜值班，社区居委会定岗定人接办，以此实现街道、科队、社区全时段无缝对接。 着力将优势资源向社会治理末端延伸，在平安密云建设中，推动公安基层基础工作全面融入社区治理体系。通过派出所所长进镇街党委班子，社区民警担任社区党组织副书记的方式，坚持发展新时代“枫桥经验”，巩固深化密云区群防群治优势，着力完善“专群结合、共建共治”的社区治理路径，推动“穿警服的副书记”制度，为平安社区建设注入新动能。</w:t>
      </w:r>
      <w:bookmarkEnd w:id="115"/>
    </w:p>
    <w:p>
      <w:pPr>
        <w:pStyle w:val="4"/>
        <w:spacing w:line="560" w:lineRule="exact"/>
        <w:rPr>
          <w:rFonts w:hAnsi="仿宋_GB2312" w:cs="仿宋_GB2312"/>
          <w:b w:val="0"/>
          <w:bCs w:val="0"/>
        </w:rPr>
      </w:pPr>
      <w:bookmarkStart w:id="116" w:name="_Toc49455888"/>
      <w:bookmarkStart w:id="117" w:name="_Toc76488138"/>
      <w:r>
        <w:rPr>
          <w:rFonts w:hint="eastAsia" w:hAnsi="仿宋_GB2312" w:cs="仿宋_GB2312"/>
        </w:rPr>
        <w:t>（六）完善社会心理服务体系</w:t>
      </w:r>
      <w:bookmarkEnd w:id="116"/>
      <w:r>
        <w:rPr>
          <w:rFonts w:hint="eastAsia" w:hAnsi="仿宋_GB2312" w:cs="仿宋_GB2312"/>
        </w:rPr>
        <w:t>。</w:t>
      </w:r>
      <w:r>
        <w:rPr>
          <w:rFonts w:hint="eastAsia" w:hAnsi="仿宋_GB2312" w:cs="仿宋_GB2312"/>
          <w:b w:val="0"/>
          <w:bCs w:val="0"/>
        </w:rPr>
        <w:t>加强社会心理服务体系建设，培育自尊自信、理性平和、积极向上的社会心态。新建</w:t>
      </w:r>
      <w:r>
        <w:rPr>
          <w:rFonts w:hint="eastAsia" w:hAnsi="仿宋_GB2312" w:cs="仿宋_GB2312"/>
          <w:b w:val="0"/>
          <w:bCs w:val="0"/>
          <w:lang w:val="en-US" w:eastAsia="zh-CN"/>
        </w:rPr>
        <w:t>18</w:t>
      </w:r>
      <w:r>
        <w:rPr>
          <w:rFonts w:hint="eastAsia" w:hAnsi="仿宋_GB2312" w:cs="仿宋_GB2312"/>
          <w:b w:val="0"/>
          <w:bCs w:val="0"/>
        </w:rPr>
        <w:t>个社会心理服务中心（站点），开展心理健康知识宣传和咨询服务、心理危机干预与评估、社会心态指导等服务。营造文明和谐的社会心理服务环境，提高居民心理健康素养，提升理性思维能力与乐观情绪水平。加强社会心理服务体系的信息化建设，动态掌握群众心理安全指数和预期，准确把握各类群体的利益诉求和心理需要，提供免费优质的危机介入和群众心理咨询服务，从源头上预防和化解社会矛盾。提升社会心理服务专业水平，积极培育专业化、规范化心理服务机构，引导区内综合医院开设精神（心理）科，加强对心理服务行业的监督和考核。</w:t>
      </w:r>
      <w:bookmarkEnd w:id="117"/>
    </w:p>
    <w:p>
      <w:pPr>
        <w:pStyle w:val="3"/>
        <w:spacing w:line="560" w:lineRule="exact"/>
      </w:pPr>
      <w:bookmarkStart w:id="118" w:name="_Toc76488139"/>
      <w:bookmarkStart w:id="119" w:name="_Toc77367976"/>
      <w:bookmarkStart w:id="120" w:name="_Toc49455850"/>
      <w:r>
        <w:rPr>
          <w:rFonts w:hint="eastAsia"/>
        </w:rPr>
        <w:t>三、扩大社会参与，形成社会治理有效合力</w:t>
      </w:r>
      <w:bookmarkEnd w:id="118"/>
      <w:bookmarkEnd w:id="119"/>
      <w:bookmarkEnd w:id="120"/>
    </w:p>
    <w:p>
      <w:pPr>
        <w:pStyle w:val="4"/>
        <w:spacing w:line="560" w:lineRule="exact"/>
        <w:rPr>
          <w:rFonts w:hAnsi="仿宋_GB2312" w:cs="仿宋_GB2312"/>
          <w:b w:val="0"/>
          <w:bCs w:val="0"/>
        </w:rPr>
      </w:pPr>
      <w:bookmarkStart w:id="121" w:name="_Toc49455851"/>
      <w:bookmarkStart w:id="122" w:name="_Toc31945"/>
      <w:bookmarkStart w:id="123" w:name="_Toc76488140"/>
      <w:bookmarkStart w:id="124" w:name="_Toc49455852"/>
      <w:r>
        <w:rPr>
          <w:rFonts w:hint="eastAsia"/>
        </w:rPr>
        <w:t>（一）提升基层自治能力</w:t>
      </w:r>
      <w:bookmarkEnd w:id="121"/>
      <w:bookmarkEnd w:id="122"/>
      <w:r>
        <w:rPr>
          <w:rFonts w:hint="eastAsia"/>
        </w:rPr>
        <w:t>。</w:t>
      </w:r>
      <w:r>
        <w:rPr>
          <w:rFonts w:hint="eastAsia" w:hAnsi="仿宋_GB2312" w:cs="仿宋_GB2312"/>
          <w:b w:val="0"/>
          <w:bCs w:val="0"/>
        </w:rPr>
        <w:t>最大限度把群众动员起来、组织起来、凝聚起来，通过自治、法治、德治有机结合，打造共建共治共享的社会治理格局。进一步完善“两代表一委员”联系群众制度，健全基层自治机制，规范完善村规民约，以密云区打造区域生态治理协作区、国家生态文明先行示范区系列活动为契机，做实做细党员进社区、领导干部包村联户等制度，倾听民意、汇集民智、凝聚民力、改善民生。围绕生态环境治理、水源保护、社区环境改造等高频问题和重点区域，推动“接诉即办”从“有一办一”“举一反三”向“主动治理”“未诉先办”深化，将工作触角深入最基层，在矛盾未形成时先行解决，撬动基层治理大变革</w:t>
      </w:r>
      <w:r>
        <w:rPr>
          <w:rFonts w:hint="eastAsia" w:hAnsi="仿宋_GB2312" w:cs="仿宋_GB2312"/>
          <w:b w:val="0"/>
          <w:bCs w:val="0"/>
          <w:lang w:eastAsia="zh-CN"/>
        </w:rPr>
        <w:t>，信访事项按期答复率不低于</w:t>
      </w:r>
      <w:r>
        <w:rPr>
          <w:rFonts w:hint="eastAsia" w:hAnsi="仿宋_GB2312" w:cs="仿宋_GB2312"/>
          <w:b w:val="0"/>
          <w:bCs w:val="0"/>
          <w:lang w:val="en-US" w:eastAsia="zh-CN"/>
        </w:rPr>
        <w:t>95%。</w:t>
      </w:r>
      <w:r>
        <w:rPr>
          <w:rFonts w:hint="eastAsia" w:hAnsi="仿宋_GB2312" w:cs="仿宋_GB2312"/>
          <w:b w:val="0"/>
          <w:bCs w:val="0"/>
        </w:rPr>
        <w:t>探索社会力量参与提供非基本公共服务的新机制，鼓励企业履行社会责任，为群众提供贴心便利的公共服务、便民服务和公益服务。</w:t>
      </w:r>
      <w:bookmarkEnd w:id="123"/>
    </w:p>
    <w:p>
      <w:pPr>
        <w:pStyle w:val="4"/>
        <w:spacing w:line="560" w:lineRule="exact"/>
        <w:rPr>
          <w:rFonts w:hint="eastAsia" w:hAnsi="仿宋_GB2312" w:cs="仿宋_GB2312"/>
          <w:b w:val="0"/>
          <w:bCs w:val="0"/>
        </w:rPr>
      </w:pPr>
      <w:bookmarkStart w:id="125" w:name="_Toc13855"/>
      <w:bookmarkStart w:id="126" w:name="_Toc76488141"/>
      <w:r>
        <w:rPr>
          <w:rFonts w:hint="eastAsia"/>
        </w:rPr>
        <w:t>（二）深入开展基层协商</w:t>
      </w:r>
      <w:bookmarkEnd w:id="125"/>
      <w:r>
        <w:rPr>
          <w:rFonts w:hint="eastAsia"/>
        </w:rPr>
        <w:t>。</w:t>
      </w:r>
      <w:r>
        <w:rPr>
          <w:rFonts w:hint="eastAsia" w:hAnsi="仿宋_GB2312" w:cs="仿宋_GB2312"/>
          <w:b w:val="0"/>
          <w:bCs w:val="0"/>
        </w:rPr>
        <w:t>创新社区治理方法，灵活运用社区议事厅、居民恳谈会等形式，推动分层协商和公共沟通互动试点工作向全区推广。进一步总结“果园e家园”“社区一键通”“摆桌子听意见”“民意速递服务点”“听民声、解民怨的谈心谈话室”等基层协商工作的经验模式，所有城市社区全部建立社区议事厅，每个镇街打造不少于2个社区民主协商示范典型。借鉴“五方共治”“分层协商”“社区金点子”“老街坊议事厅”等协商共治模式，做细做实居民（村民）协商议事程序和参与规则，充分动员群众广泛参与。切实加强基层民主政治建设，社区居民委员会直接选举和户代表选举比例80%以上。</w:t>
      </w:r>
      <w:bookmarkEnd w:id="124"/>
      <w:bookmarkEnd w:id="126"/>
      <w:bookmarkStart w:id="127" w:name="_Toc49455854"/>
      <w:bookmarkStart w:id="128" w:name="_Toc76488144"/>
    </w:p>
    <w:p>
      <w:pPr>
        <w:pStyle w:val="4"/>
        <w:spacing w:line="560" w:lineRule="exact"/>
        <w:rPr>
          <w:rFonts w:hAnsi="仿宋_GB2312" w:cs="仿宋_GB2312"/>
          <w:b w:val="0"/>
          <w:bCs w:val="0"/>
        </w:rPr>
      </w:pPr>
      <w:r>
        <w:rPr>
          <w:rFonts w:hint="eastAsia"/>
        </w:rPr>
        <w:t>（三）防范化解矛盾纠纷</w:t>
      </w:r>
      <w:bookmarkEnd w:id="127"/>
      <w:r>
        <w:rPr>
          <w:rFonts w:hint="eastAsia"/>
        </w:rPr>
        <w:t>。</w:t>
      </w:r>
      <w:r>
        <w:rPr>
          <w:rFonts w:hint="eastAsia" w:hAnsi="仿宋_GB2312" w:cs="仿宋_GB2312"/>
          <w:b w:val="0"/>
          <w:bCs w:val="0"/>
        </w:rPr>
        <w:t>坚持发展新时代“枫桥经验”，完善科学决策机制和程序，严格落实重大决策社会稳定风险评估制度。加强社会矛盾和社会问题的源头管理，健全社会矛盾排查预警机制，及时发现不稳定风险隐患。推行区、镇街领导干部定期下基层大接访和包联化解制度，认真负责地解决信访积案和群众合理合法诉求。建立提供“一站式”矛盾纠纷化解的实体平台，探索建立集咨询、评估、调解、诉讼于一体的“在线矛盾纠纷多元化解平台”，将社会心理服务纳入城乡基本公共服务体系，健全社会心理服务体系和危机干预机制，各镇街全部建立精神卫生综合管理小组，推进相关工作开展。</w:t>
      </w:r>
      <w:bookmarkEnd w:id="128"/>
    </w:p>
    <w:p>
      <w:pPr>
        <w:pStyle w:val="4"/>
        <w:spacing w:line="560" w:lineRule="exact"/>
      </w:pPr>
      <w:bookmarkStart w:id="129" w:name="_Toc76488143"/>
      <w:r>
        <w:rPr>
          <w:rFonts w:hint="eastAsia"/>
        </w:rPr>
        <w:t>（四）持续开展好社区邻里节活动。</w:t>
      </w:r>
      <w:r>
        <w:rPr>
          <w:rFonts w:hint="eastAsia" w:hAnsi="仿宋_GB2312" w:cs="仿宋_GB2312"/>
          <w:b w:val="0"/>
          <w:bCs w:val="0"/>
        </w:rPr>
        <w:t>根据《北京市“社区邻里节”活动实施方案》文件精神，进一步调动居民参与社区建设的积极性，努力营造共建共治共享的社区治理氛围，共同构建温馨和谐的幸福家园，切实推动社区建设工作走进大众、走向基层。继续在全区范围内开展“社区邻里节”活动，以社区为活动实施主体，搭建活动平台，以丰富多彩的活动形式、喜闻乐见的活动内容，吸引居民走出家门，加强互动交流，密切邻里关系，促进邻里和谐，树立社会公德</w:t>
      </w:r>
      <w:r>
        <w:rPr>
          <w:rFonts w:hint="eastAsia" w:hAnsi="仿宋_GB2312" w:cs="仿宋_GB2312"/>
          <w:b w:val="0"/>
          <w:bCs w:val="0"/>
          <w:lang w:eastAsia="zh-CN"/>
        </w:rPr>
        <w:t>意识</w:t>
      </w:r>
      <w:r>
        <w:rPr>
          <w:rFonts w:hint="eastAsia" w:hAnsi="仿宋_GB2312" w:cs="仿宋_GB2312"/>
          <w:b w:val="0"/>
          <w:bCs w:val="0"/>
        </w:rPr>
        <w:t>，增强社区认同感。</w:t>
      </w:r>
      <w:bookmarkEnd w:id="129"/>
    </w:p>
    <w:p>
      <w:pPr>
        <w:pStyle w:val="3"/>
        <w:spacing w:line="560" w:lineRule="exact"/>
      </w:pPr>
      <w:bookmarkStart w:id="130" w:name="_Toc76488145"/>
      <w:bookmarkStart w:id="131" w:name="_Toc77367977"/>
      <w:r>
        <w:rPr>
          <w:rFonts w:hint="eastAsia"/>
        </w:rPr>
        <w:t>四、优化政府职能，提升社会治理能力</w:t>
      </w:r>
      <w:bookmarkEnd w:id="105"/>
      <w:bookmarkEnd w:id="130"/>
      <w:bookmarkEnd w:id="131"/>
    </w:p>
    <w:p>
      <w:pPr>
        <w:pStyle w:val="4"/>
        <w:spacing w:line="560" w:lineRule="exact"/>
        <w:rPr>
          <w:rFonts w:hAnsi="仿宋_GB2312" w:cs="仿宋_GB2312"/>
          <w:b w:val="0"/>
          <w:bCs w:val="0"/>
        </w:rPr>
      </w:pPr>
      <w:bookmarkStart w:id="132" w:name="_Toc49455842"/>
      <w:bookmarkStart w:id="133" w:name="_Toc76488146"/>
      <w:r>
        <w:t>（一）</w:t>
      </w:r>
      <w:r>
        <w:rPr>
          <w:rFonts w:hint="eastAsia"/>
        </w:rPr>
        <w:t>完善“</w:t>
      </w:r>
      <w:r>
        <w:t>七有</w:t>
      </w:r>
      <w:r>
        <w:rPr>
          <w:rFonts w:hint="eastAsia"/>
        </w:rPr>
        <w:t>”“</w:t>
      </w:r>
      <w:r>
        <w:t>五性</w:t>
      </w:r>
      <w:r>
        <w:rPr>
          <w:rFonts w:hint="eastAsia"/>
        </w:rPr>
        <w:t>”实施及</w:t>
      </w:r>
      <w:r>
        <w:t>监测指标</w:t>
      </w:r>
      <w:bookmarkEnd w:id="132"/>
      <w:r>
        <w:rPr>
          <w:rFonts w:hint="eastAsia"/>
        </w:rPr>
        <w:t>体系。</w:t>
      </w:r>
      <w:r>
        <w:rPr>
          <w:rFonts w:hint="eastAsia" w:hAnsi="仿宋_GB2312" w:cs="仿宋_GB2312"/>
          <w:b w:val="0"/>
          <w:bCs w:val="0"/>
        </w:rPr>
        <w:t>紧紧围绕“七有”“五性”需求，注重加强普惠性、基础性、兜底性民生建设，着力健全基本公共服务制度体系。落实“七有”要求，重点完善普惠性幼儿园发展、义务教育优质均衡发展、促进充分就业、改善医疗服务、养老服务体系建设、保障性住房建设、困难群体帮扶、低收入农户帮扶等方面制度和体制机制。</w:t>
      </w:r>
      <w:bookmarkEnd w:id="133"/>
    </w:p>
    <w:p>
      <w:pPr>
        <w:spacing w:line="560" w:lineRule="exact"/>
        <w:ind w:firstLine="640" w:firstLineChars="200"/>
        <w:rPr>
          <w:rFonts w:ascii="仿宋_GB2312" w:hAnsi="Calibri" w:eastAsia="仿宋_GB2312" w:cs="Arial"/>
          <w:sz w:val="30"/>
          <w:szCs w:val="30"/>
        </w:rPr>
      </w:pPr>
      <w:r>
        <w:rPr>
          <w:rFonts w:hint="eastAsia" w:ascii="仿宋_GB2312" w:hAnsi="Calibri" w:eastAsia="仿宋_GB2312" w:cs="Arial"/>
          <w:sz w:val="32"/>
          <w:szCs w:val="32"/>
        </w:rPr>
        <w:t>充分考虑密云生态涵养区的特点，总结分析前期在“七有”“五性”监测评价指标体系考核落实情况，完善符合密云区经济社会和文化发展特征、回应和解决群众最为迫切和盼望的监测评价指标的落实方案，</w:t>
      </w:r>
      <w:r>
        <w:rPr>
          <w:rFonts w:ascii="仿宋_GB2312" w:hAnsi="Calibri" w:eastAsia="仿宋_GB2312" w:cs="Arial"/>
          <w:sz w:val="32"/>
          <w:szCs w:val="32"/>
        </w:rPr>
        <w:t>有针对性地补短板、强弱项，创新公共服务提供方式，满足人民</w:t>
      </w:r>
      <w:r>
        <w:rPr>
          <w:rFonts w:hint="eastAsia" w:ascii="仿宋_GB2312" w:hAnsi="Calibri" w:eastAsia="仿宋_GB2312" w:cs="Arial"/>
          <w:sz w:val="32"/>
          <w:szCs w:val="32"/>
        </w:rPr>
        <w:t>群众</w:t>
      </w:r>
      <w:r>
        <w:rPr>
          <w:rFonts w:ascii="仿宋_GB2312" w:hAnsi="Calibri" w:eastAsia="仿宋_GB2312" w:cs="Arial"/>
          <w:sz w:val="32"/>
          <w:szCs w:val="32"/>
        </w:rPr>
        <w:t>多层次多样化需求</w:t>
      </w:r>
      <w:r>
        <w:rPr>
          <w:rFonts w:hint="eastAsia" w:ascii="仿宋_GB2312" w:hAnsi="Calibri" w:eastAsia="仿宋_GB2312" w:cs="Arial"/>
          <w:sz w:val="32"/>
          <w:szCs w:val="32"/>
        </w:rPr>
        <w:t>。</w:t>
      </w:r>
    </w:p>
    <w:p>
      <w:pPr>
        <w:pStyle w:val="4"/>
        <w:spacing w:line="560" w:lineRule="exact"/>
        <w:rPr>
          <w:b w:val="0"/>
          <w:bCs w:val="0"/>
        </w:rPr>
      </w:pPr>
      <w:bookmarkStart w:id="134" w:name="_Toc49455843"/>
      <w:bookmarkStart w:id="135" w:name="_Toc76488147"/>
      <w:r>
        <w:rPr>
          <w:rFonts w:hint="eastAsia"/>
        </w:rPr>
        <w:t>（二）推动服务型政府建设</w:t>
      </w:r>
      <w:bookmarkEnd w:id="134"/>
      <w:r>
        <w:rPr>
          <w:rFonts w:hint="eastAsia"/>
        </w:rPr>
        <w:t>。</w:t>
      </w:r>
      <w:r>
        <w:rPr>
          <w:rFonts w:hint="eastAsia"/>
          <w:b w:val="0"/>
          <w:bCs w:val="0"/>
        </w:rPr>
        <w:t>围绕持续转变政府职能，全方位推进服务型政府建设，继续深入推进简政放权改革，提高资源配置效率。紧紧围绕《密云分区规划（2017年-2035年）》提出密云区作为首都最重要水源保护地及区域生态治理协作区、国家生态文明先行示范区、特色文化旅游休闲及创新发展示范区这一定位，切实将政府工作重点转到创造绿色生态环境、提供优质公共服务、维护社会公平正义上。进一步发挥和拓展线上政务服务“密切帮”移动APP的功能，实现区、镇街、社区（村）三级事项线上办理。</w:t>
      </w:r>
      <w:bookmarkEnd w:id="135"/>
    </w:p>
    <w:p>
      <w:pPr>
        <w:pStyle w:val="4"/>
        <w:spacing w:line="560" w:lineRule="exact"/>
        <w:rPr>
          <w:rFonts w:hint="eastAsia"/>
          <w:b w:val="0"/>
          <w:bCs w:val="0"/>
        </w:rPr>
      </w:pPr>
      <w:bookmarkStart w:id="136" w:name="_Toc49455844"/>
      <w:bookmarkStart w:id="137" w:name="_Toc76488148"/>
      <w:r>
        <w:rPr>
          <w:rFonts w:hint="eastAsia"/>
        </w:rPr>
        <w:t>（三）扩大社会服务有效供给</w:t>
      </w:r>
      <w:bookmarkEnd w:id="136"/>
      <w:r>
        <w:rPr>
          <w:rFonts w:hint="eastAsia"/>
        </w:rPr>
        <w:t>。</w:t>
      </w:r>
      <w:r>
        <w:rPr>
          <w:rFonts w:hint="eastAsia"/>
          <w:b w:val="0"/>
          <w:bCs w:val="0"/>
        </w:rPr>
        <w:t>充分做好疫情防控常态化准备，抓好“六稳”“六保”基础上，坚持惠民生与促发展相结合，建成高品质区级文化活动中心，打造密云文化新地标；进一步完善公共卫生服务体系，优化医疗卫生资源配置；推进幼儿园和中小学学位扩容，构建区、镇街、社区（村）三级公共体育设施体系，打造覆盖居住区的“15分钟健身圈”等公共服务和民生保障项目。通过政府公共政策的有效引导增强基本公共服务供给能力，优化公共服务资源布局，不断增强人民群众的获得感、幸福感和安全感。</w:t>
      </w:r>
      <w:bookmarkEnd w:id="137"/>
      <w:bookmarkStart w:id="138" w:name="_Toc49455845"/>
      <w:bookmarkStart w:id="139" w:name="_Toc76488149"/>
    </w:p>
    <w:p>
      <w:pPr>
        <w:pStyle w:val="4"/>
        <w:spacing w:line="560" w:lineRule="exact"/>
        <w:rPr>
          <w:b w:val="0"/>
          <w:bCs w:val="0"/>
        </w:rPr>
      </w:pPr>
      <w:r>
        <w:rPr>
          <w:rFonts w:hint="eastAsia"/>
        </w:rPr>
        <w:t>（四）加强社会公共安全管理</w:t>
      </w:r>
      <w:bookmarkEnd w:id="138"/>
      <w:r>
        <w:rPr>
          <w:rFonts w:hint="eastAsia"/>
        </w:rPr>
        <w:t>。</w:t>
      </w:r>
      <w:r>
        <w:rPr>
          <w:rFonts w:hint="eastAsia"/>
          <w:b w:val="0"/>
          <w:bCs w:val="0"/>
        </w:rPr>
        <w:t>坚持总体国家安全观，加快推进安全风险管控、隐患排查治理体系和机制建设，强化系统性安全防范制度措施；建立以“预防为主”“防灾减灾与可持续发展相结合”的公共安全风险管理指导原则，推进多元主体参与社会公共安全管理，从经验性和应急性向制度化和常态化转变，不断强化公共安全执法</w:t>
      </w:r>
      <w:r>
        <w:rPr>
          <w:rFonts w:hint="eastAsia"/>
          <w:b w:val="0"/>
          <w:bCs w:val="0"/>
          <w:lang w:eastAsia="zh-CN"/>
        </w:rPr>
        <w:t>，增强</w:t>
      </w:r>
      <w:r>
        <w:rPr>
          <w:rFonts w:hint="eastAsia"/>
          <w:b w:val="0"/>
          <w:bCs w:val="0"/>
        </w:rPr>
        <w:t>全区群众的安全</w:t>
      </w:r>
      <w:r>
        <w:rPr>
          <w:rFonts w:hint="eastAsia"/>
          <w:b w:val="0"/>
          <w:bCs w:val="0"/>
          <w:lang w:eastAsia="zh-CN"/>
        </w:rPr>
        <w:t>意识</w:t>
      </w:r>
      <w:r>
        <w:rPr>
          <w:rFonts w:hint="eastAsia"/>
          <w:b w:val="0"/>
          <w:bCs w:val="0"/>
        </w:rPr>
        <w:t>。</w:t>
      </w:r>
      <w:r>
        <w:rPr>
          <w:rFonts w:hint="eastAsia"/>
          <w:b w:val="0"/>
          <w:bCs w:val="0"/>
          <w:lang w:eastAsia="zh-CN"/>
        </w:rPr>
        <w:t>建立统一、权威、高效的食品药品安全监管体制，健全更加严格的覆盖全过程的监管机制，确保食品药品安全。</w:t>
      </w:r>
      <w:r>
        <w:rPr>
          <w:rFonts w:hint="eastAsia"/>
          <w:b w:val="0"/>
          <w:bCs w:val="0"/>
        </w:rPr>
        <w:t>严格落实辖区企业的安全责任，重点加强应急体系建设，建立覆盖全区的传染病监测预警系统，提升城市综合应急能力和社会公共安全治理能力。</w:t>
      </w:r>
      <w:bookmarkEnd w:id="139"/>
      <w:r>
        <w:rPr>
          <w:rFonts w:hint="eastAsia"/>
          <w:b w:val="0"/>
          <w:bCs w:val="0"/>
        </w:rPr>
        <w:t>群众安全感指数不低于90%。</w:t>
      </w:r>
    </w:p>
    <w:p>
      <w:pPr>
        <w:pStyle w:val="3"/>
        <w:spacing w:line="560" w:lineRule="exact"/>
      </w:pPr>
      <w:bookmarkStart w:id="140" w:name="_Toc49455846"/>
      <w:bookmarkStart w:id="141" w:name="_Toc76488150"/>
      <w:bookmarkStart w:id="142" w:name="_Toc77367978"/>
      <w:r>
        <w:rPr>
          <w:rFonts w:hint="eastAsia"/>
        </w:rPr>
        <w:t>五、增强社会活力，推动多元主体健康发展</w:t>
      </w:r>
      <w:bookmarkEnd w:id="140"/>
      <w:bookmarkEnd w:id="141"/>
      <w:bookmarkEnd w:id="142"/>
    </w:p>
    <w:p>
      <w:pPr>
        <w:pStyle w:val="4"/>
        <w:spacing w:line="560" w:lineRule="exact"/>
        <w:rPr>
          <w:rFonts w:hint="eastAsia"/>
          <w:b w:val="0"/>
          <w:bCs w:val="0"/>
          <w:lang w:eastAsia="zh-CN"/>
        </w:rPr>
      </w:pPr>
      <w:bookmarkStart w:id="143" w:name="_Toc49455847"/>
      <w:bookmarkStart w:id="144" w:name="_Toc76488151"/>
      <w:r>
        <w:rPr>
          <w:rFonts w:hint="eastAsia" w:hAnsi="仿宋_GB2312" w:cs="仿宋_GB2312"/>
        </w:rPr>
        <w:t>（一）构建现代社会组织体系</w:t>
      </w:r>
      <w:bookmarkEnd w:id="143"/>
      <w:r>
        <w:rPr>
          <w:rFonts w:hint="eastAsia" w:hAnsi="仿宋_GB2312" w:cs="仿宋_GB2312"/>
        </w:rPr>
        <w:t>。</w:t>
      </w:r>
      <w:r>
        <w:rPr>
          <w:rFonts w:hint="eastAsia" w:cs="Arial"/>
          <w:b w:val="0"/>
          <w:bCs w:val="0"/>
          <w:lang w:eastAsia="zh-CN"/>
        </w:rPr>
        <w:t>“十四五”期间</w:t>
      </w:r>
      <w:r>
        <w:rPr>
          <w:rFonts w:hint="eastAsia" w:cs="Arial"/>
          <w:b w:val="0"/>
          <w:bCs w:val="0"/>
        </w:rPr>
        <w:t>以建设一个数量充足、机制完善、作用突出的现代社会组织体</w:t>
      </w:r>
      <w:r>
        <w:rPr>
          <w:rFonts w:hint="eastAsia"/>
          <w:b w:val="0"/>
          <w:bCs w:val="0"/>
        </w:rPr>
        <w:t>系为目标，实现全区社会组织成体系、成规模培育发展，实现镇街“枢纽型”社会组织全覆盖</w:t>
      </w:r>
      <w:r>
        <w:rPr>
          <w:rFonts w:hint="eastAsia"/>
          <w:b w:val="0"/>
          <w:bCs w:val="0"/>
          <w:lang w:eastAsia="zh-CN"/>
        </w:rPr>
        <w:t>，</w:t>
      </w:r>
      <w:r>
        <w:rPr>
          <w:rFonts w:hint="eastAsia"/>
          <w:b w:val="0"/>
          <w:bCs w:val="0"/>
        </w:rPr>
        <w:t>每万名常住人口拥有8个以上社会组织。将政府购买社会力量服务资金纳入财政预算</w:t>
      </w:r>
      <w:r>
        <w:rPr>
          <w:rFonts w:hint="eastAsia"/>
          <w:b w:val="0"/>
          <w:bCs w:val="0"/>
          <w:lang w:eastAsia="zh-CN"/>
        </w:rPr>
        <w:t>，</w:t>
      </w:r>
      <w:r>
        <w:rPr>
          <w:rFonts w:hint="eastAsia"/>
          <w:b w:val="0"/>
          <w:bCs w:val="0"/>
        </w:rPr>
        <w:t>加强政府购买服务的标准化建设、资质审查、跟踪指导和绩效评估</w:t>
      </w:r>
      <w:r>
        <w:rPr>
          <w:rFonts w:hint="eastAsia"/>
          <w:b w:val="0"/>
          <w:bCs w:val="0"/>
          <w:lang w:eastAsia="zh-CN"/>
        </w:rPr>
        <w:t>，</w:t>
      </w:r>
      <w:r>
        <w:rPr>
          <w:rFonts w:hint="eastAsia"/>
          <w:b w:val="0"/>
          <w:bCs w:val="0"/>
        </w:rPr>
        <w:t>进一步推进政府购买专业社会组织服务</w:t>
      </w:r>
      <w:r>
        <w:rPr>
          <w:rFonts w:hint="eastAsia"/>
          <w:b w:val="0"/>
          <w:bCs w:val="0"/>
          <w:lang w:eastAsia="zh-CN"/>
        </w:rPr>
        <w:t>。</w:t>
      </w:r>
      <w:r>
        <w:rPr>
          <w:rFonts w:hint="eastAsia"/>
          <w:b w:val="0"/>
          <w:bCs w:val="0"/>
        </w:rPr>
        <w:t>优化社会组织发展环境，深化政社分开，按照“政府扶持、社会参与、专业运行、项目合作”的模式</w:t>
      </w:r>
      <w:r>
        <w:rPr>
          <w:rFonts w:hint="eastAsia"/>
          <w:b w:val="0"/>
          <w:bCs w:val="0"/>
          <w:lang w:eastAsia="zh-CN"/>
        </w:rPr>
        <w:t>，</w:t>
      </w:r>
      <w:r>
        <w:rPr>
          <w:rFonts w:hint="eastAsia"/>
          <w:b w:val="0"/>
          <w:bCs w:val="0"/>
        </w:rPr>
        <w:t>发挥已经建成的区级和街道社会组织孵化中心等枢纽型社会组织的作用，向全区所有镇街、社区（村）逐步延伸，</w:t>
      </w:r>
      <w:r>
        <w:rPr>
          <w:rFonts w:hint="eastAsia"/>
          <w:b w:val="0"/>
          <w:bCs w:val="0"/>
          <w:lang w:eastAsia="zh-CN"/>
        </w:rPr>
        <w:t>积极发展文明引导、心理服务、矛盾调处等参与治理型社区社会组织，</w:t>
      </w:r>
      <w:r>
        <w:rPr>
          <w:rFonts w:hint="eastAsia"/>
          <w:b w:val="0"/>
          <w:bCs w:val="0"/>
        </w:rPr>
        <w:t>努力构筑区、</w:t>
      </w:r>
      <w:r>
        <w:rPr>
          <w:rFonts w:hint="eastAsia"/>
          <w:b w:val="0"/>
          <w:bCs w:val="0"/>
          <w:lang w:eastAsia="zh-CN"/>
        </w:rPr>
        <w:t>镇街</w:t>
      </w:r>
      <w:r>
        <w:rPr>
          <w:rFonts w:hint="eastAsia"/>
          <w:b w:val="0"/>
          <w:bCs w:val="0"/>
        </w:rPr>
        <w:t>、</w:t>
      </w:r>
      <w:r>
        <w:rPr>
          <w:rFonts w:hint="eastAsia"/>
          <w:b w:val="0"/>
          <w:bCs w:val="0"/>
          <w:lang w:eastAsia="zh-CN"/>
        </w:rPr>
        <w:t>社区（村）</w:t>
      </w:r>
      <w:r>
        <w:rPr>
          <w:rFonts w:hint="eastAsia"/>
          <w:b w:val="0"/>
          <w:bCs w:val="0"/>
        </w:rPr>
        <w:t>三级社会组织服务</w:t>
      </w:r>
      <w:bookmarkEnd w:id="144"/>
      <w:bookmarkStart w:id="145" w:name="_Toc49455848"/>
      <w:bookmarkStart w:id="146" w:name="_Toc49455849"/>
      <w:bookmarkStart w:id="147" w:name="_Toc76488153"/>
      <w:r>
        <w:rPr>
          <w:rFonts w:hint="eastAsia"/>
          <w:b w:val="0"/>
          <w:bCs w:val="0"/>
          <w:lang w:eastAsia="zh-CN"/>
        </w:rPr>
        <w:t>体系。</w:t>
      </w:r>
    </w:p>
    <w:p>
      <w:pPr>
        <w:pStyle w:val="4"/>
        <w:spacing w:line="560" w:lineRule="exact"/>
        <w:rPr>
          <w:b w:val="0"/>
          <w:bCs w:val="0"/>
        </w:rPr>
      </w:pPr>
      <w:r>
        <w:rPr>
          <w:rFonts w:hint="eastAsia" w:hAnsi="仿宋_GB2312" w:cs="仿宋_GB2312"/>
        </w:rPr>
        <w:t>（二）推进社会工作协同治理</w:t>
      </w:r>
      <w:bookmarkEnd w:id="145"/>
      <w:r>
        <w:rPr>
          <w:rFonts w:hint="eastAsia" w:hAnsi="仿宋_GB2312" w:cs="仿宋_GB2312"/>
        </w:rPr>
        <w:t>。</w:t>
      </w:r>
      <w:r>
        <w:rPr>
          <w:rFonts w:hint="eastAsia"/>
          <w:b w:val="0"/>
          <w:bCs w:val="0"/>
        </w:rPr>
        <w:t>深化推动社会组织、社区、社会工作者“三社联动”有序参与基层社会治理，进一步强化社区为本的发展策略。深入探索以社会工作者为主的“三师一员”（律师、心理咨询师、社会工作师、人民调解员）信访工作队伍、“三师一团”（律师、心理咨询师、社会工作师、百姓评理团）家事审判社会工作服务模式、“医护工作者+社会工作者+志愿者”的精神卫生服务模式等创新型社会工作协同治理模式。</w:t>
      </w:r>
    </w:p>
    <w:p>
      <w:pPr>
        <w:pStyle w:val="4"/>
        <w:spacing w:line="560" w:lineRule="exact"/>
        <w:rPr>
          <w:b w:val="0"/>
          <w:bCs w:val="0"/>
          <w:highlight w:val="none"/>
        </w:rPr>
      </w:pPr>
      <w:r>
        <w:rPr>
          <w:rFonts w:hint="eastAsia" w:hAnsi="仿宋_GB2312" w:cs="仿宋_GB2312"/>
        </w:rPr>
        <w:t>（三）深化专业社工人才队伍建设。</w:t>
      </w:r>
      <w:r>
        <w:rPr>
          <w:rFonts w:hint="eastAsia"/>
          <w:b w:val="0"/>
          <w:bCs w:val="0"/>
        </w:rPr>
        <w:t>加强和改进社区工作者队伍建设，建立健全社工管理制度，全面规范社工待遇，不断提升能力素质，畅通社工职业上升通道。进一步规范区、镇街、社区（村）社工岗位职责和业务范围，规范社工岗位管理、业绩考核标准和借调选任程序，进一步探索社工职业化发展和晋升渠道。全区新招社区工作者原则上实现100%大专及以上学历，本科以上学历社工占比达50%，取得国家社会工作者职业水平证书的社工占比不低于40%，社区工作者一线工作比率不低于80%，</w:t>
      </w:r>
      <w:r>
        <w:rPr>
          <w:rFonts w:hint="eastAsia"/>
          <w:b w:val="0"/>
          <w:bCs w:val="0"/>
          <w:highlight w:val="none"/>
        </w:rPr>
        <w:t>社会工作专业服务机构50个。</w:t>
      </w:r>
    </w:p>
    <w:p>
      <w:pPr>
        <w:pStyle w:val="4"/>
        <w:spacing w:line="560" w:lineRule="exact"/>
        <w:rPr>
          <w:b w:val="0"/>
          <w:bCs w:val="0"/>
        </w:rPr>
      </w:pPr>
      <w:r>
        <w:rPr>
          <w:rFonts w:hint="eastAsia" w:hAnsi="仿宋_GB2312" w:cs="仿宋_GB2312"/>
        </w:rPr>
        <w:t>（四）</w:t>
      </w:r>
      <w:bookmarkStart w:id="148" w:name="_Toc76488152"/>
      <w:r>
        <w:rPr>
          <w:rFonts w:hint="eastAsia" w:hAnsi="仿宋_GB2312" w:cs="仿宋_GB2312"/>
        </w:rPr>
        <w:t>大力发展志愿服务。</w:t>
      </w:r>
      <w:r>
        <w:rPr>
          <w:rFonts w:hint="eastAsia" w:hAnsi="仿宋_GB2312" w:cs="仿宋_GB2312"/>
          <w:b w:val="0"/>
          <w:bCs w:val="0"/>
        </w:rPr>
        <w:t>进一步拓展社会动员平台和渠道，健全社会动员和志愿服务的领导体制和工作机制。规范志愿服务组织管理、志愿服务活动开展和志愿服务记录与证明出具。在民生保障、社区治理、应急救援等领域培育发展一批专业志愿服务队伍，推进志愿服务领域品牌建设，吸引城乡居民广泛参与志愿服务，</w:t>
      </w:r>
      <w:r>
        <w:rPr>
          <w:rFonts w:hint="eastAsia"/>
          <w:b w:val="0"/>
          <w:bCs w:val="0"/>
        </w:rPr>
        <w:t>并在全区开展禁毒、司法矫正、残疾人、老年人和青少年等志愿服务。社会领域备案和注册志愿者新增3000人以上，社会领域志愿服务时长总计不低于30万小时。动员社会力量开展的服务项目不少于75个，服务场次累计不低于400场，受益群众不少于5万人。</w:t>
      </w:r>
      <w:bookmarkEnd w:id="148"/>
    </w:p>
    <w:bookmarkEnd w:id="146"/>
    <w:bookmarkEnd w:id="147"/>
    <w:p>
      <w:pPr>
        <w:pStyle w:val="3"/>
        <w:spacing w:line="560" w:lineRule="exact"/>
      </w:pPr>
      <w:bookmarkStart w:id="149" w:name="_Toc49455855"/>
      <w:bookmarkStart w:id="150" w:name="_Toc77367979"/>
      <w:bookmarkStart w:id="151" w:name="_Toc76488154"/>
      <w:r>
        <w:rPr>
          <w:rFonts w:hint="eastAsia"/>
        </w:rPr>
        <w:t>六、提高治理效能，加快推进法治社会建设</w:t>
      </w:r>
      <w:bookmarkEnd w:id="149"/>
      <w:bookmarkEnd w:id="150"/>
      <w:bookmarkEnd w:id="151"/>
    </w:p>
    <w:p>
      <w:pPr>
        <w:pStyle w:val="4"/>
        <w:spacing w:line="560" w:lineRule="exact"/>
        <w:rPr>
          <w:b w:val="0"/>
          <w:bCs w:val="0"/>
        </w:rPr>
      </w:pPr>
      <w:bookmarkStart w:id="152" w:name="_Toc49455856"/>
      <w:bookmarkStart w:id="153" w:name="_Toc76488155"/>
      <w:r>
        <w:rPr>
          <w:rFonts w:hint="eastAsia"/>
        </w:rPr>
        <w:t>（一）营造法治社会氛围</w:t>
      </w:r>
      <w:bookmarkEnd w:id="152"/>
      <w:r>
        <w:rPr>
          <w:rFonts w:hint="eastAsia"/>
        </w:rPr>
        <w:t>。</w:t>
      </w:r>
      <w:r>
        <w:rPr>
          <w:rFonts w:hint="eastAsia"/>
          <w:b w:val="0"/>
          <w:bCs w:val="0"/>
        </w:rPr>
        <w:t>严格规范公正文明执法司法，完善执法司法权力运行机制和管理监督制约体系。落实“谁执法谁普法”普法责任制，完善分业、分类、分众法治宣传教育机制。大力开展法律援助线上办理模式，建成覆盖全域、便捷高效、普惠均等的全区公共法律服务平台。持续加强村居法律顾问工作，积极发挥律师作用参与基层依法治理工作，从源头上提升基层依法行政、依法办事能力和水平，引导群众依法表达诉求、解决纠纷、维护权益。</w:t>
      </w:r>
      <w:bookmarkEnd w:id="153"/>
    </w:p>
    <w:p>
      <w:pPr>
        <w:pStyle w:val="4"/>
        <w:spacing w:line="560" w:lineRule="exact"/>
        <w:rPr>
          <w:b w:val="0"/>
          <w:bCs w:val="0"/>
        </w:rPr>
      </w:pPr>
      <w:bookmarkStart w:id="154" w:name="_Toc49455857"/>
      <w:bookmarkStart w:id="155" w:name="_Toc76488156"/>
      <w:r>
        <w:rPr>
          <w:rFonts w:hint="eastAsia"/>
        </w:rPr>
        <w:t>（二）发挥德治导向作用</w:t>
      </w:r>
      <w:bookmarkEnd w:id="154"/>
      <w:r>
        <w:rPr>
          <w:rFonts w:hint="eastAsia"/>
        </w:rPr>
        <w:t>。</w:t>
      </w:r>
      <w:r>
        <w:rPr>
          <w:rFonts w:hint="eastAsia"/>
          <w:b w:val="0"/>
          <w:bCs w:val="0"/>
        </w:rPr>
        <w:t>全面推进密云区新时代文明实践中心建设，把社会主义核心价值观融入法治建设和社会治理，充分挖掘密云区优秀文化资源，深入实施公民道德建设工程，创新基层“道德评议会”等平台，开展“身边好人”系列宣传活动，弘扬公序良俗。全区所有社区、村以生态优先、绿色发展为重点，</w:t>
      </w:r>
      <w:r>
        <w:rPr>
          <w:rFonts w:hint="eastAsia"/>
          <w:b w:val="0"/>
          <w:bCs w:val="0"/>
          <w:lang w:eastAsia="zh-CN"/>
        </w:rPr>
        <w:t>以</w:t>
      </w:r>
      <w:r>
        <w:rPr>
          <w:rFonts w:hint="eastAsia"/>
          <w:b w:val="0"/>
          <w:bCs w:val="0"/>
        </w:rPr>
        <w:t>维护公共秩序、保障群众权益、调解群众纠纷、引导民风民俗等</w:t>
      </w:r>
      <w:r>
        <w:rPr>
          <w:rFonts w:hint="eastAsia"/>
          <w:b w:val="0"/>
          <w:bCs w:val="0"/>
          <w:lang w:eastAsia="zh-CN"/>
        </w:rPr>
        <w:t>为</w:t>
      </w:r>
      <w:r>
        <w:rPr>
          <w:rFonts w:hint="eastAsia"/>
          <w:b w:val="0"/>
          <w:bCs w:val="0"/>
        </w:rPr>
        <w:t>内容，针对社区停车、垃圾分类、噪音扰民等重点问题</w:t>
      </w:r>
      <w:r>
        <w:rPr>
          <w:rFonts w:hint="eastAsia"/>
          <w:b w:val="0"/>
          <w:bCs w:val="0"/>
          <w:lang w:eastAsia="zh-CN"/>
        </w:rPr>
        <w:t>建立村规民约（居民</w:t>
      </w:r>
      <w:r>
        <w:rPr>
          <w:rFonts w:hint="eastAsia"/>
          <w:b w:val="0"/>
          <w:bCs w:val="0"/>
        </w:rPr>
        <w:t>公约</w:t>
      </w:r>
      <w:r>
        <w:rPr>
          <w:rFonts w:hint="eastAsia"/>
          <w:b w:val="0"/>
          <w:bCs w:val="0"/>
          <w:lang w:eastAsia="zh-CN"/>
        </w:rPr>
        <w:t>）</w:t>
      </w:r>
      <w:r>
        <w:rPr>
          <w:rFonts w:hint="eastAsia"/>
          <w:b w:val="0"/>
          <w:bCs w:val="0"/>
        </w:rPr>
        <w:t>，以德治社区持续推进生态密云和美丽乡村建设。健全守信联合激励和失信联合惩戒机制，创新“信用社区”“诚信居民”等载体，将广泛认同、操作性强的道德观念及时上升为共同遵守的行为准则。</w:t>
      </w:r>
      <w:bookmarkEnd w:id="155"/>
    </w:p>
    <w:p>
      <w:pPr>
        <w:pStyle w:val="4"/>
        <w:spacing w:line="560" w:lineRule="exact"/>
        <w:rPr>
          <w:b w:val="0"/>
          <w:bCs w:val="0"/>
        </w:rPr>
      </w:pPr>
      <w:bookmarkStart w:id="156" w:name="_Toc49455858"/>
      <w:bookmarkStart w:id="157" w:name="_Toc76488157"/>
      <w:r>
        <w:rPr>
          <w:rFonts w:hint="eastAsia"/>
        </w:rPr>
        <w:t>（三）培育健康社会心态</w:t>
      </w:r>
      <w:bookmarkEnd w:id="156"/>
      <w:r>
        <w:rPr>
          <w:rFonts w:hint="eastAsia"/>
        </w:rPr>
        <w:t>。</w:t>
      </w:r>
      <w:r>
        <w:rPr>
          <w:rFonts w:hint="eastAsia"/>
          <w:b w:val="0"/>
          <w:bCs w:val="0"/>
        </w:rPr>
        <w:t>立足于密云区保水、护山、守规、兴城的区域发展重任，广泛宣传区域生态治理协作和水源保护的重要意义，积极依靠“两山理论”指导、团结带领村民养好山、护好水，过上好日子，引导全区群众社会心态找到最大公约数。与此同时，培育积极健康的社会心态。把培育社会主义核心价值观落实到经济社会发展实践中，落实到全区人民齐心协力争创国家生态文明先行示范区、特色文化旅游休闲及创新发展示范区的行动中。充分发挥新闻媒体传播社会主流价值观的主渠道作用，积极打造健康向上的精神文化产品，通过区、镇街、社区（村）三级公共文化服务设施改造提升等措施，在全区培育健康社会心态。</w:t>
      </w:r>
      <w:bookmarkEnd w:id="157"/>
    </w:p>
    <w:p>
      <w:pPr>
        <w:pStyle w:val="3"/>
        <w:spacing w:line="560" w:lineRule="exact"/>
      </w:pPr>
      <w:bookmarkStart w:id="158" w:name="_Toc49455865"/>
      <w:bookmarkStart w:id="159" w:name="_Toc77367980"/>
      <w:bookmarkStart w:id="160" w:name="_Toc76488158"/>
      <w:r>
        <w:rPr>
          <w:rFonts w:hint="eastAsia"/>
        </w:rPr>
        <w:t>七、强化科技支撑，提升智能化精细化水平</w:t>
      </w:r>
      <w:bookmarkEnd w:id="158"/>
      <w:bookmarkEnd w:id="159"/>
      <w:bookmarkEnd w:id="160"/>
    </w:p>
    <w:p>
      <w:pPr>
        <w:pStyle w:val="4"/>
        <w:spacing w:line="560" w:lineRule="exact"/>
        <w:rPr>
          <w:b w:val="0"/>
          <w:bCs w:val="0"/>
        </w:rPr>
      </w:pPr>
      <w:bookmarkStart w:id="161" w:name="_Toc49455866"/>
      <w:bookmarkStart w:id="162" w:name="_Toc76488159"/>
      <w:r>
        <w:rPr>
          <w:rFonts w:hint="eastAsia" w:hAnsi="仿宋_GB2312" w:cs="仿宋_GB2312"/>
        </w:rPr>
        <w:t>（一）加强对社会治理大数据平台的管理和使用</w:t>
      </w:r>
      <w:bookmarkEnd w:id="161"/>
      <w:r>
        <w:rPr>
          <w:rFonts w:hint="eastAsia" w:hAnsi="仿宋_GB2312" w:cs="仿宋_GB2312"/>
        </w:rPr>
        <w:t>。</w:t>
      </w:r>
      <w:r>
        <w:rPr>
          <w:rFonts w:hint="eastAsia"/>
          <w:b w:val="0"/>
          <w:bCs w:val="0"/>
        </w:rPr>
        <w:t>进一步推动落实《中共北京市委 北京市人民政府关于加强城市精细化管理工作的意见》，加强城市精细化管理，整合好、运用好、管理好城市保障、城市运行、公共安全等相关平台和业务系统数据，逐步形成城市管理领域大数据共建共享机制。按照“统一标准、统一流程、同一平台、统一数据、统一管理”原则，通过与市级网格化城市管理平台对</w:t>
      </w:r>
      <w:r>
        <w:rPr>
          <w:rFonts w:hint="eastAsia"/>
          <w:b w:val="0"/>
          <w:bCs w:val="0"/>
          <w:lang w:eastAsia="zh-CN"/>
        </w:rPr>
        <w:t>标对</w:t>
      </w:r>
      <w:r>
        <w:rPr>
          <w:rFonts w:hint="eastAsia"/>
          <w:b w:val="0"/>
          <w:bCs w:val="0"/>
        </w:rPr>
        <w:t>表，加强区、街道（乡镇）两级网格化城市管理云平台管理，加快组建与城市管理相适应的城管监督员队伍，探索将管理范围拓展至农村公共管理区域，逐步实现网格全覆盖。</w:t>
      </w:r>
      <w:bookmarkEnd w:id="162"/>
    </w:p>
    <w:p>
      <w:pPr>
        <w:pStyle w:val="4"/>
        <w:spacing w:line="560" w:lineRule="exact"/>
        <w:rPr>
          <w:b w:val="0"/>
          <w:bCs w:val="0"/>
        </w:rPr>
      </w:pPr>
      <w:bookmarkStart w:id="163" w:name="_Toc49455867"/>
      <w:bookmarkStart w:id="164" w:name="_Toc76488160"/>
      <w:r>
        <w:rPr>
          <w:rFonts w:hint="eastAsia" w:hAnsi="仿宋_GB2312" w:cs="仿宋_GB2312"/>
        </w:rPr>
        <w:t>（二）拓宽社情民意沟通渠道</w:t>
      </w:r>
      <w:bookmarkEnd w:id="163"/>
      <w:r>
        <w:rPr>
          <w:rFonts w:hint="eastAsia" w:hAnsi="仿宋_GB2312" w:cs="仿宋_GB2312"/>
        </w:rPr>
        <w:t>。</w:t>
      </w:r>
      <w:r>
        <w:rPr>
          <w:rFonts w:hint="eastAsia"/>
          <w:b w:val="0"/>
          <w:bCs w:val="0"/>
        </w:rPr>
        <w:t>创新党的群众工作方法，拓宽沟通渠道，探索一条富有密云特色的新时代党的群众路线。拓宽信息收集渠道，通过驻区党组织和在职党员“双报到”、街道干部任街巷长</w:t>
      </w:r>
      <w:r>
        <w:rPr>
          <w:rFonts w:hint="eastAsia"/>
          <w:b w:val="0"/>
          <w:bCs w:val="0"/>
          <w:lang w:eastAsia="zh-CN"/>
        </w:rPr>
        <w:t>下</w:t>
      </w:r>
      <w:r>
        <w:rPr>
          <w:rFonts w:hint="eastAsia"/>
          <w:b w:val="0"/>
          <w:bCs w:val="0"/>
        </w:rPr>
        <w:t>沉到基层“报到”、驻村第一书记等渠道，采取约谈、访谈、座谈等方式搜集群众意见和建议。创新探索社区服务和民情表达的小程序，推广密云区果园街道党建引领社区治理服务平台的经验，进一步升级“互联网+社情民意”平台，收集处理群众利益诉求信息，化解党群干群矛盾，防范化解社会风险。</w:t>
      </w:r>
      <w:bookmarkEnd w:id="164"/>
    </w:p>
    <w:p>
      <w:pPr>
        <w:pStyle w:val="4"/>
        <w:spacing w:line="560" w:lineRule="exact"/>
        <w:rPr>
          <w:b w:val="0"/>
          <w:bCs w:val="0"/>
        </w:rPr>
      </w:pPr>
      <w:bookmarkStart w:id="165" w:name="_Toc49455868"/>
      <w:bookmarkStart w:id="166" w:name="_Toc76488161"/>
      <w:r>
        <w:rPr>
          <w:rFonts w:hint="eastAsia" w:hAnsi="仿宋_GB2312" w:cs="仿宋_GB2312"/>
        </w:rPr>
        <w:t>（三）提升精细化服务管理水平</w:t>
      </w:r>
      <w:bookmarkEnd w:id="165"/>
      <w:r>
        <w:rPr>
          <w:rFonts w:hint="eastAsia" w:hAnsi="仿宋_GB2312" w:cs="仿宋_GB2312"/>
        </w:rPr>
        <w:t>。</w:t>
      </w:r>
      <w:r>
        <w:rPr>
          <w:rFonts w:hint="eastAsia"/>
          <w:b w:val="0"/>
          <w:bCs w:val="0"/>
        </w:rPr>
        <w:t>以全区人民的需求为工作目标，把“人民对美好生活的向往”落实到工作中去，以“绣花功夫”做好城市精细化管理，严格落实近年来北京市发布的城市管理与公共服务、农业、服务业、工程建设、公共安全等多个领域的地方标准，以全面支撑海绵城市建设，推动交通综合治理。通过实施“四好农村路”建设、老旧小区改造、水库一级区污水设施提质改造工程等项目，进一步完善基础设施，改善群众出行和居住环境。认真落实《物业管理条例》《生活垃圾分类条例》，组织开展好两个条例执法检查，加大普法力度，严格法规执行，依法抓好“关键小事”，提高城市精细化管理水平。</w:t>
      </w:r>
      <w:bookmarkEnd w:id="166"/>
    </w:p>
    <w:p>
      <w:pPr>
        <w:pStyle w:val="3"/>
        <w:spacing w:line="560" w:lineRule="exact"/>
        <w:rPr>
          <w:rFonts w:ascii="仿宋_GB2312" w:hAnsi="仿宋_GB2312" w:eastAsia="仿宋_GB2312" w:cs="仿宋_GB2312"/>
        </w:rPr>
      </w:pPr>
      <w:bookmarkStart w:id="167" w:name="_Toc13929"/>
      <w:bookmarkStart w:id="168" w:name="_Toc2074"/>
      <w:bookmarkStart w:id="169" w:name="_Toc27153"/>
      <w:bookmarkStart w:id="170" w:name="_Toc29126"/>
      <w:bookmarkStart w:id="171" w:name="_Toc730"/>
      <w:bookmarkStart w:id="172" w:name="_Toc445132786"/>
      <w:bookmarkStart w:id="173" w:name="_Toc18086"/>
      <w:bookmarkStart w:id="174" w:name="_Toc7016"/>
      <w:bookmarkStart w:id="175" w:name="_Toc439083875"/>
      <w:bookmarkStart w:id="176" w:name="_Toc17884"/>
      <w:bookmarkStart w:id="177" w:name="_Toc10119"/>
      <w:bookmarkStart w:id="178" w:name="_Toc25280"/>
      <w:bookmarkStart w:id="179" w:name="_Toc76488162"/>
      <w:bookmarkStart w:id="180" w:name="_Toc2778"/>
      <w:bookmarkStart w:id="181" w:name="_Toc77367981"/>
      <w:bookmarkStart w:id="182" w:name="_Toc49455869"/>
      <w:r>
        <w:rPr>
          <w:rFonts w:hint="eastAsia"/>
        </w:rPr>
        <w:t>八、</w:t>
      </w:r>
      <w:bookmarkEnd w:id="167"/>
      <w:bookmarkEnd w:id="168"/>
      <w:bookmarkEnd w:id="169"/>
      <w:bookmarkEnd w:id="170"/>
      <w:bookmarkEnd w:id="171"/>
      <w:bookmarkEnd w:id="172"/>
      <w:bookmarkEnd w:id="173"/>
      <w:bookmarkEnd w:id="174"/>
      <w:bookmarkEnd w:id="175"/>
      <w:bookmarkEnd w:id="176"/>
      <w:bookmarkEnd w:id="177"/>
      <w:r>
        <w:rPr>
          <w:rFonts w:hint="eastAsia"/>
        </w:rPr>
        <w:t>建立健全帮扶体系，织好民生保障安全网</w:t>
      </w:r>
      <w:bookmarkEnd w:id="178"/>
      <w:bookmarkEnd w:id="179"/>
      <w:bookmarkEnd w:id="180"/>
      <w:bookmarkEnd w:id="181"/>
      <w:bookmarkEnd w:id="182"/>
    </w:p>
    <w:p>
      <w:pPr>
        <w:pStyle w:val="4"/>
        <w:spacing w:line="560" w:lineRule="exact"/>
        <w:rPr>
          <w:b w:val="0"/>
          <w:bCs w:val="0"/>
        </w:rPr>
      </w:pPr>
      <w:bookmarkStart w:id="183" w:name="_Toc76488163"/>
      <w:r>
        <w:rPr>
          <w:rFonts w:hint="eastAsia" w:hAnsi="仿宋_GB2312" w:cs="仿宋_GB2312"/>
        </w:rPr>
        <w:t>（一）探索建立“党建+社会救助”新模式。</w:t>
      </w:r>
      <w:r>
        <w:rPr>
          <w:rFonts w:hint="eastAsia"/>
          <w:b w:val="0"/>
          <w:bCs w:val="0"/>
        </w:rPr>
        <w:t>加强党对社会救助工作的全面领导，落实基层党组织社会救助责任，积极探索基层党建与社会救助业务深度融合的结合点、切入点和着力点。通过抓党建，引领社会救助发展、促进困难群众兜底保障，充分发挥各级党组织作用，强化政策落实，从根本上打通社会救助政策的“最后一公里”，不断增强困难群众的获得感、幸福感、安全感。</w:t>
      </w:r>
      <w:bookmarkEnd w:id="183"/>
    </w:p>
    <w:p>
      <w:pPr>
        <w:pStyle w:val="4"/>
        <w:spacing w:line="560" w:lineRule="exact"/>
        <w:rPr>
          <w:b w:val="0"/>
          <w:bCs w:val="0"/>
        </w:rPr>
      </w:pPr>
      <w:bookmarkStart w:id="184" w:name="_Toc76488164"/>
      <w:r>
        <w:rPr>
          <w:rFonts w:hint="eastAsia" w:hAnsi="仿宋_GB2312" w:cs="仿宋_GB2312"/>
        </w:rPr>
        <w:t>（二）全面建立分层分类的社会救助制度体系。</w:t>
      </w:r>
      <w:r>
        <w:rPr>
          <w:rFonts w:hint="eastAsia"/>
          <w:b w:val="0"/>
          <w:bCs w:val="0"/>
        </w:rPr>
        <w:t>建立健全以基本生活救助、专项社会救助、急难社会救助为主体、社会力量参与为补充，分层分类的社会救助制度体系。严格落实低保、特困和低收入家庭认定办法，着力完善特困人员救助供养制度和定期摸排制度。完善急难社会救助，建立主动发现机制，畅通急难社会救助申请和急难情况及时报告、主动发现渠道，建立健全快速响应、个案会商“救急难”工作机制。完善临时救助政策措施，采取“跟进救助”“一次审批、分阶段救助”等方式，增强救助时效性。持续提高基本生活救助标准，降低救助门槛，适当扩大救助范围，社会救助资金支出保持适度增长，切实发挥民生保障兜底功能。加强专业社会工作服务，帮助救助对象构建家庭和社会支持网络，积极发展服务类社会救助。有集中供养需求的特困对象集中供养率达到100%。</w:t>
      </w:r>
      <w:bookmarkEnd w:id="184"/>
    </w:p>
    <w:p>
      <w:pPr>
        <w:pStyle w:val="4"/>
        <w:spacing w:line="560" w:lineRule="exact"/>
        <w:rPr>
          <w:b w:val="0"/>
          <w:bCs w:val="0"/>
        </w:rPr>
      </w:pPr>
      <w:bookmarkStart w:id="185" w:name="_Toc76488165"/>
      <w:r>
        <w:rPr>
          <w:rFonts w:hint="eastAsia" w:hAnsi="仿宋_GB2312" w:cs="仿宋_GB2312"/>
        </w:rPr>
        <w:t>（三）加快管理服务转型升级。</w:t>
      </w:r>
      <w:r>
        <w:rPr>
          <w:rFonts w:hint="eastAsia"/>
          <w:b w:val="0"/>
          <w:bCs w:val="0"/>
        </w:rPr>
        <w:t>深化“放管服”要求，提升社会救助审批效率，充分发挥镇街、社区</w:t>
      </w:r>
      <w:r>
        <w:rPr>
          <w:rFonts w:hint="eastAsia"/>
          <w:b w:val="0"/>
          <w:bCs w:val="0"/>
          <w:lang w:eastAsia="zh-CN"/>
        </w:rPr>
        <w:t>（</w:t>
      </w:r>
      <w:r>
        <w:rPr>
          <w:rFonts w:hint="eastAsia"/>
          <w:b w:val="0"/>
          <w:bCs w:val="0"/>
        </w:rPr>
        <w:t>村</w:t>
      </w:r>
      <w:r>
        <w:rPr>
          <w:rFonts w:hint="eastAsia"/>
          <w:b w:val="0"/>
          <w:bCs w:val="0"/>
          <w:lang w:eastAsia="zh-CN"/>
        </w:rPr>
        <w:t>）</w:t>
      </w:r>
      <w:r>
        <w:rPr>
          <w:rFonts w:hint="eastAsia"/>
          <w:b w:val="0"/>
          <w:bCs w:val="0"/>
        </w:rPr>
        <w:t>熟悉和了解困难群众的优势，将社会救助审核确认权限下放到镇街实施，完善“一门受理、协同办理”机制，确保社会救助审批更贴近基层、更符合实际。强化地方党委和政府属地管理责任，打破户籍限制，全面实施“一网通办、全城通办”。做好重大疫情等突发公共事件困难群众急难救助工作。加强救助资源整合链接，发挥困难群众基本生活保障工作协调机制作用，建立社会救助资源链接整合平台，强化社会救助与政府公共服务、两新组织公益服务的衔接，形成救助合力。加强现代信息技术应用，推动社会救助服务向移动端延伸，为困难群众提供方便快捷的救助事项申请、办理、查询等服务。全面摸排各类潜在困难群众信息，完善各类困难家庭的基本状况和经济状况，建立要素完备、信息联通、动态监管的困难群众信息数据库。</w:t>
      </w:r>
      <w:bookmarkEnd w:id="185"/>
    </w:p>
    <w:p>
      <w:pPr>
        <w:pStyle w:val="4"/>
        <w:spacing w:line="560" w:lineRule="exact"/>
        <w:rPr>
          <w:b w:val="0"/>
          <w:bCs w:val="0"/>
        </w:rPr>
      </w:pPr>
      <w:bookmarkStart w:id="186" w:name="_Toc76488166"/>
      <w:r>
        <w:rPr>
          <w:rFonts w:hint="eastAsia" w:hAnsi="仿宋_GB2312" w:cs="仿宋_GB2312"/>
        </w:rPr>
        <w:t>（四）完善精准救助服务体系。</w:t>
      </w:r>
      <w:r>
        <w:rPr>
          <w:rFonts w:hint="eastAsia"/>
          <w:b w:val="0"/>
          <w:bCs w:val="0"/>
        </w:rPr>
        <w:t>进一步完善精准救助服务体系，精准识别救助对象，确保低保救助“应保尽保、应退尽退”。精准实施救助政策，确保困难群众遇急有助、遇困有帮。持续开展精准救助服务项目，引入社会工作机构承接镇街困难群众救助服务所，实现社会化运营，完善区、镇街、社区（村）三级社会救助工作机构和协调联动救助帮扶体系，着力提升基层社会救助经办机构工作能力。加强精准救助服务项目管理，持续完善“服务+监管”项目运作形式，延长项目服务合同周期，增强项目管理和服务稳定性、持续性。坚持社会工作专业引领，开展入户走访、定期回访、需求评估等工作，为困难群众提供心理疏导、关系调适、社会融入、能力培养等个案帮扶服务，满足个性化救助需求，构建“物质+服务”的精准救助体系。</w:t>
      </w:r>
      <w:bookmarkEnd w:id="186"/>
    </w:p>
    <w:p>
      <w:pPr>
        <w:pStyle w:val="4"/>
        <w:spacing w:line="560" w:lineRule="exact"/>
        <w:rPr>
          <w:rFonts w:hAnsi="仿宋_GB2312" w:cs="仿宋_GB2312"/>
        </w:rPr>
      </w:pPr>
      <w:bookmarkStart w:id="187" w:name="_Toc76488167"/>
      <w:r>
        <w:rPr>
          <w:rFonts w:hint="eastAsia" w:hAnsi="仿宋_GB2312" w:cs="仿宋_GB2312"/>
        </w:rPr>
        <w:t>（五）强化社会救助监督管理。</w:t>
      </w:r>
      <w:r>
        <w:rPr>
          <w:rFonts w:hint="eastAsia"/>
          <w:b w:val="0"/>
          <w:bCs w:val="0"/>
        </w:rPr>
        <w:t>制定</w:t>
      </w:r>
      <w:r>
        <w:rPr>
          <w:rFonts w:hint="eastAsia"/>
          <w:b w:val="0"/>
          <w:bCs w:val="0"/>
          <w:lang w:eastAsia="zh-CN"/>
        </w:rPr>
        <w:t>《</w:t>
      </w:r>
      <w:r>
        <w:rPr>
          <w:rFonts w:hint="eastAsia"/>
          <w:b w:val="0"/>
          <w:bCs w:val="0"/>
        </w:rPr>
        <w:t>密云区社会救助工作监督管理办法</w:t>
      </w:r>
      <w:r>
        <w:rPr>
          <w:rFonts w:hint="eastAsia"/>
          <w:b w:val="0"/>
          <w:bCs w:val="0"/>
          <w:lang w:eastAsia="zh-CN"/>
        </w:rPr>
        <w:t>》</w:t>
      </w:r>
      <w:r>
        <w:rPr>
          <w:rFonts w:hint="eastAsia"/>
          <w:b w:val="0"/>
          <w:bCs w:val="0"/>
        </w:rPr>
        <w:t>，完善审查抽查、培训指导、行政执法等工作制度。实行困难家庭救助情况长期公示和网上公开，将信息公开范围从低保扩大到特困人员供养、教育救助、临时救助、采暖救助等范围。实施社会救助经办人员和村（社区）民委员会工作人员及其近亲属享受社会救助备案，严格核查管理，杜绝优亲厚友。加大执法检查力度，对骗取社会救助的违法行为，及时开展追缴和处罚。加强法治教育和培训，提高全体社会救助工作人员的法治理念和依法行政能力。</w:t>
      </w:r>
      <w:bookmarkEnd w:id="187"/>
    </w:p>
    <w:p>
      <w:pPr>
        <w:pStyle w:val="4"/>
        <w:spacing w:line="560" w:lineRule="exact"/>
        <w:rPr>
          <w:b w:val="0"/>
          <w:bCs w:val="0"/>
        </w:rPr>
      </w:pPr>
      <w:bookmarkStart w:id="188" w:name="_Toc49455874"/>
      <w:bookmarkStart w:id="189" w:name="_Toc76488168"/>
      <w:r>
        <w:rPr>
          <w:rFonts w:hint="eastAsia" w:hAnsi="仿宋_GB2312" w:cs="仿宋_GB2312"/>
        </w:rPr>
        <w:t>（六）</w:t>
      </w:r>
      <w:bookmarkEnd w:id="188"/>
      <w:bookmarkStart w:id="190" w:name="_Toc8628"/>
      <w:bookmarkStart w:id="191" w:name="_Toc16501"/>
      <w:r>
        <w:rPr>
          <w:rFonts w:hint="eastAsia" w:hAnsi="仿宋_GB2312" w:cs="仿宋_GB2312"/>
        </w:rPr>
        <w:t>加强流浪乞讨人员服务管理。</w:t>
      </w:r>
      <w:r>
        <w:rPr>
          <w:rFonts w:hint="eastAsia"/>
          <w:b w:val="0"/>
          <w:bCs w:val="0"/>
        </w:rPr>
        <w:t>加强和改进生活无着流浪乞讨人员救助管理，以救助寻亲为突破口，着力维护受助人员的根本权益，切实保障流浪乞讨人员人身安全和基本生活。优化救助管理机构运行规范，进一步提升生活无着</w:t>
      </w:r>
      <w:r>
        <w:rPr>
          <w:rFonts w:hint="eastAsia"/>
          <w:b w:val="0"/>
          <w:bCs w:val="0"/>
          <w:lang w:eastAsia="zh-CN"/>
        </w:rPr>
        <w:t>的</w:t>
      </w:r>
      <w:r>
        <w:rPr>
          <w:rFonts w:hint="eastAsia"/>
          <w:b w:val="0"/>
          <w:bCs w:val="0"/>
        </w:rPr>
        <w:t>流浪乞讨人员的照料服务、救助寻亲、街面巡查与转介等工作。完善源头治理和回归稳固机制，做好长期滞留人员落户安置工作，为符合条件人员落实社会保障政策。加强对流浪危重病人和精神病人的救助和管理，</w:t>
      </w:r>
      <w:r>
        <w:rPr>
          <w:rFonts w:hint="eastAsia"/>
          <w:b w:val="0"/>
          <w:bCs w:val="0"/>
          <w:lang w:val="zh-CN"/>
        </w:rPr>
        <w:t>按照“先救治、后救助”的原则及时收治有关流浪危重病人和精神病人，</w:t>
      </w:r>
      <w:r>
        <w:rPr>
          <w:rFonts w:hint="eastAsia"/>
          <w:b w:val="0"/>
          <w:bCs w:val="0"/>
        </w:rPr>
        <w:t>积极稳妥做好流浪危重病人和流浪精神病人救治工作。</w:t>
      </w:r>
      <w:r>
        <w:rPr>
          <w:rFonts w:hint="eastAsia"/>
          <w:b w:val="0"/>
          <w:bCs w:val="0"/>
          <w:lang w:val="zh-CN"/>
        </w:rPr>
        <w:t>通过政府购买服务的方式，鼓励和支持社会组织开展临时救助服务，通过直接或间接的方式为流浪乞讨人员提供社工干预、心理咨询、行为矫治、教育培训等工作，帮助流浪乞讨人员早日回归家庭和社会。</w:t>
      </w:r>
      <w:bookmarkEnd w:id="189"/>
    </w:p>
    <w:p>
      <w:pPr>
        <w:pStyle w:val="3"/>
        <w:spacing w:line="560" w:lineRule="exact"/>
      </w:pPr>
      <w:bookmarkStart w:id="192" w:name="_Toc49455875"/>
      <w:bookmarkStart w:id="193" w:name="_Toc76488169"/>
      <w:bookmarkStart w:id="194" w:name="_Toc77367982"/>
      <w:r>
        <w:rPr>
          <w:rFonts w:hint="eastAsia"/>
        </w:rPr>
        <w:t>九</w:t>
      </w:r>
      <w:r>
        <w:t>、</w:t>
      </w:r>
      <w:r>
        <w:rPr>
          <w:rFonts w:hint="eastAsia"/>
        </w:rPr>
        <w:t>完善</w:t>
      </w:r>
      <w:r>
        <w:t>养老服务体系</w:t>
      </w:r>
      <w:bookmarkEnd w:id="190"/>
      <w:bookmarkEnd w:id="191"/>
      <w:bookmarkEnd w:id="192"/>
      <w:r>
        <w:rPr>
          <w:rFonts w:hint="eastAsia"/>
        </w:rPr>
        <w:t>，夯实养老服务根基</w:t>
      </w:r>
      <w:bookmarkEnd w:id="193"/>
      <w:bookmarkEnd w:id="194"/>
    </w:p>
    <w:p>
      <w:pPr>
        <w:pStyle w:val="4"/>
        <w:spacing w:line="560" w:lineRule="exact"/>
        <w:rPr>
          <w:b w:val="0"/>
          <w:bCs w:val="0"/>
          <w:lang w:val="zh-CN"/>
        </w:rPr>
      </w:pPr>
      <w:bookmarkStart w:id="195" w:name="_Toc49455876"/>
      <w:bookmarkStart w:id="196" w:name="_Toc76488170"/>
      <w:r>
        <w:rPr>
          <w:rFonts w:hint="eastAsia"/>
        </w:rPr>
        <w:t>（一）健全基本养老服务制度</w:t>
      </w:r>
      <w:bookmarkEnd w:id="195"/>
      <w:r>
        <w:rPr>
          <w:rFonts w:hint="eastAsia"/>
        </w:rPr>
        <w:t>。</w:t>
      </w:r>
      <w:bookmarkStart w:id="197" w:name="_Toc49455877"/>
      <w:r>
        <w:rPr>
          <w:rFonts w:hint="eastAsia"/>
          <w:b w:val="0"/>
          <w:bCs w:val="0"/>
          <w:lang w:val="zh-CN"/>
        </w:rPr>
        <w:t>加强公办养老机构建设，实施镇敬老院改造提升工程，按照“村地区管”思路，通过集体建设用地保障乡镇养老设施用地，由市政府固定资产投资按规定给予支持。落实新建城区、居住小区按照人均不少于0.1平方米的标准配建养老服务设施，稳步提高护理型床位占比。制定基本养老服务对象服务清单、保障标准，建立数据动态管理机制。对为基本养老服务对象提供就近长期照护服务的养老服务机构，统一服务标准和扶持政策。制定失智、无子女老年人照护支持政策。在有条件的农村地区建立集中供养服务机制，在满足特困人员集中供养需求的前提下，逐步为农村低保、低收入家庭和建档立卡贫困家庭中的老年人，提供低偿或无偿的集中托养服务。预留不少于2%的养老床位，用于突发公共事件应急处置。</w:t>
      </w:r>
      <w:bookmarkEnd w:id="196"/>
    </w:p>
    <w:p>
      <w:pPr>
        <w:pStyle w:val="4"/>
        <w:spacing w:line="560" w:lineRule="exact"/>
        <w:rPr>
          <w:b w:val="0"/>
          <w:bCs w:val="0"/>
          <w:lang w:val="zh-CN"/>
        </w:rPr>
      </w:pPr>
      <w:bookmarkStart w:id="198" w:name="_Toc76488171"/>
      <w:r>
        <w:rPr>
          <w:rFonts w:hint="eastAsia"/>
        </w:rPr>
        <w:t>（二）完善“三边四级”养老服务体系</w:t>
      </w:r>
      <w:bookmarkEnd w:id="197"/>
      <w:r>
        <w:rPr>
          <w:rFonts w:hint="eastAsia"/>
        </w:rPr>
        <w:t>。</w:t>
      </w:r>
      <w:r>
        <w:rPr>
          <w:rFonts w:hint="eastAsia"/>
          <w:b w:val="0"/>
          <w:bCs w:val="0"/>
          <w:lang w:val="zh-CN"/>
        </w:rPr>
        <w:t>全面建成以居家为基础、社区为依托、机构为补充、医养相结合，功能完善、规模适度、覆盖城乡的养老服务体系。强化镇街居家养老服务功能，在尚未建设养老照料中心的镇街和地区，鼓励引导社会力量投资新建或利用原有镇街社会福利中心，通过提升、完善拓展服务功能，建设养老照料中心，切实发挥综合辐射功能，为养老照料中心所在镇街辖区内的老年人提供多样化、个性化的居家养老服务项目。巩固邻里互助点试点成果，逐步扩大试点范围，增加服务对象和邻里互助点数量，优化完善邻里互助点与养老机构和幸福晚年驿站的转介联动服务机制，初步形成农村养老“以院统站，以站带点”的养老服务新格局，建设邻里互助点100个。</w:t>
      </w:r>
      <w:bookmarkEnd w:id="198"/>
    </w:p>
    <w:p>
      <w:pPr>
        <w:pStyle w:val="4"/>
        <w:spacing w:line="560" w:lineRule="exact"/>
        <w:rPr>
          <w:rFonts w:hint="eastAsia"/>
          <w:b w:val="0"/>
          <w:bCs w:val="0"/>
          <w:lang w:val="zh-CN"/>
        </w:rPr>
      </w:pPr>
      <w:bookmarkStart w:id="199" w:name="_Toc49455878"/>
      <w:bookmarkStart w:id="200" w:name="_Toc76488172"/>
      <w:r>
        <w:rPr>
          <w:rFonts w:hint="eastAsia"/>
        </w:rPr>
        <w:t>（三）构建多层次养老服务联合体</w:t>
      </w:r>
      <w:bookmarkEnd w:id="199"/>
      <w:r>
        <w:rPr>
          <w:rFonts w:hint="eastAsia"/>
        </w:rPr>
        <w:t>。</w:t>
      </w:r>
      <w:bookmarkStart w:id="201" w:name="_Toc49455879"/>
      <w:r>
        <w:rPr>
          <w:rFonts w:hint="eastAsia"/>
          <w:b w:val="0"/>
        </w:rPr>
        <w:t>加</w:t>
      </w:r>
      <w:r>
        <w:rPr>
          <w:rFonts w:hint="eastAsia"/>
          <w:b w:val="0"/>
          <w:bCs w:val="0"/>
          <w:lang w:val="zh-CN"/>
        </w:rPr>
        <w:t>强政策引导，积极鼓励社会资本投资建设养老服务设施，通过新建、扩建、改建、整合、置换或转变用途等方式，将现有闲置设施资源因地制宜改造成养老服务设施，全面提升我区社会养老服务能力，到2</w:t>
      </w:r>
      <w:r>
        <w:rPr>
          <w:b w:val="0"/>
          <w:bCs w:val="0"/>
          <w:lang w:val="zh-CN"/>
        </w:rPr>
        <w:t>025</w:t>
      </w:r>
      <w:r>
        <w:rPr>
          <w:rFonts w:hint="eastAsia"/>
          <w:b w:val="0"/>
          <w:bCs w:val="0"/>
          <w:lang w:val="zh-CN"/>
        </w:rPr>
        <w:t>年，千人养老床位指标达到</w:t>
      </w:r>
      <w:r>
        <w:rPr>
          <w:rFonts w:hint="eastAsia"/>
          <w:b w:val="0"/>
          <w:bCs w:val="0"/>
        </w:rPr>
        <w:t>10</w:t>
      </w:r>
      <w:r>
        <w:rPr>
          <w:rFonts w:hint="eastAsia"/>
          <w:b w:val="0"/>
          <w:bCs w:val="0"/>
          <w:lang w:val="zh-CN"/>
        </w:rPr>
        <w:t>张。着力打造区域养老服务联合体，实现养老照料中心、养老驿站间的互补协调配合，实现镇街域内各种养老服务的整合。重点围绕农村老年人医疗、生活照料、心理慰藉等现实需求，发展互助养老和志愿服务，为高龄、独居、空巢、失能老年人提供代买代缴、寻医送药、春种秋收等服务，不出村、不离乡解决农村养老服务设施供给、服务人员配置、专业服务提供等问题。到2025年80%的镇街建成区域养老服务联合体。</w:t>
      </w:r>
      <w:bookmarkEnd w:id="200"/>
      <w:bookmarkStart w:id="202" w:name="_Toc76488173"/>
    </w:p>
    <w:p>
      <w:pPr>
        <w:pStyle w:val="4"/>
        <w:spacing w:line="560" w:lineRule="exact"/>
        <w:rPr>
          <w:b w:val="0"/>
          <w:bCs w:val="0"/>
          <w:lang w:val="zh-CN"/>
        </w:rPr>
      </w:pPr>
      <w:r>
        <w:rPr>
          <w:rFonts w:hint="eastAsia"/>
        </w:rPr>
        <w:t>（四）加快补齐养老服务短板</w:t>
      </w:r>
      <w:bookmarkEnd w:id="201"/>
      <w:r>
        <w:rPr>
          <w:rFonts w:hint="eastAsia"/>
        </w:rPr>
        <w:t>。</w:t>
      </w:r>
      <w:bookmarkStart w:id="203" w:name="_Toc49455880"/>
      <w:r>
        <w:rPr>
          <w:rFonts w:hint="eastAsia"/>
          <w:b w:val="0"/>
          <w:bCs w:val="0"/>
          <w:lang w:val="zh-CN"/>
        </w:rPr>
        <w:t>鼓励和引导有条件的医疗卫生机构开展养老服务工作，统筹医疗卫生与养老服务资源布局，提高综合医院为老年人服务的能力。支持养老机构开展医疗服务，按相关规定申请开办医疗机构，提高养老机构提供基本医疗服务的能力。建立健全以职业技能教育为主，岗位培训为辅，普及辅导相结合的养老服务人才教育培训体系。与专业职业技术培训机构建立合作机制，开展以康复、护理、营养、心理和社会工作实用技术为主要内容的培训，为养老服务业培养专业人才,确保万名老年人拥有养老护理员数不少于50名。同时，对老年人照护者及志愿从事居家养老服务的社会人员进行养老服务实用技术培训，切实提高我区养老护理员和居家照护者的护理水平。</w:t>
      </w:r>
      <w:bookmarkEnd w:id="202"/>
    </w:p>
    <w:p>
      <w:pPr>
        <w:pStyle w:val="4"/>
        <w:spacing w:line="560" w:lineRule="exact"/>
        <w:rPr>
          <w:b w:val="0"/>
          <w:bCs w:val="0"/>
          <w:lang w:val="zh-CN"/>
        </w:rPr>
      </w:pPr>
      <w:bookmarkStart w:id="204" w:name="_Toc76488174"/>
      <w:r>
        <w:rPr>
          <w:rFonts w:hint="eastAsia"/>
        </w:rPr>
        <w:t>（五）加强优质示范性养老机构建设</w:t>
      </w:r>
      <w:bookmarkEnd w:id="203"/>
      <w:bookmarkStart w:id="205" w:name="_Toc21678"/>
      <w:bookmarkStart w:id="206" w:name="_Toc49455881"/>
      <w:bookmarkStart w:id="207" w:name="_Toc10301"/>
      <w:r>
        <w:rPr>
          <w:rFonts w:hint="eastAsia"/>
        </w:rPr>
        <w:t>。</w:t>
      </w:r>
      <w:r>
        <w:rPr>
          <w:rFonts w:hint="eastAsia"/>
          <w:b w:val="0"/>
          <w:bCs w:val="0"/>
          <w:lang w:val="zh-CN"/>
        </w:rPr>
        <w:t>加强养老服务品牌建设，推动医疗卫生和养老服务资源共享，构建覆盖城乡、规模适宜、功能合理的医养结合服务网络。在保障生态空间可持续发展的前提下，引导发展与生态涵养、资源环境相适宜的健康养老模式，适度发展高端养老服务设施，满足多层次、多元化、个性化的服务需求。打造2家示范性品牌养老服务机构。</w:t>
      </w:r>
      <w:bookmarkEnd w:id="204"/>
    </w:p>
    <w:p>
      <w:pPr>
        <w:pStyle w:val="3"/>
        <w:spacing w:line="560" w:lineRule="exact"/>
      </w:pPr>
      <w:bookmarkStart w:id="208" w:name="_Toc76488175"/>
      <w:bookmarkStart w:id="209" w:name="_Toc77367983"/>
      <w:r>
        <w:rPr>
          <w:rFonts w:hint="eastAsia"/>
        </w:rPr>
        <w:t>十、完善特殊群体社会福利体系</w:t>
      </w:r>
      <w:bookmarkEnd w:id="205"/>
      <w:bookmarkEnd w:id="206"/>
      <w:bookmarkEnd w:id="207"/>
      <w:r>
        <w:rPr>
          <w:rFonts w:hint="eastAsia"/>
        </w:rPr>
        <w:t>，共享社会发展成果</w:t>
      </w:r>
      <w:bookmarkEnd w:id="208"/>
      <w:bookmarkEnd w:id="209"/>
    </w:p>
    <w:p>
      <w:pPr>
        <w:pStyle w:val="4"/>
        <w:spacing w:line="560" w:lineRule="exact"/>
        <w:rPr>
          <w:b w:val="0"/>
          <w:bCs w:val="0"/>
          <w:lang w:val="zh-CN"/>
        </w:rPr>
      </w:pPr>
      <w:bookmarkStart w:id="210" w:name="_Toc49455882"/>
      <w:bookmarkStart w:id="211" w:name="_Toc76488176"/>
      <w:r>
        <w:rPr>
          <w:rFonts w:hint="eastAsia" w:hAnsi="仿宋_GB2312" w:cs="仿宋_GB2312"/>
        </w:rPr>
        <w:t>（一）优化残疾人服务体系</w:t>
      </w:r>
      <w:bookmarkEnd w:id="210"/>
      <w:r>
        <w:rPr>
          <w:rFonts w:hint="eastAsia" w:hAnsi="仿宋_GB2312" w:cs="仿宋_GB2312"/>
        </w:rPr>
        <w:t>。</w:t>
      </w:r>
      <w:r>
        <w:rPr>
          <w:rFonts w:hint="eastAsia"/>
          <w:b w:val="0"/>
          <w:bCs w:val="0"/>
          <w:lang w:val="zh-CN"/>
        </w:rPr>
        <w:t>持续优化残疾人社会支持环境，完善残疾人就业、创业的扶持政策。加强无障碍设施及环境建设维护，提高残疾人参与社会的便利程度。进一步落实《中共北京市委 北京市人民政府关于促进残疾人事业发展的实施意见》《北京市人民政府关于加快推进残疾人小康进程的实施意见》等文件中关于残疾人基本公共服务体系建设的要求，建立“城乡人人可及、需求及时响应、服务便捷高效”的残疾人基本公共服务体系，形成多渠道申请、一平台受理、一网式通办、一张卡通行的“互联网+残疾人服务”新格局。按照“保基本、可执行、有实效”的原则，编制并落实《密云区残疾人基本公共服务目录》，并与区、镇街、社区（村）三级公共服务事项目录相衔接，每年进行动态调整，逐步扩大基本公共服务范畴。调动社会力量参与残疾人基本公共服务，健全区、镇街两级购买助残服务制度，不断完善政府购买残疾人基本公共服务指导性目录。已建成投入使用的残疾人综合服务设施要进一步完善功能，充分发挥作用。坚持服务主体多元化、服务队伍专业化的方向，培育残疾人服务专业力量。</w:t>
      </w:r>
      <w:bookmarkEnd w:id="211"/>
    </w:p>
    <w:p>
      <w:pPr>
        <w:pStyle w:val="4"/>
        <w:spacing w:line="560" w:lineRule="exact"/>
        <w:rPr>
          <w:b w:val="0"/>
          <w:bCs w:val="0"/>
          <w:lang w:val="zh-CN"/>
        </w:rPr>
      </w:pPr>
      <w:bookmarkStart w:id="212" w:name="_Toc49455883"/>
      <w:bookmarkStart w:id="213" w:name="_Toc76488177"/>
      <w:r>
        <w:rPr>
          <w:rFonts w:hint="eastAsia" w:hAnsi="仿宋_GB2312" w:cs="仿宋_GB2312"/>
        </w:rPr>
        <w:t>（二）加强困境儿童福利保护体系建设</w:t>
      </w:r>
      <w:bookmarkEnd w:id="212"/>
      <w:r>
        <w:rPr>
          <w:rFonts w:hint="eastAsia" w:hAnsi="仿宋_GB2312" w:cs="仿宋_GB2312"/>
        </w:rPr>
        <w:t>。</w:t>
      </w:r>
      <w:r>
        <w:rPr>
          <w:rFonts w:hint="eastAsia"/>
          <w:b w:val="0"/>
          <w:bCs w:val="0"/>
          <w:lang w:val="zh-CN"/>
        </w:rPr>
        <w:t>加强孤儿、事实无人抚养儿童、低保家庭重病重残儿童基本生活保障，做到应保尽保、应救尽救。进一步明确困境儿童生活费使用规范，规范预算执行，确保专款专用。贯彻落实《未成年人保护法》《儿童福利机构管理办法》和《儿童福利机构档案管理办法》，完善“五位一体”儿童关爱保护体系建设，建立和优化区级未成年人保护协调机制，推动落实未成年人侵害案件强制报告制度。按照“一区一所”要求，推进区儿童福利机构及区未成年人保护中心建设。做好全国儿童福利信息系统的维护和更新，完善困境留守儿童信息台账，加大政府购买儿童类社会组织服务力度，联动社会力量共同做好困境留守儿童关爱保护工作。组织开展镇街儿童督导员、社区（村）儿童主任的轮训。村（社区）儿童主任在岗履职率达到100%，困境儿童保护和发现报告的职能纳入村（社区）委会责任的比率达到100%。</w:t>
      </w:r>
      <w:bookmarkEnd w:id="213"/>
    </w:p>
    <w:p>
      <w:pPr>
        <w:pStyle w:val="4"/>
        <w:spacing w:line="560" w:lineRule="exact"/>
        <w:rPr>
          <w:b w:val="0"/>
          <w:bCs w:val="0"/>
          <w:lang w:val="zh-CN"/>
        </w:rPr>
      </w:pPr>
      <w:bookmarkStart w:id="214" w:name="_Toc49455884"/>
      <w:bookmarkStart w:id="215" w:name="_Toc76488178"/>
      <w:r>
        <w:rPr>
          <w:rFonts w:hint="eastAsia" w:hAnsi="仿宋_GB2312" w:cs="仿宋_GB2312"/>
        </w:rPr>
        <w:t>（三）加强征地超转人员保障</w:t>
      </w:r>
      <w:bookmarkEnd w:id="214"/>
      <w:r>
        <w:rPr>
          <w:rFonts w:hint="eastAsia" w:hAnsi="仿宋_GB2312" w:cs="仿宋_GB2312"/>
        </w:rPr>
        <w:t>。</w:t>
      </w:r>
      <w:r>
        <w:rPr>
          <w:rFonts w:hint="eastAsia"/>
          <w:b w:val="0"/>
          <w:bCs w:val="0"/>
          <w:lang w:val="zh-CN"/>
        </w:rPr>
        <w:t>进一步完善密云区建设征地农转居超转人员的社会保障机制，加强与相关部门沟通协调，针对超转人员更改定点医院程序多等实际问题，协调相关部门简化超转人员定点医院变更手续，努力为超转人员办实事、解难事。</w:t>
      </w:r>
      <w:bookmarkEnd w:id="215"/>
    </w:p>
    <w:p>
      <w:pPr>
        <w:pStyle w:val="3"/>
        <w:spacing w:line="560" w:lineRule="exact"/>
      </w:pPr>
      <w:bookmarkStart w:id="216" w:name="_Toc2762"/>
      <w:bookmarkStart w:id="217" w:name="_Toc3366"/>
      <w:bookmarkStart w:id="218" w:name="_Toc49455885"/>
      <w:bookmarkStart w:id="219" w:name="_Toc76488179"/>
      <w:bookmarkStart w:id="220" w:name="_Toc77367984"/>
      <w:r>
        <w:rPr>
          <w:rFonts w:hint="eastAsia"/>
        </w:rPr>
        <w:t>十一、深化专项服务供给改革</w:t>
      </w:r>
      <w:bookmarkEnd w:id="216"/>
      <w:bookmarkEnd w:id="217"/>
      <w:bookmarkEnd w:id="218"/>
      <w:r>
        <w:rPr>
          <w:rFonts w:hint="eastAsia"/>
        </w:rPr>
        <w:t>，提升居民获得感</w:t>
      </w:r>
      <w:bookmarkEnd w:id="219"/>
      <w:bookmarkEnd w:id="220"/>
    </w:p>
    <w:p>
      <w:pPr>
        <w:pStyle w:val="4"/>
        <w:spacing w:line="560" w:lineRule="exact"/>
        <w:rPr>
          <w:b w:val="0"/>
          <w:bCs w:val="0"/>
          <w:lang w:val="zh-CN"/>
        </w:rPr>
      </w:pPr>
      <w:bookmarkStart w:id="221" w:name="_Toc49455886"/>
      <w:bookmarkStart w:id="222" w:name="_Toc76488180"/>
      <w:r>
        <w:rPr>
          <w:rFonts w:hint="eastAsia"/>
        </w:rPr>
        <w:t>（一）创新婚姻家庭服务</w:t>
      </w:r>
      <w:bookmarkEnd w:id="221"/>
      <w:r>
        <w:rPr>
          <w:rFonts w:hint="eastAsia"/>
        </w:rPr>
        <w:t>。</w:t>
      </w:r>
      <w:r>
        <w:rPr>
          <w:rFonts w:hint="eastAsia"/>
          <w:b w:val="0"/>
          <w:bCs w:val="0"/>
          <w:lang w:val="zh-CN"/>
        </w:rPr>
        <w:t>以“最多跑一次”改革为抓手，实现婚姻登记档案保管部门间档案数据的信息互补和充分共享。推进婚姻登记电子证照实践应用，切实实现婚姻登记便捷、高效，保证婚姻登记信息安全，加快“婚智通”智能信息系统的普及推广，持续巩固“5A级”婚姻登记机关建设成果，拓展婚姻家庭服务范围，倡导理性科学经营婚姻家庭的理念，强化婚姻家庭矛盾修复化解及沟通方式的服务模式，婚姻登记服务水平全面提升。</w:t>
      </w:r>
      <w:bookmarkEnd w:id="222"/>
    </w:p>
    <w:p>
      <w:pPr>
        <w:pStyle w:val="4"/>
        <w:spacing w:line="560" w:lineRule="exact"/>
        <w:rPr>
          <w:b w:val="0"/>
          <w:bCs w:val="0"/>
          <w:lang w:val="zh-CN"/>
        </w:rPr>
      </w:pPr>
      <w:bookmarkStart w:id="223" w:name="_Toc49455887"/>
      <w:bookmarkStart w:id="224" w:name="_Toc76488181"/>
      <w:r>
        <w:rPr>
          <w:rFonts w:hint="eastAsia"/>
        </w:rPr>
        <w:t>（二）深化殡葬服务管理改革</w:t>
      </w:r>
      <w:bookmarkEnd w:id="223"/>
      <w:r>
        <w:rPr>
          <w:rFonts w:hint="eastAsia"/>
        </w:rPr>
        <w:t>。</w:t>
      </w:r>
      <w:r>
        <w:rPr>
          <w:rFonts w:hint="eastAsia"/>
          <w:b w:val="0"/>
          <w:bCs w:val="0"/>
          <w:lang w:val="zh-CN"/>
        </w:rPr>
        <w:t>坚持规划先行，推动《北京市殡葬设施专项规划（2017年-2035年）》的贯彻实施。坚持盘活存量，对现有殡葬设施实行节地生态化更新改造，提高土地利用率。推进殡葬设施建设规范化管理，倡导移风易俗、文明祭扫。进一步完善殡仪馆基础设施及配套建设，积极拓展殡葬服务方式和内容，打造人性化殡葬环境，提供更加优质、高效、便捷、多样的殡葬服务。</w:t>
      </w:r>
      <w:bookmarkEnd w:id="224"/>
      <w:bookmarkStart w:id="225" w:name="_Toc51860732"/>
      <w:bookmarkStart w:id="226" w:name="_Toc76488182"/>
      <w:bookmarkStart w:id="227" w:name="_Toc14950"/>
      <w:bookmarkStart w:id="228" w:name="_Toc49455890"/>
    </w:p>
    <w:p>
      <w:pPr>
        <w:pStyle w:val="4"/>
        <w:spacing w:line="560" w:lineRule="exact"/>
        <w:rPr>
          <w:rFonts w:hAnsi="仿宋_GB2312" w:cs="仿宋_GB2312"/>
        </w:rPr>
      </w:pPr>
      <w:r>
        <w:rPr>
          <w:rFonts w:hint="eastAsia"/>
        </w:rPr>
        <w:t>（三）加快推进“慈善密云”建设</w:t>
      </w:r>
      <w:bookmarkEnd w:id="225"/>
      <w:r>
        <w:rPr>
          <w:rFonts w:hint="eastAsia"/>
        </w:rPr>
        <w:t>。</w:t>
      </w:r>
      <w:r>
        <w:rPr>
          <w:rFonts w:hint="eastAsia"/>
          <w:b w:val="0"/>
          <w:bCs w:val="0"/>
          <w:lang w:val="zh-CN"/>
        </w:rPr>
        <w:t>以推动形成具有密云特色的全民慈善、效能慈善、惠民慈善、诚信慈善为目标，优化慈善事业发展环境，促进慈善事业在民生保障中发挥积极作用。完善区、镇街、社区（村）三级联动的慈善救助体系，畅通救助途径，规范审核流程。建立健全经济、法律、党建等关键领域支持慈善事业发展的制度措施，优化慈善事业发展环境。推进社区（村）慈善工作站点建设，建立健全民政出台政策、镇街牵头推动、社会组织参与配合、基层组织落地实施、社会广泛参与的慈善捐助工作体系。健全慈善行业规范管理机制。大力弘扬慈善公益文化，培养慈善理念，推动慈善文化进社区、进校园、进企业。适时组织开展“密云慈善奖”评选表彰，树立慈善典型，讲述慈善故事。</w:t>
      </w:r>
      <w:bookmarkEnd w:id="226"/>
    </w:p>
    <w:p>
      <w:pPr>
        <w:pBdr>
          <w:bottom w:val="none" w:color="000000" w:sz="0" w:space="7"/>
        </w:pBdr>
        <w:tabs>
          <w:tab w:val="left" w:pos="4340"/>
        </w:tabs>
        <w:autoSpaceDN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Calibri" w:eastAsia="仿宋_GB2312" w:cs="Arial"/>
          <w:b/>
          <w:bCs/>
          <w:sz w:val="32"/>
          <w:szCs w:val="32"/>
        </w:rPr>
        <w:t>（四）加强见义勇为权益保障</w:t>
      </w:r>
      <w:bookmarkEnd w:id="227"/>
      <w:bookmarkEnd w:id="228"/>
      <w:r>
        <w:rPr>
          <w:rFonts w:hint="eastAsia" w:ascii="仿宋_GB2312" w:hAnsi="Calibri" w:eastAsia="仿宋_GB2312" w:cs="Arial"/>
          <w:b/>
          <w:bCs/>
          <w:sz w:val="32"/>
          <w:szCs w:val="32"/>
        </w:rPr>
        <w:t>。</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见义勇为人员权益保护的政策措施，以制度保障弘扬见义勇为精神。推动落实《北京市见义勇为人员奖励和保护条例》《〈北京市见义勇为人员奖励和保护条例〉实施办法》等文件规定，落实见义勇为人员表彰奖励、抚恤优待政策。区有关部门明确职责任务,加强协调配合,发挥联席会制度</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sz w:val="32"/>
          <w:szCs w:val="32"/>
        </w:rPr>
        <w:t>，建立联动机制，形成工作合力，研究解决见义勇为权益保护工作中的难点问题。充分利用融媒体平台，加大对见义勇为事迹的宣传力度，在全区营造“见义勇为光荣”和关心、支持、参与见义勇为保护工作的良好氛围。</w:t>
      </w:r>
      <w:bookmarkEnd w:id="87"/>
      <w:bookmarkEnd w:id="88"/>
      <w:bookmarkStart w:id="229" w:name="_Toc76488183"/>
      <w:bookmarkStart w:id="230" w:name="_Toc49455891"/>
    </w:p>
    <w:p>
      <w:pPr>
        <w:pStyle w:val="2"/>
        <w:wordWrap/>
        <w:adjustRightInd/>
        <w:snapToGrid/>
        <w:spacing w:line="560" w:lineRule="exact"/>
        <w:ind w:left="0" w:leftChars="0" w:right="0"/>
        <w:textAlignment w:val="auto"/>
        <w:rPr>
          <w:rFonts w:hint="eastAsia"/>
        </w:rPr>
      </w:pPr>
    </w:p>
    <w:p>
      <w:pPr>
        <w:pStyle w:val="2"/>
        <w:wordWrap/>
        <w:adjustRightInd/>
        <w:snapToGrid/>
        <w:spacing w:line="560" w:lineRule="exact"/>
        <w:ind w:left="0" w:leftChars="0" w:right="0"/>
        <w:textAlignment w:val="auto"/>
        <w:rPr>
          <w:ins w:id="0" w:author="SYC" w:date="2021-07-17T01:29:00Z"/>
          <w:rFonts w:hint="eastAsia"/>
        </w:rPr>
      </w:pPr>
      <w:bookmarkStart w:id="231" w:name="_Toc77367985"/>
      <w:r>
        <w:rPr>
          <w:rFonts w:hint="eastAsia"/>
        </w:rPr>
        <w:t>第四部分  保障措施</w:t>
      </w:r>
      <w:bookmarkEnd w:id="229"/>
      <w:bookmarkEnd w:id="230"/>
      <w:bookmarkEnd w:id="231"/>
    </w:p>
    <w:p>
      <w:pPr>
        <w:pStyle w:val="2"/>
        <w:wordWrap/>
        <w:adjustRightInd/>
        <w:snapToGrid/>
        <w:spacing w:line="560" w:lineRule="exact"/>
        <w:ind w:left="0" w:leftChars="0" w:right="0"/>
        <w:textAlignment w:val="auto"/>
        <w:rPr>
          <w:rFonts w:hint="eastAsia"/>
        </w:rPr>
      </w:pPr>
    </w:p>
    <w:p>
      <w:pPr>
        <w:pStyle w:val="3"/>
        <w:spacing w:line="560" w:lineRule="exact"/>
      </w:pPr>
      <w:bookmarkStart w:id="232" w:name="_Toc77367986"/>
      <w:bookmarkStart w:id="233" w:name="_Toc49455892"/>
      <w:bookmarkStart w:id="234" w:name="_Toc76488184"/>
      <w:r>
        <w:rPr>
          <w:rFonts w:hint="eastAsia"/>
        </w:rPr>
        <w:t>一、加强组织保障</w:t>
      </w:r>
      <w:bookmarkEnd w:id="232"/>
      <w:bookmarkEnd w:id="233"/>
      <w:bookmarkEnd w:id="234"/>
    </w:p>
    <w:p>
      <w:pPr>
        <w:spacing w:line="560" w:lineRule="exact"/>
        <w:ind w:firstLine="640" w:firstLineChars="200"/>
        <w:rPr>
          <w:rFonts w:ascii="仿宋_GB2312" w:hAnsi="仿宋_GB2312" w:eastAsia="仿宋_GB2312" w:cs="仿宋_GB2312"/>
          <w:sz w:val="32"/>
          <w:szCs w:val="20"/>
        </w:rPr>
      </w:pPr>
      <w:bookmarkStart w:id="235" w:name="_Toc49455893"/>
      <w:r>
        <w:rPr>
          <w:rFonts w:hint="eastAsia" w:ascii="仿宋_GB2312" w:hAnsi="仿宋_GB2312" w:eastAsia="仿宋_GB2312" w:cs="仿宋_GB2312"/>
          <w:sz w:val="32"/>
          <w:szCs w:val="20"/>
        </w:rPr>
        <w:t>各镇（街）党（工）委、政府（办事处）和有关职能部门要将“十四五”时期社会治理与民政事业发展纳入重要议事日程。在区委区政府的领导下，按照区社会建设工作领导小组总体部署，各司其职，各负其责，认真抓好规划目标任务的落实。有关非公经济组织、社会组织要将社会领域党的建设工作与社会治理工作有机融合，与履行社会责任有机融合，将推进社会治理工作和协助做好民政事业列入社会领域党的建设工作的重要内容，积极参与，共建共享。</w:t>
      </w:r>
    </w:p>
    <w:p>
      <w:pPr>
        <w:spacing w:line="560" w:lineRule="exact"/>
        <w:ind w:firstLine="640" w:firstLineChars="200"/>
        <w:rPr>
          <w:rFonts w:ascii="仿宋_GB2312" w:hAnsi="仿宋_GB2312" w:eastAsia="仿宋_GB2312" w:cs="仿宋_GB2312"/>
          <w:sz w:val="32"/>
          <w:szCs w:val="20"/>
        </w:rPr>
      </w:pPr>
      <w:r>
        <w:rPr>
          <w:rFonts w:hint="eastAsia" w:ascii="仿宋_GB2312" w:hAnsi="仿宋_GB2312" w:eastAsia="仿宋_GB2312" w:cs="仿宋_GB2312"/>
          <w:sz w:val="32"/>
          <w:szCs w:val="20"/>
        </w:rPr>
        <w:t>坚持以社会领域党建工作创新引领社会治理创新和民政事业发展，实施社会领域党建“点、线、面”推进工程，在“点”上做足文章，由点到面，逐步实现非公有制企业（商务楼宇）党建工作全覆盖；在“线”上狠下功夫，分类推进，逐步实现社会组织党建工作全覆盖；在“面”上务求实效，属地为主，逐步实现村（社区）区域化党建工作全覆盖。完善区、镇街、社区（村）三级党建工作平台，落实队伍、经费、场地等基础保障，形成条块结合、资源共享、优势互补、共驻共建的区域化党建工作格局和一体化党员动态服务管理机制。创新社会组织党建工作，进一步完善“枢纽型”社会组织党建工作委员会机制。创新非公有制企业党建推进工程，完善商务楼宇党建工作机制。坚持以党建带动群团建设，认真开展社会领域统战工作，全面加强社会领域党的思想建设、组织建设、作风建设和反腐倡廉建设，为全区社会治理和民政事业发展创造有利条件。</w:t>
      </w:r>
    </w:p>
    <w:p>
      <w:pPr>
        <w:pStyle w:val="3"/>
        <w:spacing w:line="560" w:lineRule="exact"/>
      </w:pPr>
      <w:bookmarkStart w:id="236" w:name="_Toc76488185"/>
      <w:bookmarkStart w:id="237" w:name="_Toc77367987"/>
      <w:r>
        <w:rPr>
          <w:rFonts w:hint="eastAsia"/>
        </w:rPr>
        <w:t>二、加强机制保障</w:t>
      </w:r>
      <w:bookmarkEnd w:id="235"/>
      <w:bookmarkEnd w:id="236"/>
      <w:bookmarkEnd w:id="237"/>
    </w:p>
    <w:p>
      <w:pPr>
        <w:spacing w:line="560" w:lineRule="exact"/>
        <w:ind w:firstLine="640" w:firstLineChars="200"/>
        <w:rPr>
          <w:rFonts w:ascii="仿宋_GB2312" w:hAnsi="仿宋_GB2312" w:eastAsia="仿宋_GB2312" w:cs="仿宋_GB2312"/>
          <w:sz w:val="32"/>
          <w:szCs w:val="20"/>
        </w:rPr>
      </w:pPr>
      <w:r>
        <w:rPr>
          <w:rFonts w:hint="eastAsia" w:ascii="仿宋_GB2312" w:hAnsi="仿宋_GB2312" w:eastAsia="仿宋_GB2312" w:cs="仿宋_GB2312"/>
          <w:sz w:val="32"/>
          <w:szCs w:val="20"/>
        </w:rPr>
        <w:t>结合规划确定的主要目标和重点任务，研究制定出台相关配套政策，为规划实施提供充足的政策保障。把年度工作安排作为规划实施的支撑，科学制订并落实好各年度社会治理和民政事业发展工作计划。坚持以规划确定重点项目、以重点项目推动规划落实，发挥重点项目对规划实施的保障作用。</w:t>
      </w:r>
    </w:p>
    <w:p>
      <w:pPr>
        <w:spacing w:line="560" w:lineRule="exact"/>
        <w:ind w:firstLine="640" w:firstLineChars="200"/>
        <w:rPr>
          <w:rFonts w:ascii="仿宋_GB2312" w:hAnsi="仿宋_GB2312" w:eastAsia="仿宋_GB2312" w:cs="仿宋_GB2312"/>
          <w:sz w:val="32"/>
          <w:szCs w:val="20"/>
        </w:rPr>
      </w:pPr>
      <w:r>
        <w:rPr>
          <w:rFonts w:hint="eastAsia" w:ascii="仿宋_GB2312" w:hAnsi="仿宋_GB2312" w:eastAsia="仿宋_GB2312" w:cs="仿宋_GB2312"/>
          <w:sz w:val="32"/>
          <w:szCs w:val="20"/>
        </w:rPr>
        <w:t>加强规划的督导实施，根据规划研究制订年度实施方案，细化分解规划目标和重点任务，完善检查督导和监测评估机制，跟踪检查指导、分析掌握规划实施进展情况，适时对重点领域和重点任务开展专题评估，每年形成工作督查报告。开展规划实施中期评估，并根据评估情况和形势任务变化及时调整规划目标任务。</w:t>
      </w:r>
    </w:p>
    <w:p>
      <w:pPr>
        <w:pStyle w:val="3"/>
        <w:spacing w:line="560" w:lineRule="exact"/>
      </w:pPr>
      <w:bookmarkStart w:id="238" w:name="_Toc49455894"/>
      <w:bookmarkStart w:id="239" w:name="_Toc76488186"/>
      <w:bookmarkStart w:id="240" w:name="_Toc77367988"/>
      <w:r>
        <w:rPr>
          <w:rFonts w:hint="eastAsia"/>
        </w:rPr>
        <w:t>三、加强基础保障</w:t>
      </w:r>
      <w:bookmarkEnd w:id="238"/>
      <w:bookmarkEnd w:id="239"/>
      <w:bookmarkEnd w:id="240"/>
    </w:p>
    <w:p>
      <w:pPr>
        <w:pStyle w:val="4"/>
        <w:spacing w:line="560" w:lineRule="exact"/>
        <w:rPr>
          <w:rFonts w:hint="eastAsia" w:ascii="仿宋_GB2312" w:hAnsi="仿宋_GB2312" w:eastAsia="仿宋_GB2312" w:cs="仿宋_GB2312"/>
          <w:b w:val="0"/>
          <w:bCs w:val="0"/>
          <w:kern w:val="2"/>
          <w:sz w:val="32"/>
          <w:szCs w:val="20"/>
          <w:lang w:val="en-US" w:eastAsia="zh-CN" w:bidi="ar-SA"/>
        </w:rPr>
      </w:pPr>
      <w:bookmarkStart w:id="241" w:name="_Toc49455895"/>
      <w:bookmarkStart w:id="242" w:name="_Toc76488187"/>
      <w:r>
        <w:rPr>
          <w:rFonts w:hint="eastAsia" w:ascii="仿宋_GB2312" w:hAnsi="仿宋_GB2312" w:eastAsia="仿宋_GB2312" w:cs="仿宋_GB2312"/>
          <w:b w:val="0"/>
          <w:bCs w:val="0"/>
          <w:kern w:val="2"/>
          <w:sz w:val="32"/>
          <w:szCs w:val="20"/>
          <w:lang w:val="en-US" w:eastAsia="zh-CN" w:bidi="ar-SA"/>
        </w:rPr>
        <w:t>进一步加大财政投入力度，将社会治理和民政事业发展所需资金列入区级财政预算予以保障。综合考虑经济社会发展和财力状况，不断推进社会治理和民政事业发展重点项目的投入。进一步健全社会治理和民政事业资金投入和管理机制，发挥财政资金的引导和激励作用，严格规范资金管理，优化资金管理使用。发挥财政资金的引导和推动作用，拓宽社会各界参与渠道，积极引导和支持民间资金参与社会治理和民政事业发展。</w:t>
      </w:r>
    </w:p>
    <w:p>
      <w:pPr>
        <w:pStyle w:val="4"/>
        <w:spacing w:line="560" w:lineRule="exact"/>
        <w:rPr>
          <w:rFonts w:hint="eastAsia" w:ascii="仿宋_GB2312" w:hAnsi="仿宋_GB2312" w:eastAsia="仿宋_GB2312" w:cs="仿宋_GB2312"/>
          <w:b w:val="0"/>
          <w:bCs w:val="0"/>
          <w:kern w:val="2"/>
          <w:sz w:val="32"/>
          <w:szCs w:val="20"/>
          <w:lang w:val="en-US" w:eastAsia="zh-CN" w:bidi="ar-SA"/>
        </w:rPr>
      </w:pPr>
      <w:r>
        <w:rPr>
          <w:rFonts w:hint="eastAsia" w:ascii="仿宋_GB2312" w:hAnsi="仿宋_GB2312" w:eastAsia="仿宋_GB2312" w:cs="仿宋_GB2312"/>
          <w:b w:val="0"/>
          <w:bCs w:val="0"/>
          <w:kern w:val="2"/>
          <w:sz w:val="32"/>
          <w:szCs w:val="20"/>
          <w:lang w:val="en-US" w:eastAsia="zh-CN" w:bidi="ar-SA"/>
        </w:rPr>
        <w:t>加强与社会治理与民政事业发展需要相适应的人才队伍建设，根据工作需要逐年补充专业新生力量，逐步推进社会治理和民政事业工作人才队伍的发展壮大。按照“忠诚、干净、担当”的要求，着力提升基层工作人员的履职能力，提高干部的政策水平和群众工作能力，提高群众工作水平，社会治理和民政事业的工作成效要做到让群众满意。完善干部担当作为的激励机制、考核评价机制，健全和完善容错纠错机制，加大基层干部选拔任用力度。</w:t>
      </w:r>
      <w:bookmarkEnd w:id="241"/>
      <w:bookmarkEnd w:id="242"/>
    </w:p>
    <w:sectPr>
      <w:footerReference r:id="rId3" w:type="default"/>
      <w:pgSz w:w="11900" w:h="16840"/>
      <w:pgMar w:top="2098" w:right="1474" w:bottom="1984" w:left="1587" w:header="851" w:footer="992" w:gutter="0"/>
      <w:pgBorders>
        <w:top w:val="none" w:sz="0" w:space="0"/>
        <w:left w:val="none" w:sz="0" w:space="0"/>
        <w:bottom w:val="none" w:sz="0" w:space="0"/>
        <w:right w:val="none" w:sz="0" w:space="0"/>
      </w:pgBorders>
      <w:pgNumType w:fmt="numberInDash" w:start="1"/>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ascii="Calibri" w:hAnsi="Calibri" w:eastAsia="宋体" w:cs="黑体"/>
        <w:kern w:val="2"/>
        <w:sz w:val="18"/>
        <w:szCs w:val="24"/>
        <w:lang w:val="en-US" w:eastAsia="zh-CN" w:bidi="ar-SA"/>
      </w:rPr>
      <w:pict>
        <v:rect id="文本框 4"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9B610"/>
    <w:multiLevelType w:val="singleLevel"/>
    <w:tmpl w:val="F139B610"/>
    <w:lvl w:ilvl="0" w:tentative="0">
      <w:start w:val="1"/>
      <w:numFmt w:val="chineseCounting"/>
      <w:suff w:val="nothing"/>
      <w:lvlText w:val="（%1）"/>
      <w:lvlJc w:val="left"/>
      <w:rPr>
        <w:rFonts w:hint="eastAsia"/>
      </w:rPr>
    </w:lvl>
  </w:abstractNum>
  <w:abstractNum w:abstractNumId="1">
    <w:nsid w:val="57EBAE2D"/>
    <w:multiLevelType w:val="singleLevel"/>
    <w:tmpl w:val="57EBAE2D"/>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YC">
    <w15:presenceInfo w15:providerId="None" w15:userId="SY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2B267C3F"/>
    <w:rsid w:val="00030ED5"/>
    <w:rsid w:val="00094974"/>
    <w:rsid w:val="000A1430"/>
    <w:rsid w:val="000A4659"/>
    <w:rsid w:val="000A6221"/>
    <w:rsid w:val="000C4875"/>
    <w:rsid w:val="000F7FE7"/>
    <w:rsid w:val="00142A63"/>
    <w:rsid w:val="00152F29"/>
    <w:rsid w:val="0015454B"/>
    <w:rsid w:val="00170185"/>
    <w:rsid w:val="0019302F"/>
    <w:rsid w:val="001C2740"/>
    <w:rsid w:val="002470D7"/>
    <w:rsid w:val="0028603D"/>
    <w:rsid w:val="002C07DA"/>
    <w:rsid w:val="002E1B05"/>
    <w:rsid w:val="002F044C"/>
    <w:rsid w:val="00303C42"/>
    <w:rsid w:val="00326E0A"/>
    <w:rsid w:val="00364B95"/>
    <w:rsid w:val="003A01EC"/>
    <w:rsid w:val="003C6687"/>
    <w:rsid w:val="003F3EC6"/>
    <w:rsid w:val="004005E6"/>
    <w:rsid w:val="00430CFF"/>
    <w:rsid w:val="00444AFA"/>
    <w:rsid w:val="00461584"/>
    <w:rsid w:val="004707D3"/>
    <w:rsid w:val="004B6279"/>
    <w:rsid w:val="004C2B20"/>
    <w:rsid w:val="00513976"/>
    <w:rsid w:val="005524B9"/>
    <w:rsid w:val="005E31B6"/>
    <w:rsid w:val="005E4EE9"/>
    <w:rsid w:val="00626135"/>
    <w:rsid w:val="0068358A"/>
    <w:rsid w:val="006D6D2E"/>
    <w:rsid w:val="007147C5"/>
    <w:rsid w:val="007567DA"/>
    <w:rsid w:val="00761D5C"/>
    <w:rsid w:val="007E7EB1"/>
    <w:rsid w:val="007F00CF"/>
    <w:rsid w:val="0080758B"/>
    <w:rsid w:val="00826F63"/>
    <w:rsid w:val="008449F0"/>
    <w:rsid w:val="00850D2A"/>
    <w:rsid w:val="0087002E"/>
    <w:rsid w:val="008C64AF"/>
    <w:rsid w:val="008E50AE"/>
    <w:rsid w:val="009359CA"/>
    <w:rsid w:val="009403A3"/>
    <w:rsid w:val="0096342C"/>
    <w:rsid w:val="00991292"/>
    <w:rsid w:val="00991841"/>
    <w:rsid w:val="009970A8"/>
    <w:rsid w:val="009C7B09"/>
    <w:rsid w:val="00A04C66"/>
    <w:rsid w:val="00A43971"/>
    <w:rsid w:val="00A70306"/>
    <w:rsid w:val="00A71B0B"/>
    <w:rsid w:val="00AB50A7"/>
    <w:rsid w:val="00AE0125"/>
    <w:rsid w:val="00B14767"/>
    <w:rsid w:val="00B32013"/>
    <w:rsid w:val="00B57025"/>
    <w:rsid w:val="00B90FE8"/>
    <w:rsid w:val="00C263E3"/>
    <w:rsid w:val="00C50029"/>
    <w:rsid w:val="00C502FC"/>
    <w:rsid w:val="00C90B84"/>
    <w:rsid w:val="00C93F57"/>
    <w:rsid w:val="00CA01EB"/>
    <w:rsid w:val="00CA7B36"/>
    <w:rsid w:val="00D32C8F"/>
    <w:rsid w:val="00D43A71"/>
    <w:rsid w:val="00D67FF9"/>
    <w:rsid w:val="00D86F2D"/>
    <w:rsid w:val="00D9189D"/>
    <w:rsid w:val="00DA0A7B"/>
    <w:rsid w:val="00DB1565"/>
    <w:rsid w:val="00DD24F8"/>
    <w:rsid w:val="00E43940"/>
    <w:rsid w:val="00E43DAC"/>
    <w:rsid w:val="00E57592"/>
    <w:rsid w:val="00E81322"/>
    <w:rsid w:val="00EA7274"/>
    <w:rsid w:val="00EB357E"/>
    <w:rsid w:val="00EC3228"/>
    <w:rsid w:val="00ED3482"/>
    <w:rsid w:val="00F06389"/>
    <w:rsid w:val="00F25B40"/>
    <w:rsid w:val="00F820A8"/>
    <w:rsid w:val="00FC258A"/>
    <w:rsid w:val="00FD38EC"/>
    <w:rsid w:val="011C0126"/>
    <w:rsid w:val="01753D16"/>
    <w:rsid w:val="0181331B"/>
    <w:rsid w:val="01D204EB"/>
    <w:rsid w:val="03713F25"/>
    <w:rsid w:val="040F5DEA"/>
    <w:rsid w:val="04945117"/>
    <w:rsid w:val="051A3819"/>
    <w:rsid w:val="058916A3"/>
    <w:rsid w:val="05AA6F7C"/>
    <w:rsid w:val="05CA1DC9"/>
    <w:rsid w:val="05E73C3B"/>
    <w:rsid w:val="064031ED"/>
    <w:rsid w:val="06976E50"/>
    <w:rsid w:val="075D599B"/>
    <w:rsid w:val="07605184"/>
    <w:rsid w:val="076C72BA"/>
    <w:rsid w:val="07B7297F"/>
    <w:rsid w:val="07D80269"/>
    <w:rsid w:val="07E77884"/>
    <w:rsid w:val="07EE4AEF"/>
    <w:rsid w:val="08C32AA0"/>
    <w:rsid w:val="09E024A9"/>
    <w:rsid w:val="0A144C6B"/>
    <w:rsid w:val="0A4E0677"/>
    <w:rsid w:val="0BA27CA4"/>
    <w:rsid w:val="0BC00EA8"/>
    <w:rsid w:val="0BD307CD"/>
    <w:rsid w:val="0C330F54"/>
    <w:rsid w:val="0CEC70D0"/>
    <w:rsid w:val="0CF72DBE"/>
    <w:rsid w:val="0DE02B87"/>
    <w:rsid w:val="0DE20823"/>
    <w:rsid w:val="0DF04967"/>
    <w:rsid w:val="0E8D4627"/>
    <w:rsid w:val="0F4B5D13"/>
    <w:rsid w:val="10630AAC"/>
    <w:rsid w:val="10A371C0"/>
    <w:rsid w:val="10D44028"/>
    <w:rsid w:val="11155282"/>
    <w:rsid w:val="11353C67"/>
    <w:rsid w:val="11761672"/>
    <w:rsid w:val="11804121"/>
    <w:rsid w:val="1251584E"/>
    <w:rsid w:val="12D97345"/>
    <w:rsid w:val="13662896"/>
    <w:rsid w:val="13714605"/>
    <w:rsid w:val="137C77F6"/>
    <w:rsid w:val="138364CD"/>
    <w:rsid w:val="144A1AD0"/>
    <w:rsid w:val="14A07594"/>
    <w:rsid w:val="14E36E7D"/>
    <w:rsid w:val="14E568A2"/>
    <w:rsid w:val="1504320C"/>
    <w:rsid w:val="151E1BC0"/>
    <w:rsid w:val="15536570"/>
    <w:rsid w:val="15BC24D8"/>
    <w:rsid w:val="160621FC"/>
    <w:rsid w:val="16600800"/>
    <w:rsid w:val="167621B1"/>
    <w:rsid w:val="18256BD5"/>
    <w:rsid w:val="18276355"/>
    <w:rsid w:val="18EB0C5C"/>
    <w:rsid w:val="18F419F9"/>
    <w:rsid w:val="1A7B4ECE"/>
    <w:rsid w:val="1AE974C0"/>
    <w:rsid w:val="1C0516BC"/>
    <w:rsid w:val="1C34150A"/>
    <w:rsid w:val="1C397F2E"/>
    <w:rsid w:val="1C787E42"/>
    <w:rsid w:val="1C8B6E63"/>
    <w:rsid w:val="1CA67B67"/>
    <w:rsid w:val="1CA9284F"/>
    <w:rsid w:val="1CBF5E70"/>
    <w:rsid w:val="1D897982"/>
    <w:rsid w:val="1E156EA4"/>
    <w:rsid w:val="1E4B57BF"/>
    <w:rsid w:val="1E5C4FDE"/>
    <w:rsid w:val="1ED440B8"/>
    <w:rsid w:val="1EF52E53"/>
    <w:rsid w:val="20152477"/>
    <w:rsid w:val="2021340F"/>
    <w:rsid w:val="20B5182E"/>
    <w:rsid w:val="20E4169E"/>
    <w:rsid w:val="213D5A70"/>
    <w:rsid w:val="217C217E"/>
    <w:rsid w:val="21F71815"/>
    <w:rsid w:val="22575642"/>
    <w:rsid w:val="22A41BE1"/>
    <w:rsid w:val="23372E06"/>
    <w:rsid w:val="23987F72"/>
    <w:rsid w:val="24170F2C"/>
    <w:rsid w:val="24522571"/>
    <w:rsid w:val="2493565C"/>
    <w:rsid w:val="24A420CD"/>
    <w:rsid w:val="24D6667D"/>
    <w:rsid w:val="24E570AF"/>
    <w:rsid w:val="24F40FE5"/>
    <w:rsid w:val="24F914F5"/>
    <w:rsid w:val="2528678D"/>
    <w:rsid w:val="253011A6"/>
    <w:rsid w:val="259565E9"/>
    <w:rsid w:val="2616113E"/>
    <w:rsid w:val="278F5C0E"/>
    <w:rsid w:val="27AF0BD6"/>
    <w:rsid w:val="281E42E4"/>
    <w:rsid w:val="2A72519A"/>
    <w:rsid w:val="2A8524BF"/>
    <w:rsid w:val="2B025698"/>
    <w:rsid w:val="2B040B17"/>
    <w:rsid w:val="2B267C3F"/>
    <w:rsid w:val="2BD40774"/>
    <w:rsid w:val="2CD7790F"/>
    <w:rsid w:val="2E76025E"/>
    <w:rsid w:val="2F391991"/>
    <w:rsid w:val="2F8C00C8"/>
    <w:rsid w:val="2FDC6497"/>
    <w:rsid w:val="2FF76B14"/>
    <w:rsid w:val="3033126F"/>
    <w:rsid w:val="30992F28"/>
    <w:rsid w:val="31130986"/>
    <w:rsid w:val="314B612A"/>
    <w:rsid w:val="32D0512E"/>
    <w:rsid w:val="339C35B9"/>
    <w:rsid w:val="349F68EF"/>
    <w:rsid w:val="34A33107"/>
    <w:rsid w:val="34D65313"/>
    <w:rsid w:val="351B1791"/>
    <w:rsid w:val="35207BCD"/>
    <w:rsid w:val="35885DDB"/>
    <w:rsid w:val="35C42612"/>
    <w:rsid w:val="35C70126"/>
    <w:rsid w:val="35D33F26"/>
    <w:rsid w:val="35D752A0"/>
    <w:rsid w:val="35DD5D8E"/>
    <w:rsid w:val="37314419"/>
    <w:rsid w:val="375F6BA9"/>
    <w:rsid w:val="379A738B"/>
    <w:rsid w:val="38AF3E5C"/>
    <w:rsid w:val="38E14162"/>
    <w:rsid w:val="38FF3407"/>
    <w:rsid w:val="390944FF"/>
    <w:rsid w:val="390E5D94"/>
    <w:rsid w:val="39404BE8"/>
    <w:rsid w:val="39490FA2"/>
    <w:rsid w:val="396A55AE"/>
    <w:rsid w:val="39A52E0F"/>
    <w:rsid w:val="39AA3828"/>
    <w:rsid w:val="3B19024F"/>
    <w:rsid w:val="3B456E4D"/>
    <w:rsid w:val="3BA107D1"/>
    <w:rsid w:val="3CF95B0C"/>
    <w:rsid w:val="3D5F5781"/>
    <w:rsid w:val="3D940AD2"/>
    <w:rsid w:val="3DF03529"/>
    <w:rsid w:val="3E2D0E6E"/>
    <w:rsid w:val="3E324B2D"/>
    <w:rsid w:val="3E4B0B10"/>
    <w:rsid w:val="3E826CBF"/>
    <w:rsid w:val="3E9F50C6"/>
    <w:rsid w:val="3F2911A9"/>
    <w:rsid w:val="3FAC7A58"/>
    <w:rsid w:val="4011389F"/>
    <w:rsid w:val="4057269D"/>
    <w:rsid w:val="40B63D09"/>
    <w:rsid w:val="40D16AE4"/>
    <w:rsid w:val="40FA046E"/>
    <w:rsid w:val="41317D1F"/>
    <w:rsid w:val="4186517B"/>
    <w:rsid w:val="42310444"/>
    <w:rsid w:val="428F6E49"/>
    <w:rsid w:val="43071F86"/>
    <w:rsid w:val="43081994"/>
    <w:rsid w:val="430C3FBD"/>
    <w:rsid w:val="43257F38"/>
    <w:rsid w:val="436F6E43"/>
    <w:rsid w:val="437E28BB"/>
    <w:rsid w:val="43F2669E"/>
    <w:rsid w:val="44752D39"/>
    <w:rsid w:val="44D641A0"/>
    <w:rsid w:val="44D92862"/>
    <w:rsid w:val="44F80815"/>
    <w:rsid w:val="453D4CB3"/>
    <w:rsid w:val="45973539"/>
    <w:rsid w:val="45AB0624"/>
    <w:rsid w:val="45EB0CEA"/>
    <w:rsid w:val="463C6929"/>
    <w:rsid w:val="468E040A"/>
    <w:rsid w:val="46B04D40"/>
    <w:rsid w:val="46C77614"/>
    <w:rsid w:val="46D41769"/>
    <w:rsid w:val="46EA6F56"/>
    <w:rsid w:val="47430240"/>
    <w:rsid w:val="474D69E7"/>
    <w:rsid w:val="47FC70A7"/>
    <w:rsid w:val="48810711"/>
    <w:rsid w:val="48AA1ADF"/>
    <w:rsid w:val="49004BF2"/>
    <w:rsid w:val="4994593D"/>
    <w:rsid w:val="49FD6712"/>
    <w:rsid w:val="4A446C42"/>
    <w:rsid w:val="4A494DEB"/>
    <w:rsid w:val="4AF36E5A"/>
    <w:rsid w:val="4B06032D"/>
    <w:rsid w:val="4B9A42AC"/>
    <w:rsid w:val="4C316731"/>
    <w:rsid w:val="4C7A1D0E"/>
    <w:rsid w:val="4C8467A0"/>
    <w:rsid w:val="4D4845C5"/>
    <w:rsid w:val="4DE628E1"/>
    <w:rsid w:val="4DF434B5"/>
    <w:rsid w:val="4DFD2C60"/>
    <w:rsid w:val="4E1238E3"/>
    <w:rsid w:val="4E1921EA"/>
    <w:rsid w:val="4E294A97"/>
    <w:rsid w:val="4E5A1C5F"/>
    <w:rsid w:val="4E690143"/>
    <w:rsid w:val="4E80106E"/>
    <w:rsid w:val="4F87035A"/>
    <w:rsid w:val="4FC169D4"/>
    <w:rsid w:val="50102859"/>
    <w:rsid w:val="50252D7A"/>
    <w:rsid w:val="502C0E7D"/>
    <w:rsid w:val="504812A8"/>
    <w:rsid w:val="509A1938"/>
    <w:rsid w:val="50E821E0"/>
    <w:rsid w:val="51131D72"/>
    <w:rsid w:val="51471631"/>
    <w:rsid w:val="51D414A3"/>
    <w:rsid w:val="51E84891"/>
    <w:rsid w:val="52671E87"/>
    <w:rsid w:val="52DB20BE"/>
    <w:rsid w:val="534F69BF"/>
    <w:rsid w:val="53C32F93"/>
    <w:rsid w:val="53CB5CC7"/>
    <w:rsid w:val="53EA0BCC"/>
    <w:rsid w:val="54BA65A3"/>
    <w:rsid w:val="551B1212"/>
    <w:rsid w:val="551B5E75"/>
    <w:rsid w:val="5548549C"/>
    <w:rsid w:val="55B53F29"/>
    <w:rsid w:val="55D620D9"/>
    <w:rsid w:val="562B2D56"/>
    <w:rsid w:val="56C86370"/>
    <w:rsid w:val="57B70F1D"/>
    <w:rsid w:val="581A2118"/>
    <w:rsid w:val="58D760D0"/>
    <w:rsid w:val="591B79C5"/>
    <w:rsid w:val="59D369EF"/>
    <w:rsid w:val="59D531ED"/>
    <w:rsid w:val="5AB302E7"/>
    <w:rsid w:val="5AF16E7F"/>
    <w:rsid w:val="5AF262C7"/>
    <w:rsid w:val="5B670AB4"/>
    <w:rsid w:val="5B9D73C6"/>
    <w:rsid w:val="5C7F7D9B"/>
    <w:rsid w:val="5CA567FA"/>
    <w:rsid w:val="5CAA4B0F"/>
    <w:rsid w:val="5CCF4DD8"/>
    <w:rsid w:val="5CE45EF9"/>
    <w:rsid w:val="5DA36672"/>
    <w:rsid w:val="5DD41CCC"/>
    <w:rsid w:val="5DEB26E7"/>
    <w:rsid w:val="5E0051A9"/>
    <w:rsid w:val="5E2E7822"/>
    <w:rsid w:val="5E617E1A"/>
    <w:rsid w:val="6056448C"/>
    <w:rsid w:val="6198112C"/>
    <w:rsid w:val="61B16453"/>
    <w:rsid w:val="62641715"/>
    <w:rsid w:val="62CB3B32"/>
    <w:rsid w:val="62D253DE"/>
    <w:rsid w:val="62E1459F"/>
    <w:rsid w:val="62F423B1"/>
    <w:rsid w:val="63F74B19"/>
    <w:rsid w:val="6427227C"/>
    <w:rsid w:val="64C13098"/>
    <w:rsid w:val="650D3C56"/>
    <w:rsid w:val="65282597"/>
    <w:rsid w:val="665C4A86"/>
    <w:rsid w:val="667B7B0E"/>
    <w:rsid w:val="66891AD0"/>
    <w:rsid w:val="66C145A2"/>
    <w:rsid w:val="66DD39E9"/>
    <w:rsid w:val="66ED1CAC"/>
    <w:rsid w:val="67572D1D"/>
    <w:rsid w:val="67944AB5"/>
    <w:rsid w:val="68806DBE"/>
    <w:rsid w:val="68A17DEC"/>
    <w:rsid w:val="68BE19A3"/>
    <w:rsid w:val="69177F2A"/>
    <w:rsid w:val="69216B8C"/>
    <w:rsid w:val="69CC68FA"/>
    <w:rsid w:val="6A4551A8"/>
    <w:rsid w:val="6A67584E"/>
    <w:rsid w:val="6B4B100E"/>
    <w:rsid w:val="6B7B17F1"/>
    <w:rsid w:val="6C4C6882"/>
    <w:rsid w:val="6CD86A17"/>
    <w:rsid w:val="6CF07CC2"/>
    <w:rsid w:val="6CF10FB6"/>
    <w:rsid w:val="6DFC5B9A"/>
    <w:rsid w:val="6F377251"/>
    <w:rsid w:val="6F4D43AD"/>
    <w:rsid w:val="6F4E5EAA"/>
    <w:rsid w:val="6F692EE5"/>
    <w:rsid w:val="6F94699C"/>
    <w:rsid w:val="6FB7697A"/>
    <w:rsid w:val="707D32B1"/>
    <w:rsid w:val="70A1520D"/>
    <w:rsid w:val="70CC2FC4"/>
    <w:rsid w:val="70EE198A"/>
    <w:rsid w:val="71B32723"/>
    <w:rsid w:val="735949E6"/>
    <w:rsid w:val="740C5201"/>
    <w:rsid w:val="74B90F85"/>
    <w:rsid w:val="74CE4011"/>
    <w:rsid w:val="74DD4102"/>
    <w:rsid w:val="74EA4F93"/>
    <w:rsid w:val="750F01D9"/>
    <w:rsid w:val="75311DD3"/>
    <w:rsid w:val="75D665EF"/>
    <w:rsid w:val="763943E8"/>
    <w:rsid w:val="76AC313A"/>
    <w:rsid w:val="77BF3706"/>
    <w:rsid w:val="77C33006"/>
    <w:rsid w:val="780C4A7C"/>
    <w:rsid w:val="786F2F35"/>
    <w:rsid w:val="78D20403"/>
    <w:rsid w:val="791A0627"/>
    <w:rsid w:val="791C7DBF"/>
    <w:rsid w:val="79401274"/>
    <w:rsid w:val="795E7F30"/>
    <w:rsid w:val="79C90BC0"/>
    <w:rsid w:val="7A481EB3"/>
    <w:rsid w:val="7B1A304A"/>
    <w:rsid w:val="7B276E4F"/>
    <w:rsid w:val="7B9009B6"/>
    <w:rsid w:val="7BCE57C0"/>
    <w:rsid w:val="7BED6C23"/>
    <w:rsid w:val="7D59336F"/>
    <w:rsid w:val="7D6C125A"/>
    <w:rsid w:val="7D91131B"/>
    <w:rsid w:val="7D9A78E0"/>
    <w:rsid w:val="7EBB2F0A"/>
    <w:rsid w:val="7EF2759F"/>
    <w:rsid w:val="7F277F35"/>
    <w:rsid w:val="7F75258D"/>
    <w:rsid w:val="7FCE2E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99" w:semiHidden="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name="macro"/>
    <w:lsdException w:uiPriority="0" w:name="toa heading"/>
    <w:lsdException w:uiPriority="0" w:name="List"/>
    <w:lsdException w:unhideWhenUsed="0" w:uiPriority="0" w:semiHidden="0" w:name="List Bullet"/>
    <w:lsdException w:unhideWhenUsed="0"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黑体" w:hAnsi="黑体" w:eastAsia="黑体"/>
      <w:kern w:val="44"/>
      <w:sz w:val="36"/>
      <w:szCs w:val="36"/>
    </w:rPr>
  </w:style>
  <w:style w:type="paragraph" w:styleId="3">
    <w:name w:val="heading 2"/>
    <w:basedOn w:val="1"/>
    <w:next w:val="1"/>
    <w:qFormat/>
    <w:uiPriority w:val="0"/>
    <w:pPr>
      <w:keepNext/>
      <w:keepLines/>
      <w:spacing w:line="360" w:lineRule="auto"/>
      <w:ind w:firstLine="640" w:firstLineChars="200"/>
      <w:outlineLvl w:val="1"/>
    </w:pPr>
    <w:rPr>
      <w:rFonts w:ascii="Arial" w:hAnsi="Arial" w:eastAsia="黑体"/>
      <w:sz w:val="32"/>
      <w:szCs w:val="32"/>
    </w:rPr>
  </w:style>
  <w:style w:type="paragraph" w:styleId="4">
    <w:name w:val="heading 3"/>
    <w:basedOn w:val="1"/>
    <w:next w:val="1"/>
    <w:unhideWhenUsed/>
    <w:qFormat/>
    <w:uiPriority w:val="9"/>
    <w:pPr>
      <w:spacing w:line="360" w:lineRule="auto"/>
      <w:ind w:firstLine="643" w:firstLineChars="200"/>
      <w:outlineLvl w:val="2"/>
    </w:pPr>
    <w:rPr>
      <w:rFonts w:ascii="仿宋_GB2312" w:hAnsi="Calibri" w:eastAsia="仿宋_GB2312" w:cs="Arial"/>
      <w:b/>
      <w:bCs/>
      <w:sz w:val="32"/>
      <w:szCs w:val="32"/>
    </w:rPr>
  </w:style>
  <w:style w:type="character" w:default="1" w:styleId="21">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9"/>
    <w:unhideWhenUsed/>
    <w:qFormat/>
    <w:uiPriority w:val="0"/>
    <w:rPr>
      <w:b/>
      <w:bCs/>
    </w:rPr>
  </w:style>
  <w:style w:type="paragraph" w:styleId="6">
    <w:name w:val="annotation text"/>
    <w:basedOn w:val="1"/>
    <w:link w:val="38"/>
    <w:unhideWhenUsed/>
    <w:qFormat/>
    <w:uiPriority w:val="99"/>
    <w:pPr>
      <w:jc w:val="left"/>
    </w:pPr>
  </w:style>
  <w:style w:type="paragraph" w:styleId="7">
    <w:name w:val="toc 7"/>
    <w:basedOn w:val="1"/>
    <w:next w:val="1"/>
    <w:unhideWhenUsed/>
    <w:qFormat/>
    <w:uiPriority w:val="39"/>
    <w:pPr>
      <w:ind w:left="2520" w:leftChars="1200"/>
    </w:pPr>
  </w:style>
  <w:style w:type="paragraph" w:styleId="8">
    <w:name w:val="toc 5"/>
    <w:basedOn w:val="1"/>
    <w:next w:val="1"/>
    <w:unhideWhenUsed/>
    <w:qFormat/>
    <w:uiPriority w:val="39"/>
    <w:pPr>
      <w:ind w:left="1680" w:leftChars="800"/>
    </w:pPr>
  </w:style>
  <w:style w:type="paragraph" w:styleId="9">
    <w:name w:val="toc 3"/>
    <w:basedOn w:val="1"/>
    <w:next w:val="1"/>
    <w:unhideWhenUsed/>
    <w:qFormat/>
    <w:uiPriority w:val="39"/>
    <w:pPr>
      <w:jc w:val="left"/>
    </w:pPr>
    <w:rPr>
      <w:rFonts w:eastAsia="Calibri"/>
      <w:smallCaps/>
      <w:sz w:val="22"/>
      <w:szCs w:val="22"/>
    </w:rPr>
  </w:style>
  <w:style w:type="paragraph" w:styleId="10">
    <w:name w:val="toc 8"/>
    <w:basedOn w:val="1"/>
    <w:next w:val="1"/>
    <w:unhideWhenUsed/>
    <w:qFormat/>
    <w:uiPriority w:val="39"/>
    <w:pPr>
      <w:ind w:left="2940" w:leftChars="1400"/>
    </w:pPr>
  </w:style>
  <w:style w:type="paragraph" w:styleId="11">
    <w:name w:val="Balloon Text"/>
    <w:basedOn w:val="1"/>
    <w:link w:val="35"/>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rPr>
  </w:style>
  <w:style w:type="paragraph" w:styleId="13">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360" w:after="360"/>
      <w:jc w:val="left"/>
    </w:pPr>
    <w:rPr>
      <w:rFonts w:eastAsia="Calibri"/>
      <w:b/>
      <w:bCs/>
      <w:caps/>
      <w:sz w:val="22"/>
      <w:szCs w:val="22"/>
      <w:u w:val="single"/>
    </w:rPr>
  </w:style>
  <w:style w:type="paragraph" w:styleId="15">
    <w:name w:val="toc 4"/>
    <w:basedOn w:val="1"/>
    <w:next w:val="1"/>
    <w:unhideWhenUsed/>
    <w:qFormat/>
    <w:uiPriority w:val="39"/>
    <w:pPr>
      <w:ind w:left="1260" w:leftChars="600"/>
    </w:pPr>
  </w:style>
  <w:style w:type="paragraph" w:styleId="16">
    <w:name w:val="footnote text"/>
    <w:basedOn w:val="1"/>
    <w:unhideWhenUsed/>
    <w:qFormat/>
    <w:uiPriority w:val="99"/>
    <w:pPr>
      <w:snapToGrid w:val="0"/>
      <w:jc w:val="left"/>
    </w:pPr>
    <w:rPr>
      <w:sz w:val="18"/>
      <w:szCs w:val="18"/>
    </w:rPr>
  </w:style>
  <w:style w:type="paragraph" w:styleId="17">
    <w:name w:val="toc 6"/>
    <w:basedOn w:val="1"/>
    <w:next w:val="1"/>
    <w:unhideWhenUsed/>
    <w:qFormat/>
    <w:uiPriority w:val="39"/>
    <w:pPr>
      <w:ind w:left="2100" w:leftChars="1000"/>
    </w:pPr>
  </w:style>
  <w:style w:type="paragraph" w:styleId="18">
    <w:name w:val="toc 2"/>
    <w:basedOn w:val="1"/>
    <w:next w:val="1"/>
    <w:unhideWhenUsed/>
    <w:qFormat/>
    <w:uiPriority w:val="39"/>
    <w:pPr>
      <w:jc w:val="left"/>
    </w:pPr>
    <w:rPr>
      <w:rFonts w:eastAsia="Calibri"/>
      <w:b/>
      <w:bCs/>
      <w:smallCaps/>
      <w:sz w:val="22"/>
      <w:szCs w:val="22"/>
    </w:rPr>
  </w:style>
  <w:style w:type="paragraph" w:styleId="19">
    <w:name w:val="toc 9"/>
    <w:basedOn w:val="1"/>
    <w:next w:val="1"/>
    <w:unhideWhenUsed/>
    <w:qFormat/>
    <w:uiPriority w:val="39"/>
    <w:pPr>
      <w:ind w:left="3360" w:leftChars="1600"/>
    </w:pPr>
  </w:style>
  <w:style w:type="paragraph" w:styleId="20">
    <w:name w:val="Normal (Web)"/>
    <w:basedOn w:val="1"/>
    <w:unhideWhenUsed/>
    <w:qFormat/>
    <w:uiPriority w:val="99"/>
    <w:pPr>
      <w:spacing w:beforeAutospacing="1" w:afterAutospacing="1"/>
      <w:jc w:val="left"/>
    </w:pPr>
    <w:rPr>
      <w:rFonts w:cs="Times New Roman"/>
      <w:kern w:val="0"/>
      <w:sz w:val="24"/>
    </w:rPr>
  </w:style>
  <w:style w:type="character" w:styleId="22">
    <w:name w:val="page number"/>
    <w:basedOn w:val="21"/>
    <w:qFormat/>
    <w:uiPriority w:val="0"/>
  </w:style>
  <w:style w:type="character" w:styleId="23">
    <w:name w:val="Hyperlink"/>
    <w:basedOn w:val="21"/>
    <w:unhideWhenUsed/>
    <w:qFormat/>
    <w:uiPriority w:val="99"/>
    <w:rPr>
      <w:color w:val="0563C1"/>
      <w:u w:val="single"/>
    </w:rPr>
  </w:style>
  <w:style w:type="character" w:styleId="24">
    <w:name w:val="annotation reference"/>
    <w:basedOn w:val="21"/>
    <w:unhideWhenUsed/>
    <w:qFormat/>
    <w:uiPriority w:val="0"/>
    <w:rPr>
      <w:sz w:val="21"/>
      <w:szCs w:val="21"/>
    </w:rPr>
  </w:style>
  <w:style w:type="character" w:styleId="25">
    <w:name w:val="footnote reference"/>
    <w:basedOn w:val="21"/>
    <w:unhideWhenUsed/>
    <w:qFormat/>
    <w:uiPriority w:val="99"/>
    <w:rPr>
      <w:vertAlign w:val="superscript"/>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TOC 标题1"/>
    <w:basedOn w:val="2"/>
    <w:next w:val="1"/>
    <w:unhideWhenUsed/>
    <w:qFormat/>
    <w:uiPriority w:val="39"/>
    <w:pPr>
      <w:widowControl/>
      <w:spacing w:before="480" w:line="276" w:lineRule="auto"/>
      <w:jc w:val="left"/>
      <w:outlineLvl w:val="9"/>
    </w:pPr>
    <w:rPr>
      <w:rFonts w:ascii="Calibri Light" w:hAnsi="Calibri Light" w:eastAsia="宋体" w:cs="黑体"/>
      <w:b/>
      <w:bCs/>
      <w:color w:val="2D73B3"/>
      <w:kern w:val="0"/>
      <w:sz w:val="28"/>
      <w:szCs w:val="28"/>
    </w:rPr>
  </w:style>
  <w:style w:type="paragraph" w:customStyle="1" w:styleId="2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TOC 标题2"/>
    <w:basedOn w:val="2"/>
    <w:next w:val="1"/>
    <w:unhideWhenUsed/>
    <w:qFormat/>
    <w:uiPriority w:val="39"/>
    <w:pPr>
      <w:widowControl/>
      <w:spacing w:before="480" w:line="276" w:lineRule="auto"/>
      <w:jc w:val="left"/>
      <w:outlineLvl w:val="9"/>
    </w:pPr>
    <w:rPr>
      <w:rFonts w:ascii="Calibri Light" w:hAnsi="Calibri Light" w:eastAsia="宋体" w:cs="黑体"/>
      <w:b/>
      <w:bCs/>
      <w:color w:val="2D73B3"/>
      <w:kern w:val="0"/>
      <w:sz w:val="28"/>
      <w:szCs w:val="28"/>
    </w:rPr>
  </w:style>
  <w:style w:type="character" w:customStyle="1" w:styleId="31">
    <w:name w:val="font31"/>
    <w:qFormat/>
    <w:uiPriority w:val="0"/>
    <w:rPr>
      <w:rFonts w:hint="eastAsia" w:ascii="宋体" w:hAnsi="宋体" w:eastAsia="宋体" w:cs="宋体"/>
      <w:color w:val="000000"/>
      <w:sz w:val="24"/>
      <w:szCs w:val="24"/>
      <w:u w:val="none"/>
    </w:rPr>
  </w:style>
  <w:style w:type="character" w:customStyle="1" w:styleId="32">
    <w:name w:val="font41"/>
    <w:qFormat/>
    <w:uiPriority w:val="0"/>
    <w:rPr>
      <w:rFonts w:hint="eastAsia" w:ascii="仿宋_GB2312" w:eastAsia="仿宋_GB2312" w:cs="仿宋_GB2312"/>
      <w:color w:val="000000"/>
      <w:sz w:val="24"/>
      <w:szCs w:val="24"/>
      <w:u w:val="none"/>
    </w:rPr>
  </w:style>
  <w:style w:type="character" w:customStyle="1" w:styleId="33">
    <w:name w:val="font11"/>
    <w:qFormat/>
    <w:uiPriority w:val="0"/>
    <w:rPr>
      <w:rFonts w:hint="eastAsia" w:ascii="仿宋_GB2312" w:eastAsia="仿宋_GB2312" w:cs="仿宋_GB2312"/>
      <w:color w:val="000000"/>
      <w:sz w:val="22"/>
      <w:szCs w:val="22"/>
      <w:u w:val="none"/>
    </w:rPr>
  </w:style>
  <w:style w:type="character" w:customStyle="1" w:styleId="34">
    <w:name w:val="font01"/>
    <w:qFormat/>
    <w:uiPriority w:val="0"/>
    <w:rPr>
      <w:rFonts w:hint="eastAsia" w:ascii="宋体" w:hAnsi="宋体" w:eastAsia="宋体" w:cs="宋体"/>
      <w:color w:val="000000"/>
      <w:sz w:val="22"/>
      <w:szCs w:val="22"/>
      <w:u w:val="none"/>
    </w:rPr>
  </w:style>
  <w:style w:type="character" w:customStyle="1" w:styleId="35">
    <w:name w:val="批注框文本 字符"/>
    <w:basedOn w:val="21"/>
    <w:link w:val="11"/>
    <w:qFormat/>
    <w:uiPriority w:val="0"/>
    <w:rPr>
      <w:rFonts w:ascii="Calibri" w:hAnsi="Calibri" w:eastAsia="宋体" w:cs="黑体"/>
      <w:kern w:val="2"/>
      <w:sz w:val="18"/>
      <w:szCs w:val="18"/>
    </w:rPr>
  </w:style>
  <w:style w:type="character" w:customStyle="1" w:styleId="36">
    <w:name w:val="页眉 字符"/>
    <w:basedOn w:val="21"/>
    <w:link w:val="13"/>
    <w:qFormat/>
    <w:uiPriority w:val="0"/>
    <w:rPr>
      <w:rFonts w:ascii="Calibri" w:hAnsi="Calibri" w:eastAsia="宋体" w:cs="黑体"/>
      <w:kern w:val="2"/>
      <w:sz w:val="18"/>
      <w:szCs w:val="18"/>
    </w:rPr>
  </w:style>
  <w:style w:type="character" w:customStyle="1" w:styleId="37">
    <w:name w:val="未处理的提及1"/>
    <w:basedOn w:val="21"/>
    <w:unhideWhenUsed/>
    <w:qFormat/>
    <w:uiPriority w:val="99"/>
    <w:rPr>
      <w:color w:val="605E5C"/>
      <w:shd w:val="clear" w:color="auto" w:fill="E1DFDD"/>
    </w:rPr>
  </w:style>
  <w:style w:type="character" w:customStyle="1" w:styleId="38">
    <w:name w:val="批注文字 字符"/>
    <w:basedOn w:val="21"/>
    <w:link w:val="6"/>
    <w:semiHidden/>
    <w:qFormat/>
    <w:uiPriority w:val="99"/>
    <w:rPr>
      <w:rFonts w:ascii="Calibri" w:hAnsi="Calibri" w:eastAsia="宋体" w:cs="黑体"/>
      <w:kern w:val="2"/>
      <w:sz w:val="21"/>
      <w:szCs w:val="24"/>
    </w:rPr>
  </w:style>
  <w:style w:type="character" w:customStyle="1" w:styleId="39">
    <w:name w:val="批注主题 字符"/>
    <w:basedOn w:val="38"/>
    <w:link w:val="5"/>
    <w:qFormat/>
    <w:uiPriority w:val="0"/>
    <w:rPr>
      <w:rFonts w:ascii="Calibri" w:hAnsi="Calibri" w:eastAsia="宋体" w:cs="黑体"/>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47</Pages>
  <Words>4128</Words>
  <Characters>23533</Characters>
  <Lines>196</Lines>
  <Paragraphs>55</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2021-07-16T16:41:00Z</dcterms:created>
  <dc:creator>谭日辉</dc:creator>
  <cp:lastModifiedBy>wangjiping</cp:lastModifiedBy>
  <cp:lastPrinted>2021-07-20T02:50:00Z</cp:lastPrinted>
  <dcterms:modified xsi:type="dcterms:W3CDTF">2021-08-09T04:05:20Z</dcterms:modified>
  <dc:title>密云区“十四五”时期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5A8F3377AF424165859574607201F0C3</vt:lpwstr>
  </property>
  <property fmtid="{D5CDD505-2E9C-101B-9397-08002B2CF9AE}" pid="4" name="_DocHome">
    <vt:r8>-1228502163</vt:r8>
  </property>
</Properties>
</file>