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_GBK" w:hAnsi="黑体" w:eastAsia="方正小标宋_GBK"/>
          <w:b/>
          <w:bCs/>
          <w:sz w:val="44"/>
          <w:szCs w:val="44"/>
        </w:rPr>
      </w:pPr>
      <w:r>
        <w:rPr>
          <w:rFonts w:hint="eastAsia" w:ascii="方正小标宋_GBK" w:hAnsi="黑体" w:eastAsia="方正小标宋_GBK"/>
          <w:b/>
          <w:bCs/>
          <w:sz w:val="44"/>
          <w:szCs w:val="44"/>
        </w:rPr>
        <w:t>《密云区“十四五”时期城乡管理规划》</w:t>
      </w:r>
    </w:p>
    <w:p>
      <w:pPr>
        <w:spacing w:line="520" w:lineRule="exact"/>
        <w:jc w:val="center"/>
        <w:rPr>
          <w:rFonts w:ascii="方正小标宋_GBK" w:hAnsi="黑体" w:eastAsia="方正小标宋_GBK"/>
          <w:b/>
          <w:bCs/>
          <w:sz w:val="44"/>
          <w:szCs w:val="44"/>
        </w:rPr>
      </w:pPr>
      <w:r>
        <w:rPr>
          <w:rFonts w:hint="eastAsia" w:ascii="方正小标宋_GBK" w:hAnsi="黑体" w:eastAsia="方正小标宋_GBK"/>
          <w:b/>
          <w:bCs/>
          <w:sz w:val="44"/>
          <w:szCs w:val="44"/>
        </w:rPr>
        <w:t>编制</w:t>
      </w:r>
      <w:r>
        <w:rPr>
          <w:rFonts w:hint="eastAsia" w:ascii="方正小标宋_GBK" w:hAnsi="黑体" w:eastAsia="方正小标宋_GBK"/>
          <w:b/>
          <w:bCs/>
          <w:sz w:val="44"/>
          <w:szCs w:val="44"/>
          <w:lang w:eastAsia="zh-CN"/>
        </w:rPr>
        <w:t>解读</w:t>
      </w:r>
    </w:p>
    <w:p>
      <w:pPr>
        <w:spacing w:line="520" w:lineRule="exact"/>
        <w:jc w:val="cente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密云区城市管理委员会</w:t>
      </w:r>
    </w:p>
    <w:p>
      <w:pPr>
        <w:spacing w:line="520" w:lineRule="exact"/>
        <w:jc w:val="cente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（2021年</w:t>
      </w:r>
      <w:r>
        <w:rPr>
          <w:rFonts w:ascii="CESI仿宋-GB2312" w:hAnsi="CESI仿宋-GB2312" w:eastAsia="CESI仿宋-GB2312" w:cs="CESI仿宋-GB2312"/>
          <w:sz w:val="32"/>
          <w:szCs w:val="32"/>
        </w:rPr>
        <w:t>5</w:t>
      </w:r>
      <w:r>
        <w:rPr>
          <w:rFonts w:hint="eastAsia" w:ascii="CESI仿宋-GB2312" w:hAnsi="CESI仿宋-GB2312" w:eastAsia="CESI仿宋-GB2312" w:cs="CESI仿宋-GB2312"/>
          <w:sz w:val="32"/>
          <w:szCs w:val="32"/>
        </w:rPr>
        <w:t>月）</w:t>
      </w:r>
    </w:p>
    <w:p>
      <w:pPr>
        <w:pStyle w:val="6"/>
        <w:shd w:val="clear" w:color="auto" w:fill="FFFFFF"/>
        <w:spacing w:before="0" w:beforeAutospacing="0" w:after="0" w:afterAutospacing="0" w:line="520" w:lineRule="exact"/>
        <w:ind w:firstLine="960" w:firstLineChars="300"/>
        <w:jc w:val="both"/>
        <w:rPr>
          <w:rFonts w:ascii="黑体" w:hAnsi="黑体" w:eastAsia="黑体"/>
          <w:sz w:val="32"/>
          <w:szCs w:val="32"/>
        </w:rPr>
      </w:pPr>
      <w:r>
        <w:rPr>
          <w:rFonts w:hint="eastAsia" w:ascii="黑体" w:hAnsi="黑体" w:eastAsia="黑体"/>
          <w:sz w:val="32"/>
          <w:szCs w:val="32"/>
        </w:rPr>
        <w:t>一、编制背景</w:t>
      </w:r>
    </w:p>
    <w:p>
      <w:pPr>
        <w:spacing w:line="520" w:lineRule="exact"/>
        <w:ind w:firstLine="640" w:firstLineChars="200"/>
        <w:rPr>
          <w:rFonts w:ascii="仿宋_GB2312" w:hAnsi="黑体" w:eastAsia="仿宋_GB2312"/>
          <w:sz w:val="32"/>
          <w:szCs w:val="32"/>
        </w:rPr>
      </w:pPr>
      <w:r>
        <w:rPr>
          <w:rFonts w:hint="eastAsia" w:ascii="仿宋_GB2312" w:hAnsi="黑体" w:eastAsia="仿宋_GB2312"/>
          <w:sz w:val="32"/>
          <w:szCs w:val="32"/>
        </w:rPr>
        <w:t>“十四五”时期是密云落实首都“四个中心”战略定位和实现“践行习近平生态文明思想典范之区、宜居宜业宜游的山水新城”发展目标的关键时期，也是落实</w:t>
      </w:r>
      <w:r>
        <w:rPr>
          <w:rFonts w:hint="eastAsia" w:ascii="仿宋_GB2312" w:hAnsi="黑体" w:eastAsia="仿宋_GB2312"/>
          <w:color w:val="auto"/>
          <w:sz w:val="32"/>
          <w:szCs w:val="32"/>
          <w:lang w:eastAsia="zh-CN"/>
        </w:rPr>
        <w:t>习</w:t>
      </w:r>
      <w:r>
        <w:rPr>
          <w:rFonts w:hint="eastAsia" w:ascii="仿宋_GB2312" w:hAnsi="黑体" w:eastAsia="仿宋_GB2312"/>
          <w:sz w:val="32"/>
          <w:szCs w:val="32"/>
        </w:rPr>
        <w:t>近平总书记关于保护好密云水库重要指示和重要回信精神</w:t>
      </w:r>
      <w:r>
        <w:rPr>
          <w:rFonts w:hint="eastAsia" w:ascii="仿宋_GB2312" w:hAnsi="黑体" w:eastAsia="仿宋_GB2312"/>
          <w:color w:val="auto"/>
          <w:sz w:val="32"/>
          <w:szCs w:val="32"/>
          <w:lang w:eastAsia="zh-CN"/>
        </w:rPr>
        <w:t>的</w:t>
      </w:r>
      <w:r>
        <w:rPr>
          <w:rFonts w:hint="eastAsia" w:ascii="仿宋_GB2312" w:hAnsi="黑体" w:eastAsia="仿宋_GB2312"/>
          <w:sz w:val="32"/>
          <w:szCs w:val="32"/>
        </w:rPr>
        <w:t>机遇期。科学编制和有效实施“十四五”规划具有十分重要的意义。</w:t>
      </w:r>
    </w:p>
    <w:p>
      <w:pPr>
        <w:spacing w:line="520" w:lineRule="exact"/>
        <w:ind w:firstLine="640" w:firstLineChars="200"/>
        <w:rPr>
          <w:rFonts w:ascii="仿宋_GB2312" w:hAnsi="黑体" w:eastAsia="仿宋_GB2312"/>
          <w:sz w:val="32"/>
          <w:szCs w:val="32"/>
        </w:rPr>
      </w:pPr>
      <w:r>
        <w:rPr>
          <w:rFonts w:hint="eastAsia" w:ascii="仿宋_GB2312" w:hAnsi="黑体" w:eastAsia="仿宋_GB2312"/>
          <w:sz w:val="32"/>
          <w:szCs w:val="32"/>
        </w:rPr>
        <w:t>《密云区“十四五”时期城乡管理规划》是密云区</w:t>
      </w:r>
      <w:r>
        <w:rPr>
          <w:rFonts w:hint="eastAsia" w:ascii="仿宋_GB2312" w:hAnsi="仿宋" w:eastAsia="仿宋_GB2312"/>
          <w:sz w:val="32"/>
          <w:szCs w:val="32"/>
        </w:rPr>
        <w:t>“十四五”时期国民经济和社会发展的专项规划之一，是指导密云区“十四五”时期城乡建设和运行保障的总体蓝图和行动纲领，也是密云区城乡管理高质量发展的强力支撑和保障</w:t>
      </w:r>
      <w:r>
        <w:rPr>
          <w:rFonts w:hint="eastAsia" w:ascii="仿宋" w:hAnsi="仿宋" w:eastAsia="仿宋"/>
          <w:sz w:val="32"/>
        </w:rPr>
        <w:t>。</w:t>
      </w:r>
    </w:p>
    <w:p>
      <w:pPr>
        <w:spacing w:line="520" w:lineRule="exact"/>
        <w:ind w:firstLine="640" w:firstLineChars="200"/>
        <w:rPr>
          <w:rFonts w:ascii="仿宋_GB2312" w:hAnsi="黑体" w:eastAsia="仿宋_GB2312"/>
          <w:sz w:val="32"/>
          <w:szCs w:val="32"/>
        </w:rPr>
      </w:pPr>
      <w:r>
        <w:rPr>
          <w:rFonts w:hint="eastAsia" w:ascii="仿宋_GB2312" w:hAnsi="黑体" w:eastAsia="仿宋_GB2312"/>
          <w:sz w:val="32"/>
          <w:szCs w:val="32"/>
        </w:rPr>
        <w:t>为充分利用社会研究力量合作开展规划编制，根据《密云区“十四五”规划编制工作方案》相关规定，密云区</w:t>
      </w:r>
      <w:r>
        <w:rPr>
          <w:rFonts w:hint="eastAsia" w:ascii="CESI仿宋-GB2312" w:hAnsi="CESI仿宋-GB2312" w:eastAsia="CESI仿宋-GB2312" w:cs="CESI仿宋-GB2312"/>
          <w:sz w:val="32"/>
          <w:szCs w:val="32"/>
        </w:rPr>
        <w:t>城市管理委员会</w:t>
      </w:r>
      <w:r>
        <w:rPr>
          <w:rFonts w:hint="eastAsia" w:ascii="仿宋_GB2312" w:hAnsi="黑体" w:eastAsia="仿宋_GB2312"/>
          <w:sz w:val="32"/>
          <w:szCs w:val="32"/>
        </w:rPr>
        <w:t>配合区发改委通过公开招募，遴选出北京市市政工程设计研究总院有限公司，作为该项目的合作编制单位。</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二、编制过程</w:t>
      </w:r>
    </w:p>
    <w:p>
      <w:pPr>
        <w:spacing w:line="520" w:lineRule="exact"/>
        <w:ind w:firstLine="640" w:firstLineChars="200"/>
        <w:rPr>
          <w:rFonts w:ascii="仿宋_GB2312" w:hAnsi="黑体" w:eastAsia="仿宋_GB2312"/>
          <w:sz w:val="32"/>
          <w:szCs w:val="32"/>
        </w:rPr>
      </w:pPr>
      <w:r>
        <w:rPr>
          <w:rFonts w:hint="eastAsia" w:ascii="仿宋_GB2312" w:hAnsi="黑体" w:eastAsia="仿宋_GB2312"/>
          <w:sz w:val="32"/>
          <w:szCs w:val="32"/>
        </w:rPr>
        <w:t>本规划在编制过程中严格遵循《北京城市总体规划（2016年—2035年）》、《北京市“十四五”时期城市管理发展规划》、《密云分区规划（国土空间规划）（2017年—2035年）》、《北京市密云区国民经济和社会发展第十四个五年规划和二〇三五年远景目标纲要》等上位规划要求。</w:t>
      </w:r>
    </w:p>
    <w:p>
      <w:pPr>
        <w:spacing w:line="520" w:lineRule="exact"/>
        <w:ind w:firstLine="640" w:firstLineChars="200"/>
        <w:rPr>
          <w:rFonts w:ascii="仿宋_GB2312" w:hAnsi="黑体" w:eastAsia="仿宋_GB2312"/>
          <w:sz w:val="32"/>
          <w:szCs w:val="32"/>
        </w:rPr>
      </w:pPr>
      <w:r>
        <w:rPr>
          <w:rFonts w:hint="eastAsia" w:ascii="仿宋_GB2312" w:hAnsi="黑体" w:eastAsia="仿宋_GB2312"/>
          <w:sz w:val="32"/>
          <w:szCs w:val="32"/>
        </w:rPr>
        <w:t>自2020年5月启动编制工作以来，广泛征求了相关委办局、各镇街的意见，通过了专家评审会</w:t>
      </w:r>
      <w:r>
        <w:rPr>
          <w:rFonts w:hint="eastAsia" w:ascii="仿宋_GB2312" w:hAnsi="黑体" w:eastAsia="仿宋_GB2312"/>
          <w:sz w:val="32"/>
          <w:szCs w:val="32"/>
          <w:lang w:eastAsia="zh-CN"/>
        </w:rPr>
        <w:t>，经过了</w:t>
      </w:r>
      <w:r>
        <w:rPr>
          <w:rFonts w:hint="eastAsia" w:ascii="仿宋_GB2312" w:hAnsi="黑体" w:eastAsia="仿宋_GB2312"/>
          <w:sz w:val="32"/>
          <w:szCs w:val="32"/>
        </w:rPr>
        <w:t>区政府专题会</w:t>
      </w:r>
      <w:r>
        <w:rPr>
          <w:rFonts w:hint="eastAsia" w:ascii="仿宋_GB2312" w:hAnsi="黑体" w:eastAsia="仿宋_GB2312"/>
          <w:sz w:val="32"/>
          <w:szCs w:val="32"/>
          <w:lang w:eastAsia="zh-CN"/>
        </w:rPr>
        <w:t>审议</w:t>
      </w:r>
      <w:r>
        <w:rPr>
          <w:rFonts w:hint="eastAsia" w:ascii="仿宋_GB2312" w:hAnsi="黑体" w:eastAsia="仿宋_GB2312"/>
          <w:sz w:val="32"/>
          <w:szCs w:val="32"/>
        </w:rPr>
        <w:t>，结合专家、区政府及各部门意见对规划内容进行修改完善后，经城管委党组（扩大）会议研审通过，形成规划成果稿。现</w:t>
      </w:r>
      <w:r>
        <w:rPr>
          <w:rFonts w:hint="eastAsia" w:ascii="仿宋_GB2312" w:hAnsi="黑体" w:eastAsia="仿宋_GB2312"/>
          <w:sz w:val="32"/>
          <w:szCs w:val="32"/>
          <w:lang w:eastAsia="zh-CN"/>
        </w:rPr>
        <w:t>准备</w:t>
      </w:r>
      <w:r>
        <w:rPr>
          <w:rFonts w:hint="eastAsia" w:ascii="仿宋_GB2312" w:hAnsi="黑体" w:eastAsia="仿宋_GB2312"/>
          <w:sz w:val="32"/>
          <w:szCs w:val="32"/>
        </w:rPr>
        <w:t>提交政府常务会审议。</w:t>
      </w:r>
    </w:p>
    <w:p>
      <w:pPr>
        <w:pStyle w:val="6"/>
        <w:shd w:val="clear" w:color="auto" w:fill="FFFFFF"/>
        <w:spacing w:before="0" w:beforeAutospacing="0" w:after="0" w:afterAutospacing="0" w:line="520" w:lineRule="exact"/>
        <w:ind w:firstLine="640" w:firstLineChars="200"/>
        <w:jc w:val="both"/>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规划</w:t>
      </w:r>
      <w:r>
        <w:rPr>
          <w:rFonts w:ascii="黑体" w:hAnsi="黑体" w:eastAsia="黑体"/>
          <w:sz w:val="32"/>
          <w:szCs w:val="32"/>
        </w:rPr>
        <w:t>框架</w:t>
      </w:r>
    </w:p>
    <w:p>
      <w:pPr>
        <w:spacing w:line="520" w:lineRule="exact"/>
        <w:ind w:firstLine="640" w:firstLineChars="200"/>
        <w:rPr>
          <w:rFonts w:ascii="仿宋_GB2312" w:hAnsi="黑体" w:eastAsia="仿宋_GB2312"/>
          <w:bCs/>
          <w:sz w:val="32"/>
          <w:szCs w:val="32"/>
        </w:rPr>
      </w:pPr>
      <w:r>
        <w:rPr>
          <w:rFonts w:hint="eastAsia" w:ascii="仿宋_GB2312" w:hAnsi="黑体" w:eastAsia="仿宋_GB2312"/>
          <w:sz w:val="32"/>
          <w:szCs w:val="32"/>
        </w:rPr>
        <w:t>《密云区“十四五”时期城乡管理规划》主要包括七部分内容，分别是</w:t>
      </w:r>
      <w:r>
        <w:rPr>
          <w:rFonts w:hint="eastAsia" w:ascii="仿宋_GB2312" w:hAnsi="黑体" w:eastAsia="仿宋_GB2312"/>
          <w:bCs/>
          <w:sz w:val="32"/>
          <w:szCs w:val="32"/>
        </w:rPr>
        <w:t>第一部分（规划基础）、第二部分（工作回顾）、第三部分（发展形势）、第四部分（发展思路和目标）、第五部分（主要任务）、第六部分（实施保障）和第七部分（项目汇总）。本规划从生态密云、美丽密云、畅通密云、安全密云、韧性密云、智慧密云六个方面提出城乡管理的发展目标，从交通设施、市政设施、环卫</w:t>
      </w:r>
      <w:r>
        <w:rPr>
          <w:rFonts w:hint="eastAsia" w:ascii="仿宋_GB2312" w:hAnsi="黑体" w:eastAsia="仿宋_GB2312"/>
          <w:bCs/>
          <w:color w:val="auto"/>
          <w:sz w:val="32"/>
          <w:szCs w:val="32"/>
          <w:lang w:eastAsia="zh-CN"/>
        </w:rPr>
        <w:t>管理</w:t>
      </w:r>
      <w:r>
        <w:rPr>
          <w:rFonts w:hint="eastAsia" w:ascii="仿宋_GB2312" w:hAnsi="黑体" w:eastAsia="仿宋_GB2312"/>
          <w:bCs/>
          <w:sz w:val="32"/>
          <w:szCs w:val="32"/>
        </w:rPr>
        <w:t>、环境整治、运行管理、管理体系六个方面制定了未来五年我区城乡管理的主要任务，并提出具体可实施项目。</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总体目标</w:t>
      </w:r>
    </w:p>
    <w:p>
      <w:pPr>
        <w:pStyle w:val="11"/>
        <w:ind w:firstLine="640"/>
        <w:rPr>
          <w:rFonts w:ascii="仿宋" w:hAnsi="仿宋" w:eastAsia="仿宋"/>
          <w:b/>
          <w:sz w:val="32"/>
        </w:rPr>
      </w:pPr>
      <w:r>
        <w:rPr>
          <w:rFonts w:hint="eastAsia" w:ascii="仿宋_GB2312" w:hAnsi="黑体" w:eastAsia="仿宋_GB2312"/>
          <w:sz w:val="32"/>
          <w:szCs w:val="32"/>
        </w:rPr>
        <w:t>《密云区“十四五”时期城乡管理规划》</w:t>
      </w:r>
      <w:r>
        <w:rPr>
          <w:rFonts w:hint="eastAsia" w:ascii="仿宋" w:hAnsi="仿宋" w:eastAsia="仿宋"/>
          <w:sz w:val="32"/>
        </w:rPr>
        <w:t>全面落实习近平总书记</w:t>
      </w:r>
      <w:r>
        <w:rPr>
          <w:rFonts w:ascii="仿宋" w:hAnsi="仿宋" w:eastAsia="仿宋"/>
          <w:sz w:val="32"/>
        </w:rPr>
        <w:t>的</w:t>
      </w:r>
      <w:r>
        <w:rPr>
          <w:rFonts w:hint="eastAsia" w:ascii="仿宋" w:hAnsi="仿宋" w:eastAsia="仿宋"/>
          <w:sz w:val="32"/>
        </w:rPr>
        <w:t>重要回信精神，深入贯彻</w:t>
      </w:r>
      <w:r>
        <w:rPr>
          <w:rFonts w:hint="eastAsia" w:ascii="仿宋" w:hAnsi="仿宋" w:eastAsia="仿宋"/>
          <w:sz w:val="32"/>
          <w:lang w:val="en-US" w:eastAsia="zh-CN"/>
        </w:rPr>
        <w:t>习近平</w:t>
      </w:r>
      <w:bookmarkStart w:id="9" w:name="_GoBack"/>
      <w:bookmarkEnd w:id="9"/>
      <w:r>
        <w:rPr>
          <w:rFonts w:hint="eastAsia" w:ascii="仿宋" w:hAnsi="仿宋" w:eastAsia="仿宋"/>
          <w:sz w:val="32"/>
        </w:rPr>
        <w:t>生态文明思想，坚持生态优先、绿色发展的理念，以创建全国文明城区为抓手，持续提升城乡管理水平。到“十四五”末期，把密云打造成：生态环境优越、风貌特色鲜明、绿色精细发展的山水宜居之城。</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w:t>
      </w:r>
      <w:r>
        <w:rPr>
          <w:rFonts w:hint="eastAsia" w:ascii="黑体" w:hAnsi="黑体" w:eastAsia="黑体"/>
          <w:sz w:val="32"/>
          <w:szCs w:val="32"/>
        </w:rPr>
        <w:t>主要内容</w:t>
      </w:r>
    </w:p>
    <w:p>
      <w:pPr>
        <w:spacing w:line="520" w:lineRule="exact"/>
        <w:ind w:firstLine="640" w:firstLineChars="200"/>
        <w:rPr>
          <w:rFonts w:ascii="仿宋_GB2312" w:hAnsi="黑体" w:eastAsia="仿宋_GB2312"/>
          <w:sz w:val="32"/>
          <w:szCs w:val="32"/>
        </w:rPr>
      </w:pPr>
      <w:r>
        <w:rPr>
          <w:rFonts w:ascii="仿宋_GB2312" w:hAnsi="黑体" w:eastAsia="仿宋_GB2312"/>
          <w:sz w:val="32"/>
          <w:szCs w:val="32"/>
        </w:rPr>
        <w:t>本规划主要内容</w:t>
      </w:r>
      <w:r>
        <w:rPr>
          <w:rFonts w:hint="eastAsia" w:ascii="仿宋_GB2312" w:hAnsi="黑体" w:eastAsia="仿宋_GB2312"/>
          <w:sz w:val="32"/>
          <w:szCs w:val="32"/>
        </w:rPr>
        <w:t>包括交通设施、市政设施、环卫</w:t>
      </w:r>
      <w:r>
        <w:rPr>
          <w:rFonts w:hint="eastAsia" w:ascii="仿宋_GB2312" w:hAnsi="黑体" w:eastAsia="仿宋_GB2312"/>
          <w:color w:val="auto"/>
          <w:sz w:val="32"/>
          <w:szCs w:val="32"/>
          <w:lang w:eastAsia="zh-CN"/>
        </w:rPr>
        <w:t>管理</w:t>
      </w:r>
      <w:r>
        <w:rPr>
          <w:rFonts w:hint="eastAsia" w:ascii="仿宋_GB2312" w:hAnsi="黑体" w:eastAsia="仿宋_GB2312"/>
          <w:sz w:val="32"/>
          <w:szCs w:val="32"/>
        </w:rPr>
        <w:t>、环境整治、运行管理、管理体系六个方面。</w:t>
      </w:r>
    </w:p>
    <w:p>
      <w:pPr>
        <w:numPr>
          <w:ilvl w:val="0"/>
          <w:numId w:val="1"/>
        </w:numPr>
        <w:spacing w:line="520" w:lineRule="exact"/>
        <w:rPr>
          <w:rFonts w:ascii="楷体_GB2312" w:hAnsi="黑体" w:eastAsia="楷体_GB2312"/>
          <w:b/>
          <w:bCs/>
          <w:sz w:val="32"/>
          <w:szCs w:val="32"/>
        </w:rPr>
      </w:pPr>
      <w:r>
        <w:rPr>
          <w:rFonts w:hint="eastAsia" w:ascii="楷体_GB2312" w:hAnsi="黑体" w:eastAsia="楷体_GB2312"/>
          <w:b/>
          <w:bCs/>
          <w:sz w:val="32"/>
          <w:szCs w:val="32"/>
        </w:rPr>
        <w:t>持续推进交通设施建设，提高市民出行便利性</w:t>
      </w:r>
    </w:p>
    <w:p>
      <w:pPr>
        <w:spacing w:line="360" w:lineRule="auto"/>
        <w:ind w:firstLine="640" w:firstLineChars="200"/>
        <w:rPr>
          <w:rFonts w:ascii="仿宋" w:hAnsi="仿宋" w:eastAsia="仿宋"/>
          <w:bCs/>
          <w:sz w:val="32"/>
          <w:szCs w:val="24"/>
        </w:rPr>
      </w:pPr>
      <w:r>
        <w:rPr>
          <w:rFonts w:hint="eastAsia" w:ascii="仿宋" w:hAnsi="仿宋" w:eastAsia="仿宋"/>
          <w:sz w:val="32"/>
          <w:szCs w:val="24"/>
        </w:rPr>
        <w:t>以提高市民出行便利性为目标，针对性补全交通设施短板，通过加快轨道交通系统、公路网系统、城市道路系统和停车设施的建设，全面提高市民出行便利性，提升人民群众的获得感和幸福感。</w:t>
      </w:r>
    </w:p>
    <w:p>
      <w:pPr>
        <w:numPr>
          <w:ilvl w:val="0"/>
          <w:numId w:val="1"/>
        </w:numPr>
        <w:spacing w:line="520" w:lineRule="exact"/>
        <w:rPr>
          <w:rFonts w:ascii="楷体_GB2312" w:hAnsi="黑体" w:eastAsia="楷体_GB2312"/>
          <w:b/>
          <w:bCs/>
          <w:sz w:val="32"/>
          <w:szCs w:val="32"/>
        </w:rPr>
      </w:pPr>
      <w:r>
        <w:rPr>
          <w:rFonts w:hint="eastAsia" w:ascii="楷体_GB2312" w:hAnsi="黑体" w:eastAsia="楷体_GB2312"/>
          <w:b/>
          <w:bCs/>
          <w:sz w:val="32"/>
          <w:szCs w:val="32"/>
        </w:rPr>
        <w:t>加快补全市政设施短板，提升设施服务水平</w:t>
      </w:r>
    </w:p>
    <w:p>
      <w:pPr>
        <w:spacing w:line="360" w:lineRule="auto"/>
        <w:ind w:firstLine="640" w:firstLineChars="200"/>
        <w:rPr>
          <w:rFonts w:ascii="仿宋" w:hAnsi="仿宋" w:eastAsia="仿宋"/>
          <w:sz w:val="32"/>
          <w:szCs w:val="24"/>
        </w:rPr>
      </w:pPr>
      <w:r>
        <w:rPr>
          <w:rFonts w:hint="eastAsia" w:ascii="仿宋" w:hAnsi="仿宋" w:eastAsia="仿宋"/>
          <w:sz w:val="32"/>
          <w:szCs w:val="24"/>
        </w:rPr>
        <w:t>以提升居民生活舒适度为目标，高质量推动供热、燃气、电力等市政设施建设，全面提升设施服务水平，打造出智慧友好、供需平衡的市政设施运行保障体系。</w:t>
      </w:r>
    </w:p>
    <w:p>
      <w:pPr>
        <w:numPr>
          <w:ilvl w:val="0"/>
          <w:numId w:val="1"/>
        </w:numPr>
        <w:spacing w:line="520" w:lineRule="exact"/>
        <w:rPr>
          <w:rFonts w:ascii="楷体_GB2312" w:hAnsi="黑体" w:eastAsia="楷体_GB2312"/>
          <w:b/>
          <w:bCs/>
          <w:sz w:val="32"/>
          <w:szCs w:val="32"/>
        </w:rPr>
      </w:pPr>
      <w:bookmarkStart w:id="0" w:name="_Toc54251273"/>
      <w:bookmarkStart w:id="1" w:name="_Toc45717734"/>
      <w:bookmarkStart w:id="2" w:name="_Toc73021816"/>
      <w:r>
        <w:rPr>
          <w:rFonts w:hint="eastAsia" w:ascii="楷体_GB2312" w:hAnsi="黑体" w:eastAsia="楷体_GB2312"/>
          <w:b/>
          <w:bCs/>
          <w:sz w:val="32"/>
          <w:szCs w:val="32"/>
        </w:rPr>
        <w:t>精细开展环卫管理，</w:t>
      </w:r>
      <w:bookmarkEnd w:id="0"/>
      <w:bookmarkEnd w:id="1"/>
      <w:r>
        <w:rPr>
          <w:rFonts w:hint="eastAsia" w:ascii="楷体_GB2312" w:hAnsi="黑体" w:eastAsia="楷体_GB2312"/>
          <w:b/>
          <w:bCs/>
          <w:sz w:val="32"/>
          <w:szCs w:val="32"/>
        </w:rPr>
        <w:t>增强环境卫生保障能力</w:t>
      </w:r>
      <w:bookmarkEnd w:id="2"/>
    </w:p>
    <w:p>
      <w:pPr>
        <w:spacing w:line="360" w:lineRule="auto"/>
        <w:ind w:firstLine="640" w:firstLineChars="200"/>
        <w:rPr>
          <w:rFonts w:ascii="仿宋" w:hAnsi="仿宋" w:eastAsia="仿宋"/>
          <w:sz w:val="32"/>
          <w:szCs w:val="24"/>
        </w:rPr>
      </w:pPr>
      <w:r>
        <w:rPr>
          <w:rFonts w:hint="eastAsia" w:ascii="仿宋" w:hAnsi="仿宋" w:eastAsia="仿宋"/>
          <w:sz w:val="32"/>
          <w:szCs w:val="24"/>
        </w:rPr>
        <w:t>以提升环境卫生保障能力为目标，全面升级垃圾处理设施，提升垃圾处理能力；进一步完善垃圾收运体系，推进垃圾资源化处理；优化公厕建管水平，提升便民服务能力；持续推进环卫作业机械化建设，提升道路清扫保洁能力。全力打造出市民满意城市环境卫生服务水平。</w:t>
      </w:r>
    </w:p>
    <w:p>
      <w:pPr>
        <w:numPr>
          <w:ilvl w:val="0"/>
          <w:numId w:val="1"/>
        </w:numPr>
        <w:spacing w:line="520" w:lineRule="exact"/>
        <w:rPr>
          <w:rFonts w:ascii="楷体_GB2312" w:hAnsi="黑体" w:eastAsia="楷体_GB2312"/>
          <w:b/>
          <w:bCs/>
          <w:sz w:val="32"/>
          <w:szCs w:val="32"/>
        </w:rPr>
      </w:pPr>
      <w:r>
        <w:rPr>
          <w:rFonts w:hint="eastAsia" w:ascii="楷体_GB2312" w:hAnsi="黑体" w:eastAsia="楷体_GB2312"/>
          <w:b/>
          <w:bCs/>
          <w:sz w:val="32"/>
          <w:szCs w:val="32"/>
        </w:rPr>
        <w:t>持续开展景观环境整治，提升城市宜居性</w:t>
      </w:r>
    </w:p>
    <w:p>
      <w:pPr>
        <w:spacing w:line="360" w:lineRule="auto"/>
        <w:ind w:firstLine="640" w:firstLineChars="200"/>
        <w:rPr>
          <w:rFonts w:ascii="仿宋" w:hAnsi="仿宋" w:eastAsia="仿宋"/>
          <w:sz w:val="32"/>
          <w:szCs w:val="24"/>
        </w:rPr>
      </w:pPr>
      <w:r>
        <w:rPr>
          <w:rFonts w:hint="eastAsia" w:ascii="仿宋" w:hAnsi="仿宋" w:eastAsia="仿宋"/>
          <w:sz w:val="32"/>
          <w:szCs w:val="24"/>
        </w:rPr>
        <w:t>以改善群众生活环境质量为目标，持续推进密云特色景观建设，积极整治背街小巷，全面督导照明体系建设，统筹规划全区户外广告设置，全力解决好群众关心关切的热点、难点问题，打造出“宜居宜业宜游”的美丽密云。</w:t>
      </w:r>
    </w:p>
    <w:p>
      <w:pPr>
        <w:numPr>
          <w:ilvl w:val="0"/>
          <w:numId w:val="1"/>
        </w:numPr>
        <w:spacing w:line="520" w:lineRule="exact"/>
        <w:rPr>
          <w:rFonts w:ascii="楷体_GB2312" w:hAnsi="黑体" w:eastAsia="楷体_GB2312"/>
          <w:b/>
          <w:bCs/>
          <w:sz w:val="32"/>
          <w:szCs w:val="32"/>
        </w:rPr>
      </w:pPr>
      <w:r>
        <w:rPr>
          <w:rFonts w:hint="eastAsia" w:ascii="楷体_GB2312" w:hAnsi="黑体" w:eastAsia="楷体_GB2312"/>
          <w:b/>
          <w:bCs/>
          <w:sz w:val="32"/>
          <w:szCs w:val="32"/>
        </w:rPr>
        <w:t>加强城市运行管理，保障城市运行安全</w:t>
      </w:r>
    </w:p>
    <w:p>
      <w:pPr>
        <w:spacing w:line="360" w:lineRule="auto"/>
        <w:ind w:firstLine="640" w:firstLineChars="200"/>
        <w:rPr>
          <w:rFonts w:ascii="仿宋" w:hAnsi="仿宋" w:eastAsia="仿宋"/>
          <w:sz w:val="32"/>
          <w:szCs w:val="24"/>
        </w:rPr>
      </w:pPr>
      <w:r>
        <w:rPr>
          <w:rFonts w:hint="eastAsia" w:ascii="仿宋" w:hAnsi="仿宋" w:eastAsia="仿宋"/>
          <w:sz w:val="32"/>
          <w:szCs w:val="24"/>
        </w:rPr>
        <w:t>以保障城市运行安全为目标，全心全力做好城市运行与民生安全保障工作。积极开展地下管线检测维护，进一步强化供电、供气、供热设施等安全保障工作，提高安全服务质量，筑牢安全防线，全力打造市民满意、政府放心的城市安全保障新格局。</w:t>
      </w:r>
    </w:p>
    <w:p>
      <w:pPr>
        <w:numPr>
          <w:ilvl w:val="0"/>
          <w:numId w:val="1"/>
        </w:numPr>
        <w:spacing w:line="520" w:lineRule="exact"/>
        <w:rPr>
          <w:rFonts w:hint="eastAsia" w:ascii="楷体_GB2312" w:hAnsi="黑体" w:eastAsia="楷体_GB2312"/>
          <w:b/>
          <w:bCs/>
          <w:sz w:val="32"/>
          <w:szCs w:val="32"/>
        </w:rPr>
      </w:pPr>
      <w:bookmarkStart w:id="3" w:name="_Toc54251284"/>
      <w:bookmarkStart w:id="4" w:name="_Toc73021829"/>
      <w:r>
        <w:rPr>
          <w:rFonts w:hint="eastAsia" w:ascii="楷体_GB2312" w:hAnsi="黑体" w:eastAsia="楷体_GB2312"/>
          <w:b/>
          <w:bCs/>
          <w:sz w:val="32"/>
          <w:szCs w:val="32"/>
        </w:rPr>
        <w:t>深化城市管理模式，</w:t>
      </w:r>
      <w:bookmarkEnd w:id="3"/>
      <w:r>
        <w:rPr>
          <w:rFonts w:hint="eastAsia" w:ascii="楷体_GB2312" w:hAnsi="黑体" w:eastAsia="楷体_GB2312"/>
          <w:b/>
          <w:bCs/>
          <w:sz w:val="32"/>
          <w:szCs w:val="32"/>
        </w:rPr>
        <w:t>建设精治共治法治的管理体系</w:t>
      </w:r>
      <w:bookmarkEnd w:id="4"/>
    </w:p>
    <w:p>
      <w:pPr>
        <w:spacing w:line="360" w:lineRule="auto"/>
        <w:ind w:firstLine="640" w:firstLineChars="200"/>
        <w:rPr>
          <w:rFonts w:ascii="仿宋" w:hAnsi="仿宋" w:eastAsia="仿宋"/>
          <w:sz w:val="32"/>
          <w:szCs w:val="24"/>
        </w:rPr>
      </w:pPr>
      <w:r>
        <w:rPr>
          <w:rFonts w:hint="eastAsia" w:ascii="仿宋" w:hAnsi="仿宋" w:eastAsia="仿宋"/>
          <w:sz w:val="32"/>
          <w:szCs w:val="24"/>
        </w:rPr>
        <w:t>以满足“七有”“五性”的市民需求为目标，以创建全国文明城区为契机,以精细化、智慧化管理为重点，持续推进管理体系改革，高效率推进城市智慧化管理全覆盖，全面提升密云城市精治、共治、法治水平。</w:t>
      </w:r>
    </w:p>
    <w:p>
      <w:pPr>
        <w:kinsoku w:val="0"/>
        <w:overflowPunct w:val="0"/>
        <w:spacing w:line="520" w:lineRule="exact"/>
        <w:ind w:firstLine="640" w:firstLineChars="200"/>
        <w:textAlignment w:val="baseline"/>
        <w:rPr>
          <w:rFonts w:ascii="黑体" w:hAnsi="黑体" w:eastAsia="黑体"/>
          <w:sz w:val="32"/>
          <w:szCs w:val="32"/>
        </w:rPr>
      </w:pPr>
      <w:r>
        <w:rPr>
          <w:rFonts w:hint="eastAsia" w:ascii="黑体" w:hAnsi="黑体" w:eastAsia="黑体"/>
          <w:sz w:val="32"/>
          <w:szCs w:val="32"/>
        </w:rPr>
        <w:t>六、实施保障</w:t>
      </w:r>
    </w:p>
    <w:p>
      <w:pPr>
        <w:spacing w:line="360" w:lineRule="auto"/>
        <w:ind w:firstLine="640" w:firstLineChars="200"/>
        <w:rPr>
          <w:rFonts w:ascii="仿宋" w:hAnsi="仿宋" w:eastAsia="仿宋"/>
          <w:sz w:val="32"/>
          <w:szCs w:val="24"/>
        </w:rPr>
      </w:pPr>
      <w:r>
        <w:rPr>
          <w:rFonts w:hint="eastAsia" w:ascii="仿宋" w:hAnsi="仿宋" w:eastAsia="仿宋"/>
          <w:sz w:val="32"/>
          <w:szCs w:val="24"/>
        </w:rPr>
        <w:t>《密云区“十四五”时期城乡管理规划》主要提出5条促进规划落实的具体保障措施：一是组织保障：</w:t>
      </w:r>
      <w:bookmarkStart w:id="5" w:name="_Toc73021835"/>
      <w:r>
        <w:rPr>
          <w:rFonts w:hint="eastAsia" w:ascii="仿宋" w:hAnsi="仿宋" w:eastAsia="仿宋"/>
          <w:sz w:val="32"/>
          <w:szCs w:val="24"/>
        </w:rPr>
        <w:t>加强组织领导，强化统筹协调</w:t>
      </w:r>
      <w:bookmarkEnd w:id="5"/>
      <w:r>
        <w:rPr>
          <w:rFonts w:hint="eastAsia" w:ascii="仿宋" w:hAnsi="仿宋" w:eastAsia="仿宋"/>
          <w:sz w:val="32"/>
          <w:szCs w:val="24"/>
        </w:rPr>
        <w:t>；二是督查考评保障：健全督查考评，推动责任落实；三是资金保障：</w:t>
      </w:r>
      <w:bookmarkStart w:id="6" w:name="_Toc73021837"/>
      <w:r>
        <w:rPr>
          <w:rFonts w:ascii="仿宋" w:hAnsi="仿宋" w:eastAsia="仿宋"/>
          <w:sz w:val="32"/>
          <w:szCs w:val="24"/>
        </w:rPr>
        <w:t>加大资金</w:t>
      </w:r>
      <w:r>
        <w:rPr>
          <w:rFonts w:hint="eastAsia" w:ascii="仿宋" w:hAnsi="仿宋" w:eastAsia="仿宋"/>
          <w:sz w:val="32"/>
          <w:szCs w:val="24"/>
        </w:rPr>
        <w:t>投入，保障项目实施</w:t>
      </w:r>
      <w:bookmarkEnd w:id="6"/>
      <w:r>
        <w:rPr>
          <w:rFonts w:hint="eastAsia" w:ascii="仿宋" w:hAnsi="仿宋" w:eastAsia="仿宋"/>
          <w:sz w:val="32"/>
          <w:szCs w:val="24"/>
        </w:rPr>
        <w:t>；四是人才保障：</w:t>
      </w:r>
      <w:bookmarkStart w:id="7" w:name="_Toc73021838"/>
      <w:r>
        <w:rPr>
          <w:rFonts w:ascii="仿宋" w:hAnsi="仿宋" w:eastAsia="仿宋"/>
          <w:sz w:val="32"/>
          <w:szCs w:val="24"/>
        </w:rPr>
        <w:t>优化</w:t>
      </w:r>
      <w:r>
        <w:rPr>
          <w:rFonts w:hint="eastAsia" w:ascii="仿宋" w:hAnsi="仿宋" w:eastAsia="仿宋"/>
          <w:sz w:val="32"/>
          <w:szCs w:val="24"/>
        </w:rPr>
        <w:t>人才</w:t>
      </w:r>
      <w:r>
        <w:rPr>
          <w:rFonts w:ascii="仿宋" w:hAnsi="仿宋" w:eastAsia="仿宋"/>
          <w:sz w:val="32"/>
          <w:szCs w:val="24"/>
        </w:rPr>
        <w:t>队伍</w:t>
      </w:r>
      <w:r>
        <w:rPr>
          <w:rFonts w:hint="eastAsia" w:ascii="仿宋" w:hAnsi="仿宋" w:eastAsia="仿宋"/>
          <w:sz w:val="32"/>
          <w:szCs w:val="24"/>
        </w:rPr>
        <w:t>，提高专业水平</w:t>
      </w:r>
      <w:bookmarkEnd w:id="7"/>
      <w:r>
        <w:rPr>
          <w:rFonts w:hint="eastAsia" w:ascii="仿宋" w:hAnsi="仿宋" w:eastAsia="仿宋"/>
          <w:sz w:val="32"/>
          <w:szCs w:val="24"/>
        </w:rPr>
        <w:t>；五是公众参与保障：</w:t>
      </w:r>
      <w:bookmarkStart w:id="8" w:name="_Toc73021839"/>
      <w:r>
        <w:rPr>
          <w:rFonts w:ascii="仿宋" w:hAnsi="仿宋" w:eastAsia="仿宋"/>
          <w:sz w:val="32"/>
          <w:szCs w:val="24"/>
        </w:rPr>
        <w:t>加大社会动员</w:t>
      </w:r>
      <w:r>
        <w:rPr>
          <w:rFonts w:hint="eastAsia" w:ascii="仿宋" w:hAnsi="仿宋" w:eastAsia="仿宋"/>
          <w:sz w:val="32"/>
          <w:szCs w:val="24"/>
        </w:rPr>
        <w:t>，</w:t>
      </w:r>
      <w:r>
        <w:rPr>
          <w:rFonts w:ascii="仿宋" w:hAnsi="仿宋" w:eastAsia="仿宋"/>
          <w:sz w:val="32"/>
          <w:szCs w:val="24"/>
        </w:rPr>
        <w:t>强化公众参与</w:t>
      </w:r>
      <w:bookmarkEnd w:id="8"/>
      <w:r>
        <w:rPr>
          <w:rFonts w:hint="eastAsia" w:ascii="仿宋" w:hAnsi="仿宋" w:eastAsia="仿宋"/>
          <w:sz w:val="32"/>
          <w:szCs w:val="24"/>
        </w:rPr>
        <w:t>。</w:t>
      </w:r>
    </w:p>
    <w:p>
      <w:pPr>
        <w:overflowPunct w:val="0"/>
        <w:adjustRightInd w:val="0"/>
        <w:snapToGrid w:val="0"/>
        <w:spacing w:line="520" w:lineRule="exact"/>
        <w:ind w:firstLine="640" w:firstLineChars="200"/>
        <w:rPr>
          <w:rFonts w:ascii="仿宋_GB2312" w:hAnsi="黑体" w:eastAsia="仿宋_GB2312"/>
          <w:sz w:val="32"/>
          <w:szCs w:val="32"/>
        </w:rPr>
      </w:pPr>
    </w:p>
    <w:sectPr>
      <w:footerReference r:id="rId3" w:type="default"/>
      <w:footerReference r:id="rId4" w:type="even"/>
      <w:pgSz w:w="11906" w:h="16838"/>
      <w:pgMar w:top="2098" w:right="1531" w:bottom="1985"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CESI仿宋-GB2312">
    <w:altName w:val="仿宋"/>
    <w:panose1 w:val="00000000000000000000"/>
    <w:charset w:val="86"/>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1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t>- 1 -</w:t>
    </w:r>
    <w:r>
      <w:rPr>
        <w:rFonts w:ascii="宋体" w:hAnsi="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t>- 2 -</w:t>
    </w:r>
    <w:r>
      <w:rPr>
        <w:rFonts w:ascii="宋体" w:hAnsi="宋体"/>
        <w:sz w:val="28"/>
        <w:szCs w:val="2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442D41"/>
    <w:multiLevelType w:val="multilevel"/>
    <w:tmpl w:val="53442D41"/>
    <w:lvl w:ilvl="0" w:tentative="0">
      <w:start w:val="1"/>
      <w:numFmt w:val="chineseCountingThousand"/>
      <w:lvlText w:val="(%1)"/>
      <w:lvlJc w:val="left"/>
      <w:pPr>
        <w:ind w:left="1063" w:hanging="420"/>
      </w:p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TM1ZWYyNTJkNjVkYzBhMTgwZWVlOTY4M2E2MzE4NjUifQ=="/>
  </w:docVars>
  <w:rsids>
    <w:rsidRoot w:val="0052166F"/>
    <w:rsid w:val="000020E2"/>
    <w:rsid w:val="00003EFC"/>
    <w:rsid w:val="00037636"/>
    <w:rsid w:val="00040E6A"/>
    <w:rsid w:val="000444F8"/>
    <w:rsid w:val="00056C75"/>
    <w:rsid w:val="00056EFB"/>
    <w:rsid w:val="00065FA3"/>
    <w:rsid w:val="000906FB"/>
    <w:rsid w:val="000B26A4"/>
    <w:rsid w:val="000B4C8C"/>
    <w:rsid w:val="000F6AA1"/>
    <w:rsid w:val="001544AB"/>
    <w:rsid w:val="00154D3E"/>
    <w:rsid w:val="00195C55"/>
    <w:rsid w:val="001D042E"/>
    <w:rsid w:val="001E0102"/>
    <w:rsid w:val="001F4DDA"/>
    <w:rsid w:val="001F753B"/>
    <w:rsid w:val="002163D2"/>
    <w:rsid w:val="002211EF"/>
    <w:rsid w:val="00224805"/>
    <w:rsid w:val="002447A6"/>
    <w:rsid w:val="002503AE"/>
    <w:rsid w:val="0026696B"/>
    <w:rsid w:val="00274538"/>
    <w:rsid w:val="00281795"/>
    <w:rsid w:val="002B3DFB"/>
    <w:rsid w:val="002D0187"/>
    <w:rsid w:val="002E361A"/>
    <w:rsid w:val="002E4760"/>
    <w:rsid w:val="003273E3"/>
    <w:rsid w:val="00365339"/>
    <w:rsid w:val="00375D6C"/>
    <w:rsid w:val="003D25A2"/>
    <w:rsid w:val="00445B3B"/>
    <w:rsid w:val="0046041A"/>
    <w:rsid w:val="00485EED"/>
    <w:rsid w:val="005129BA"/>
    <w:rsid w:val="0052166F"/>
    <w:rsid w:val="00534EE1"/>
    <w:rsid w:val="00544062"/>
    <w:rsid w:val="006062EA"/>
    <w:rsid w:val="00620731"/>
    <w:rsid w:val="00651D58"/>
    <w:rsid w:val="00654461"/>
    <w:rsid w:val="00655B23"/>
    <w:rsid w:val="006639D0"/>
    <w:rsid w:val="006956E7"/>
    <w:rsid w:val="006A6EB5"/>
    <w:rsid w:val="006B346B"/>
    <w:rsid w:val="006F463E"/>
    <w:rsid w:val="00721343"/>
    <w:rsid w:val="00722426"/>
    <w:rsid w:val="0073051A"/>
    <w:rsid w:val="00763DEB"/>
    <w:rsid w:val="00771733"/>
    <w:rsid w:val="00773856"/>
    <w:rsid w:val="007C7D0A"/>
    <w:rsid w:val="007E7CB8"/>
    <w:rsid w:val="00801CAD"/>
    <w:rsid w:val="00803E7D"/>
    <w:rsid w:val="00816009"/>
    <w:rsid w:val="008404FE"/>
    <w:rsid w:val="0088083D"/>
    <w:rsid w:val="00881FE9"/>
    <w:rsid w:val="008D2A94"/>
    <w:rsid w:val="008F6E26"/>
    <w:rsid w:val="00914E10"/>
    <w:rsid w:val="0094461C"/>
    <w:rsid w:val="009837B2"/>
    <w:rsid w:val="009910D8"/>
    <w:rsid w:val="00994FD3"/>
    <w:rsid w:val="009B6B4A"/>
    <w:rsid w:val="009B6D6D"/>
    <w:rsid w:val="009D16A1"/>
    <w:rsid w:val="009E1435"/>
    <w:rsid w:val="00A20389"/>
    <w:rsid w:val="00A21684"/>
    <w:rsid w:val="00A36D88"/>
    <w:rsid w:val="00A419AF"/>
    <w:rsid w:val="00A65583"/>
    <w:rsid w:val="00A82E7B"/>
    <w:rsid w:val="00AB2159"/>
    <w:rsid w:val="00AB604C"/>
    <w:rsid w:val="00AD1473"/>
    <w:rsid w:val="00AF2DB7"/>
    <w:rsid w:val="00B10FAD"/>
    <w:rsid w:val="00B36693"/>
    <w:rsid w:val="00B622D7"/>
    <w:rsid w:val="00BB1773"/>
    <w:rsid w:val="00BD65FA"/>
    <w:rsid w:val="00BF4728"/>
    <w:rsid w:val="00C357B5"/>
    <w:rsid w:val="00C62361"/>
    <w:rsid w:val="00C9045F"/>
    <w:rsid w:val="00CC4BA0"/>
    <w:rsid w:val="00CC5216"/>
    <w:rsid w:val="00D22DA0"/>
    <w:rsid w:val="00D24B53"/>
    <w:rsid w:val="00D417BB"/>
    <w:rsid w:val="00D538AE"/>
    <w:rsid w:val="00D53F25"/>
    <w:rsid w:val="00D836D8"/>
    <w:rsid w:val="00DD3DC8"/>
    <w:rsid w:val="00DD5BBE"/>
    <w:rsid w:val="00DE4E59"/>
    <w:rsid w:val="00E41A14"/>
    <w:rsid w:val="00E860C1"/>
    <w:rsid w:val="00EB2A62"/>
    <w:rsid w:val="00ED4ED2"/>
    <w:rsid w:val="00ED6B00"/>
    <w:rsid w:val="00EE0027"/>
    <w:rsid w:val="00EE5604"/>
    <w:rsid w:val="00F174F9"/>
    <w:rsid w:val="00F25FF9"/>
    <w:rsid w:val="00F378D2"/>
    <w:rsid w:val="00F83309"/>
    <w:rsid w:val="00F910A2"/>
    <w:rsid w:val="00F91C7E"/>
    <w:rsid w:val="00F92C02"/>
    <w:rsid w:val="00FB4162"/>
    <w:rsid w:val="00FB5489"/>
    <w:rsid w:val="00FC4E26"/>
    <w:rsid w:val="00FC6750"/>
    <w:rsid w:val="01E536A3"/>
    <w:rsid w:val="02E63EB1"/>
    <w:rsid w:val="03DA3A73"/>
    <w:rsid w:val="047734AE"/>
    <w:rsid w:val="057C458C"/>
    <w:rsid w:val="06C21F62"/>
    <w:rsid w:val="06EF024B"/>
    <w:rsid w:val="07227161"/>
    <w:rsid w:val="079847C3"/>
    <w:rsid w:val="082D477F"/>
    <w:rsid w:val="0836522E"/>
    <w:rsid w:val="086D1C1D"/>
    <w:rsid w:val="08A57D81"/>
    <w:rsid w:val="092060D7"/>
    <w:rsid w:val="09DE12BD"/>
    <w:rsid w:val="0B920001"/>
    <w:rsid w:val="0C990F5E"/>
    <w:rsid w:val="0DB42778"/>
    <w:rsid w:val="0DCE06E2"/>
    <w:rsid w:val="0E65743A"/>
    <w:rsid w:val="0EA663E2"/>
    <w:rsid w:val="0F0457B8"/>
    <w:rsid w:val="0F8B619E"/>
    <w:rsid w:val="100F1B21"/>
    <w:rsid w:val="111E6113"/>
    <w:rsid w:val="117D2509"/>
    <w:rsid w:val="11D932E3"/>
    <w:rsid w:val="128942A6"/>
    <w:rsid w:val="131C1863"/>
    <w:rsid w:val="140C63AC"/>
    <w:rsid w:val="14504F4B"/>
    <w:rsid w:val="14550FA2"/>
    <w:rsid w:val="148D0491"/>
    <w:rsid w:val="159025EB"/>
    <w:rsid w:val="16294189"/>
    <w:rsid w:val="1704745C"/>
    <w:rsid w:val="17AD5B43"/>
    <w:rsid w:val="17E76355"/>
    <w:rsid w:val="17F824D4"/>
    <w:rsid w:val="18EE3489"/>
    <w:rsid w:val="1A9E2958"/>
    <w:rsid w:val="1AA00072"/>
    <w:rsid w:val="1AA312EA"/>
    <w:rsid w:val="1B27406F"/>
    <w:rsid w:val="1B396DAD"/>
    <w:rsid w:val="1C62482B"/>
    <w:rsid w:val="1C8447A1"/>
    <w:rsid w:val="1DBF366D"/>
    <w:rsid w:val="1F646453"/>
    <w:rsid w:val="1FA417F3"/>
    <w:rsid w:val="20764283"/>
    <w:rsid w:val="20B47A07"/>
    <w:rsid w:val="21012667"/>
    <w:rsid w:val="21DD4500"/>
    <w:rsid w:val="22955530"/>
    <w:rsid w:val="24A11954"/>
    <w:rsid w:val="24C11F63"/>
    <w:rsid w:val="24CE3F1C"/>
    <w:rsid w:val="24FE5555"/>
    <w:rsid w:val="25814DB0"/>
    <w:rsid w:val="25A3377A"/>
    <w:rsid w:val="25B07665"/>
    <w:rsid w:val="25E64528"/>
    <w:rsid w:val="26EB4E31"/>
    <w:rsid w:val="26F9507E"/>
    <w:rsid w:val="276911C3"/>
    <w:rsid w:val="27EC6C90"/>
    <w:rsid w:val="28522529"/>
    <w:rsid w:val="289539C5"/>
    <w:rsid w:val="28D31A42"/>
    <w:rsid w:val="29BE0558"/>
    <w:rsid w:val="29D2353B"/>
    <w:rsid w:val="29E04F2F"/>
    <w:rsid w:val="2A7D79CA"/>
    <w:rsid w:val="2AB8703E"/>
    <w:rsid w:val="2B5D1E4E"/>
    <w:rsid w:val="2C201EBD"/>
    <w:rsid w:val="2D4D4585"/>
    <w:rsid w:val="2D9A34EC"/>
    <w:rsid w:val="2E3D1649"/>
    <w:rsid w:val="2E7535D7"/>
    <w:rsid w:val="2EA7679B"/>
    <w:rsid w:val="2F8E109A"/>
    <w:rsid w:val="300D04B4"/>
    <w:rsid w:val="300F41C0"/>
    <w:rsid w:val="308976BD"/>
    <w:rsid w:val="31A021B3"/>
    <w:rsid w:val="3226102C"/>
    <w:rsid w:val="3242600F"/>
    <w:rsid w:val="33C917BB"/>
    <w:rsid w:val="35496C22"/>
    <w:rsid w:val="355B673A"/>
    <w:rsid w:val="35697C5C"/>
    <w:rsid w:val="35913AD6"/>
    <w:rsid w:val="35FA6B8B"/>
    <w:rsid w:val="361F0DCF"/>
    <w:rsid w:val="36E13EC7"/>
    <w:rsid w:val="378C01EF"/>
    <w:rsid w:val="37947F0C"/>
    <w:rsid w:val="379664A4"/>
    <w:rsid w:val="37EA7ADF"/>
    <w:rsid w:val="380A5B5E"/>
    <w:rsid w:val="38814A7C"/>
    <w:rsid w:val="38AC4893"/>
    <w:rsid w:val="38AF16F6"/>
    <w:rsid w:val="39A01CB7"/>
    <w:rsid w:val="39EE3AEB"/>
    <w:rsid w:val="39EF2C79"/>
    <w:rsid w:val="3BC36E28"/>
    <w:rsid w:val="3BD41328"/>
    <w:rsid w:val="3BEB4872"/>
    <w:rsid w:val="3D64611A"/>
    <w:rsid w:val="3F07315D"/>
    <w:rsid w:val="3F6A6D47"/>
    <w:rsid w:val="3FA122C4"/>
    <w:rsid w:val="3FAD6E46"/>
    <w:rsid w:val="401C2DA3"/>
    <w:rsid w:val="426E7453"/>
    <w:rsid w:val="434E1409"/>
    <w:rsid w:val="442268CC"/>
    <w:rsid w:val="44465216"/>
    <w:rsid w:val="44622C9A"/>
    <w:rsid w:val="44940234"/>
    <w:rsid w:val="45142178"/>
    <w:rsid w:val="45E03F21"/>
    <w:rsid w:val="47C000D5"/>
    <w:rsid w:val="480B7378"/>
    <w:rsid w:val="48512371"/>
    <w:rsid w:val="48577745"/>
    <w:rsid w:val="485E2C88"/>
    <w:rsid w:val="4951222E"/>
    <w:rsid w:val="496218FC"/>
    <w:rsid w:val="498544D0"/>
    <w:rsid w:val="4A212602"/>
    <w:rsid w:val="4B242D3A"/>
    <w:rsid w:val="4C270AD0"/>
    <w:rsid w:val="4CC10144"/>
    <w:rsid w:val="4DFB4CE7"/>
    <w:rsid w:val="4E352B80"/>
    <w:rsid w:val="4E392B78"/>
    <w:rsid w:val="4FC42D09"/>
    <w:rsid w:val="501F1ADF"/>
    <w:rsid w:val="505347E6"/>
    <w:rsid w:val="50824D97"/>
    <w:rsid w:val="50DF455C"/>
    <w:rsid w:val="51603326"/>
    <w:rsid w:val="51763EB4"/>
    <w:rsid w:val="519A497C"/>
    <w:rsid w:val="51C51CED"/>
    <w:rsid w:val="526B3C20"/>
    <w:rsid w:val="534A530A"/>
    <w:rsid w:val="54141B00"/>
    <w:rsid w:val="543E2D06"/>
    <w:rsid w:val="54C62685"/>
    <w:rsid w:val="55D716EB"/>
    <w:rsid w:val="570A25E6"/>
    <w:rsid w:val="570F011F"/>
    <w:rsid w:val="5727031D"/>
    <w:rsid w:val="573B4F1F"/>
    <w:rsid w:val="58612C20"/>
    <w:rsid w:val="58A345F9"/>
    <w:rsid w:val="59F2579F"/>
    <w:rsid w:val="5A8320FB"/>
    <w:rsid w:val="5B531E0A"/>
    <w:rsid w:val="5C3F7FF7"/>
    <w:rsid w:val="5D307AD1"/>
    <w:rsid w:val="5EAA2D5A"/>
    <w:rsid w:val="5FA90683"/>
    <w:rsid w:val="5FB02C19"/>
    <w:rsid w:val="61B60183"/>
    <w:rsid w:val="61FC7532"/>
    <w:rsid w:val="62EE5180"/>
    <w:rsid w:val="63455DEB"/>
    <w:rsid w:val="635C457F"/>
    <w:rsid w:val="65310DCC"/>
    <w:rsid w:val="65780BAA"/>
    <w:rsid w:val="663C04F0"/>
    <w:rsid w:val="66A37E40"/>
    <w:rsid w:val="66EA2866"/>
    <w:rsid w:val="6821018E"/>
    <w:rsid w:val="69A74B82"/>
    <w:rsid w:val="69B76475"/>
    <w:rsid w:val="69BB1E8F"/>
    <w:rsid w:val="6A694C3A"/>
    <w:rsid w:val="6C450359"/>
    <w:rsid w:val="6CD31EB9"/>
    <w:rsid w:val="6CE147B4"/>
    <w:rsid w:val="6DD447E6"/>
    <w:rsid w:val="6DF55E69"/>
    <w:rsid w:val="6EB025E6"/>
    <w:rsid w:val="6F960F17"/>
    <w:rsid w:val="6FC600CC"/>
    <w:rsid w:val="70001D38"/>
    <w:rsid w:val="71414B30"/>
    <w:rsid w:val="71A33DAF"/>
    <w:rsid w:val="73676A91"/>
    <w:rsid w:val="73D93DA0"/>
    <w:rsid w:val="73F43AD8"/>
    <w:rsid w:val="751522D8"/>
    <w:rsid w:val="75327452"/>
    <w:rsid w:val="75DB6774"/>
    <w:rsid w:val="768B6DFF"/>
    <w:rsid w:val="77002DEC"/>
    <w:rsid w:val="77421696"/>
    <w:rsid w:val="777DAC7B"/>
    <w:rsid w:val="78AB4ADC"/>
    <w:rsid w:val="7A337DA8"/>
    <w:rsid w:val="7A891070"/>
    <w:rsid w:val="7BD5250A"/>
    <w:rsid w:val="7BF10CA0"/>
    <w:rsid w:val="7CC518AC"/>
    <w:rsid w:val="7DB80856"/>
    <w:rsid w:val="7FE60F01"/>
    <w:rsid w:val="7FE632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9">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3">
    <w:name w:val="Balloon Text"/>
    <w:basedOn w:val="1"/>
    <w:link w:val="17"/>
    <w:unhideWhenUsed/>
    <w:uiPriority w:val="0"/>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出段落1"/>
    <w:basedOn w:val="1"/>
    <w:qFormat/>
    <w:uiPriority w:val="34"/>
    <w:pPr>
      <w:ind w:firstLine="420" w:firstLineChars="200"/>
    </w:pPr>
  </w:style>
  <w:style w:type="paragraph" w:customStyle="1" w:styleId="11">
    <w:name w:val="文本正文"/>
    <w:basedOn w:val="1"/>
    <w:link w:val="15"/>
    <w:qFormat/>
    <w:uiPriority w:val="0"/>
    <w:pPr>
      <w:adjustRightInd w:val="0"/>
      <w:spacing w:line="360" w:lineRule="auto"/>
      <w:ind w:firstLine="480" w:firstLineChars="200"/>
      <w:textAlignment w:val="baseline"/>
    </w:pPr>
    <w:rPr>
      <w:rFonts w:ascii="Arial" w:hAnsi="Arial" w:cs="Arial"/>
      <w:kern w:val="24"/>
      <w:sz w:val="24"/>
      <w:szCs w:val="20"/>
    </w:rPr>
  </w:style>
  <w:style w:type="paragraph" w:customStyle="1" w:styleId="12">
    <w:name w:val="2级标题"/>
    <w:basedOn w:val="1"/>
    <w:link w:val="16"/>
    <w:qFormat/>
    <w:uiPriority w:val="0"/>
    <w:pPr>
      <w:keepNext/>
      <w:keepLines/>
      <w:adjustRightInd w:val="0"/>
      <w:snapToGrid w:val="0"/>
      <w:spacing w:before="156" w:beforeLines="50" w:line="360" w:lineRule="auto"/>
      <w:textAlignment w:val="baseline"/>
      <w:outlineLvl w:val="1"/>
    </w:pPr>
    <w:rPr>
      <w:rFonts w:ascii="Arial" w:hAnsi="Arial" w:eastAsia="黑体" w:cs="Times New Roman"/>
      <w:b/>
      <w:kern w:val="24"/>
      <w:sz w:val="32"/>
      <w:szCs w:val="30"/>
    </w:r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character" w:customStyle="1" w:styleId="15">
    <w:name w:val="文本正文 Char"/>
    <w:basedOn w:val="9"/>
    <w:link w:val="11"/>
    <w:qFormat/>
    <w:uiPriority w:val="0"/>
    <w:rPr>
      <w:rFonts w:ascii="Arial" w:hAnsi="Arial" w:cs="Arial"/>
      <w:kern w:val="24"/>
      <w:sz w:val="24"/>
    </w:rPr>
  </w:style>
  <w:style w:type="character" w:customStyle="1" w:styleId="16">
    <w:name w:val="2级标题 Char"/>
    <w:basedOn w:val="9"/>
    <w:link w:val="12"/>
    <w:uiPriority w:val="0"/>
    <w:rPr>
      <w:rFonts w:ascii="Arial" w:hAnsi="Arial" w:eastAsia="黑体"/>
      <w:b/>
      <w:kern w:val="24"/>
      <w:sz w:val="32"/>
      <w:szCs w:val="30"/>
    </w:rPr>
  </w:style>
  <w:style w:type="character" w:customStyle="1" w:styleId="17">
    <w:name w:val="批注框文本 Char"/>
    <w:basedOn w:val="9"/>
    <w:link w:val="3"/>
    <w:semiHidden/>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286</Words>
  <Characters>1635</Characters>
  <Lines>13</Lines>
  <Paragraphs>3</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2021-04-19T09:42:00Z</dcterms:created>
  <dc:creator>905</dc:creator>
  <cp:lastModifiedBy>爆米花</cp:lastModifiedBy>
  <cp:lastPrinted>2021-05-28T07:39:00Z</cp:lastPrinted>
  <dcterms:modified xsi:type="dcterms:W3CDTF">2023-12-21T07:14:50Z</dcterms:modified>
  <dc:title>《密云区“十四五”时期文化和生态旅游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CECCA896B5CC4F3D8CF22CDD188B0E3F_12</vt:lpwstr>
  </property>
</Properties>
</file>