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exact"/>
        <w:jc w:val="center"/>
        <w:textAlignment w:val="auto"/>
        <w:rPr>
          <w:rFonts w:hint="eastAsia" w:ascii="方正小标宋简体" w:hAnsi="方正小标宋简体" w:eastAsia="方正小标宋简体" w:cs="方正小标宋简体"/>
          <w:bCs/>
          <w:color w:val="FF0000"/>
          <w:spacing w:val="-40"/>
          <w:w w:val="50"/>
          <w:sz w:val="96"/>
          <w:szCs w:val="96"/>
          <w:lang w:eastAsia="zh-CN"/>
        </w:rPr>
      </w:pPr>
    </w:p>
    <w:p>
      <w:pPr>
        <w:widowControl w:val="0"/>
        <w:wordWrap/>
        <w:adjustRightInd/>
        <w:snapToGrid/>
        <w:spacing w:line="240" w:lineRule="exact"/>
        <w:jc w:val="center"/>
        <w:textAlignment w:val="auto"/>
        <w:rPr>
          <w:rFonts w:hint="eastAsia" w:ascii="方正小标宋简体" w:hAnsi="方正小标宋简体" w:eastAsia="方正小标宋简体" w:cs="方正小标宋简体"/>
          <w:bCs/>
          <w:color w:val="FF0000"/>
          <w:spacing w:val="-40"/>
          <w:w w:val="50"/>
          <w:sz w:val="96"/>
          <w:szCs w:val="96"/>
          <w:lang w:eastAsia="zh-CN"/>
        </w:rPr>
      </w:pPr>
    </w:p>
    <w:p>
      <w:pPr>
        <w:widowControl w:val="0"/>
        <w:wordWrap/>
        <w:adjustRightInd/>
        <w:snapToGrid/>
        <w:spacing w:line="1000" w:lineRule="exact"/>
        <w:jc w:val="center"/>
        <w:textAlignment w:val="auto"/>
        <w:rPr>
          <w:rFonts w:hint="eastAsia" w:ascii="方正小标宋简体" w:hAnsi="方正小标宋简体" w:eastAsia="方正小标宋简体" w:cs="方正小标宋简体"/>
          <w:bCs/>
          <w:color w:val="FF0000"/>
          <w:spacing w:val="-40"/>
          <w:w w:val="50"/>
          <w:sz w:val="96"/>
          <w:szCs w:val="96"/>
          <w:lang w:eastAsia="zh-CN"/>
        </w:rPr>
      </w:pPr>
    </w:p>
    <w:p>
      <w:pPr>
        <w:widowControl w:val="0"/>
        <w:wordWrap/>
        <w:adjustRightInd/>
        <w:snapToGrid/>
        <w:spacing w:line="240" w:lineRule="auto"/>
        <w:jc w:val="distribute"/>
        <w:textAlignment w:val="auto"/>
        <w:rPr>
          <w:rFonts w:hint="eastAsia" w:ascii="方正小标宋简体" w:hAnsi="方正小标宋简体" w:eastAsia="方正小标宋简体" w:cs="方正小标宋简体"/>
          <w:bCs/>
          <w:color w:val="FF0000"/>
          <w:spacing w:val="-20"/>
          <w:w w:val="50"/>
          <w:sz w:val="96"/>
          <w:szCs w:val="96"/>
          <w:lang w:val="en-US" w:eastAsia="zh-CN"/>
        </w:rPr>
      </w:pPr>
      <w:r>
        <w:rPr>
          <w:rFonts w:hint="eastAsia" w:ascii="方正小标宋简体" w:hAnsi="方正小标宋简体" w:eastAsia="方正小标宋简体" w:cs="方正小标宋简体"/>
          <w:bCs/>
          <w:color w:val="FF0000"/>
          <w:spacing w:val="-20"/>
          <w:w w:val="50"/>
          <w:sz w:val="96"/>
          <w:szCs w:val="96"/>
          <w:lang w:eastAsia="zh-CN"/>
        </w:rPr>
        <w:t>中共北京市密云区委农村工作领导小组文件</w:t>
      </w:r>
    </w:p>
    <w:p>
      <w:pPr>
        <w:widowControl w:val="0"/>
        <w:wordWrap/>
        <w:adjustRightInd/>
        <w:snapToGrid/>
        <w:spacing w:line="280" w:lineRule="exact"/>
        <w:jc w:val="left"/>
        <w:textAlignment w:val="auto"/>
        <w:rPr>
          <w:rFonts w:hint="eastAsia" w:ascii="方正小标宋简体" w:hAnsi="方正小标宋简体" w:eastAsia="方正小标宋简体" w:cs="方正小标宋简体"/>
          <w:bCs/>
          <w:color w:val="FF0000"/>
          <w:sz w:val="44"/>
          <w:szCs w:val="44"/>
          <w:u w:val="single"/>
          <w:lang w:val="en-US" w:eastAsia="zh-CN"/>
        </w:rPr>
      </w:pPr>
    </w:p>
    <w:p>
      <w:pPr>
        <w:spacing w:line="560" w:lineRule="exact"/>
        <w:jc w:val="center"/>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密农组发〔2026〕1号</w:t>
      </w:r>
    </w:p>
    <w:p>
      <w:pPr>
        <w:spacing w:line="560" w:lineRule="exact"/>
        <w:jc w:val="left"/>
        <w:rPr>
          <w:rFonts w:hint="default" w:ascii="方正小标宋简体" w:hAnsi="方正小标宋简体" w:eastAsia="方正小标宋简体" w:cs="方正小标宋简体"/>
          <w:bCs/>
          <w:color w:val="FF0000"/>
          <w:sz w:val="44"/>
          <w:szCs w:val="44"/>
          <w:u w:val="single"/>
          <w:lang w:val="en-US" w:eastAsia="zh-CN"/>
        </w:rPr>
      </w:pPr>
      <w:r>
        <w:rPr>
          <w:rFonts w:hint="eastAsia" w:ascii="方正小标宋简体" w:hAnsi="方正小标宋简体" w:eastAsia="方正小标宋简体" w:cs="方正小标宋简体"/>
          <w:bCs/>
          <w:strike/>
          <w:dstrike w:val="0"/>
          <w:color w:val="FF0000"/>
          <w:sz w:val="44"/>
          <w:szCs w:val="44"/>
          <w:u w:val="none"/>
          <w:lang w:val="en-US" w:eastAsia="zh-CN"/>
        </w:rPr>
        <w:t xml:space="preserve">                   </w:t>
      </w:r>
      <w:r>
        <w:rPr>
          <w:rFonts w:hint="eastAsia" w:ascii="方正小标宋简体" w:hAnsi="方正小标宋简体" w:eastAsia="方正小标宋简体" w:cs="方正小标宋简体"/>
          <w:bCs/>
          <w:color w:val="FF0000"/>
          <w:sz w:val="44"/>
          <w:szCs w:val="44"/>
          <w:u w:val="none"/>
          <w:lang w:val="en-US" w:eastAsia="zh-CN"/>
        </w:rPr>
        <w:t>★</w:t>
      </w:r>
      <w:r>
        <w:rPr>
          <w:rFonts w:hint="eastAsia" w:ascii="方正小标宋简体" w:hAnsi="方正小标宋简体" w:eastAsia="方正小标宋简体" w:cs="方正小标宋简体"/>
          <w:bCs/>
          <w:strike/>
          <w:dstrike w:val="0"/>
          <w:color w:val="FF0000"/>
          <w:sz w:val="44"/>
          <w:szCs w:val="44"/>
          <w:u w:val="none"/>
          <w:lang w:val="en-US" w:eastAsia="zh-CN"/>
        </w:rPr>
        <w:t xml:space="preserve">                   </w:t>
      </w:r>
    </w:p>
    <w:p>
      <w:pPr>
        <w:spacing w:line="200" w:lineRule="exact"/>
        <w:jc w:val="left"/>
        <w:rPr>
          <w:rFonts w:hint="eastAsia" w:ascii="仿宋_GB2312" w:eastAsia="仿宋_GB2312"/>
          <w:b w:val="0"/>
          <w:bCs/>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w w:val="100"/>
          <w:sz w:val="44"/>
          <w:szCs w:val="44"/>
          <w:u w:val="none"/>
          <w:lang w:eastAsia="zh-CN"/>
        </w:rPr>
      </w:pPr>
    </w:p>
    <w:p>
      <w:pPr>
        <w:pStyle w:val="18"/>
        <w:keepNext w:val="0"/>
        <w:keepLines w:val="0"/>
        <w:pageBreakBefore w:val="0"/>
        <w:widowControl/>
        <w:kinsoku/>
        <w:wordWrap/>
        <w:overflowPunct/>
        <w:topLinePunct w:val="0"/>
        <w:autoSpaceDE/>
        <w:autoSpaceDN/>
        <w:bidi w:val="0"/>
        <w:adjustRightInd/>
        <w:snapToGrid/>
        <w:spacing w:line="560" w:lineRule="exact"/>
        <w:jc w:val="center"/>
        <w:rPr>
          <w:rFonts w:hint="default"/>
          <w:u w:val="none"/>
          <w:lang w:val="en-US" w:eastAsia="zh-CN"/>
        </w:rPr>
      </w:pPr>
      <w:r>
        <w:rPr>
          <w:rFonts w:hint="eastAsia" w:ascii="方正小标宋简体" w:hAnsi="方正小标宋简体" w:eastAsia="方正小标宋简体" w:cs="方正小标宋简体"/>
          <w:color w:val="auto"/>
          <w:sz w:val="44"/>
          <w:szCs w:val="44"/>
          <w:u w:val="none"/>
          <w:lang w:eastAsia="zh-CN"/>
        </w:rPr>
        <w:t>中共北京市密云区委农村工作领导小组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lang w:eastAsia="zh-CN"/>
        </w:rPr>
        <w:t>印发《“十五五”时期</w:t>
      </w:r>
      <w:r>
        <w:rPr>
          <w:rFonts w:hint="eastAsia" w:ascii="方正小标宋简体" w:hAnsi="方正小标宋简体" w:eastAsia="方正小标宋简体" w:cs="方正小标宋简体"/>
          <w:b w:val="0"/>
          <w:bCs/>
          <w:color w:val="auto"/>
          <w:sz w:val="44"/>
          <w:szCs w:val="44"/>
          <w:u w:val="none"/>
        </w:rPr>
        <w:t>密云区促进农民增收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实施</w:t>
      </w:r>
      <w:r>
        <w:rPr>
          <w:rFonts w:hint="eastAsia" w:ascii="方正小标宋简体" w:hAnsi="方正小标宋简体" w:eastAsia="方正小标宋简体" w:cs="方正小标宋简体"/>
          <w:b w:val="0"/>
          <w:bCs/>
          <w:color w:val="auto"/>
          <w:sz w:val="44"/>
          <w:szCs w:val="44"/>
          <w:u w:val="none"/>
        </w:rPr>
        <w:t>方案</w:t>
      </w:r>
      <w:r>
        <w:rPr>
          <w:rFonts w:hint="eastAsia" w:ascii="方正小标宋简体" w:hAnsi="方正小标宋简体" w:eastAsia="方正小标宋简体" w:cs="方正小标宋简体"/>
          <w:b w:val="0"/>
          <w:bCs/>
          <w:color w:val="auto"/>
          <w:sz w:val="44"/>
          <w:szCs w:val="44"/>
          <w:u w:val="none"/>
          <w:lang w:eastAsia="zh-CN"/>
        </w:rPr>
        <w:t>》的通知</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40"/>
          <w:u w:val="none"/>
          <w:lang w:val="en-US" w:eastAsia="zh-CN"/>
        </w:rPr>
      </w:pPr>
      <w:r>
        <w:rPr>
          <w:rFonts w:hint="eastAsia" w:ascii="仿宋_GB2312" w:hAnsi="仿宋_GB2312" w:eastAsia="仿宋_GB2312" w:cs="仿宋_GB2312"/>
          <w:color w:val="auto"/>
          <w:sz w:val="32"/>
          <w:szCs w:val="40"/>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各</w:t>
      </w:r>
      <w:r>
        <w:rPr>
          <w:rFonts w:hint="eastAsia" w:ascii="楷体_GB2312" w:hAnsi="楷体_GB2312" w:eastAsia="楷体_GB2312" w:cs="楷体_GB2312"/>
          <w:color w:val="auto"/>
          <w:sz w:val="32"/>
          <w:szCs w:val="32"/>
          <w:u w:val="none"/>
          <w:lang w:eastAsia="zh-CN"/>
        </w:rPr>
        <w:t>镇党委、政府，各相关</w:t>
      </w:r>
      <w:r>
        <w:rPr>
          <w:rFonts w:hint="eastAsia" w:ascii="楷体_GB2312" w:hAnsi="楷体_GB2312" w:eastAsia="楷体_GB2312" w:cs="楷体_GB2312"/>
          <w:color w:val="auto"/>
          <w:sz w:val="32"/>
          <w:szCs w:val="32"/>
          <w:u w:val="none"/>
        </w:rPr>
        <w:t>单位：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kern w:val="2"/>
          <w:sz w:val="32"/>
          <w:szCs w:val="32"/>
          <w:u w:val="none"/>
          <w:lang w:val="en-US" w:eastAsia="zh-CN" w:bidi="ar-SA"/>
        </w:rPr>
        <w:t>经区委、区政府同意，现将《“十五五”时期密云区促进农民增收实施方案》印发给你们，请结合实际，认真贯彻落实。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楷体_GB2312" w:eastAsia="楷体_GB2312" w:cs="楷体_GB2312"/>
          <w:color w:val="auto"/>
          <w:sz w:val="32"/>
          <w:szCs w:val="32"/>
          <w:u w:val="none"/>
          <w:lang w:eastAsia="zh-CN"/>
        </w:rPr>
      </w:pPr>
    </w:p>
    <w:p>
      <w:pPr>
        <w:pStyle w:val="7"/>
        <w:rPr>
          <w:rFonts w:hint="eastAsia"/>
          <w:u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eastAsia="zh-CN"/>
        </w:rPr>
        <w:t>中共北京市密云区委农村工作领导小组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 xml:space="preserve">                    2026年3月31日</w:t>
      </w:r>
    </w:p>
    <w:p>
      <w:pPr>
        <w:keepNext w:val="0"/>
        <w:keepLines w:val="0"/>
        <w:pageBreakBefore w:val="0"/>
        <w:kinsoku/>
        <w:wordWrap/>
        <w:overflowPunct/>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auto"/>
          <w:sz w:val="44"/>
          <w:szCs w:val="44"/>
          <w:u w:val="none"/>
          <w:lang w:eastAsia="zh-CN"/>
        </w:rPr>
      </w:pPr>
    </w:p>
    <w:p>
      <w:pPr>
        <w:keepNext w:val="0"/>
        <w:keepLines w:val="0"/>
        <w:pageBreakBefore w:val="0"/>
        <w:kinsoku/>
        <w:wordWrap/>
        <w:overflowPunct/>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auto"/>
          <w:sz w:val="44"/>
          <w:szCs w:val="44"/>
          <w:u w:val="none"/>
          <w:lang w:eastAsia="zh-CN"/>
        </w:rPr>
      </w:pPr>
    </w:p>
    <w:p>
      <w:pPr>
        <w:keepNext w:val="0"/>
        <w:keepLines w:val="0"/>
        <w:pageBreakBefore w:val="0"/>
        <w:kinsoku/>
        <w:wordWrap/>
        <w:overflowPunct/>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auto"/>
          <w:sz w:val="44"/>
          <w:szCs w:val="44"/>
          <w:u w:val="none"/>
          <w:lang w:eastAsia="zh-CN"/>
        </w:rPr>
      </w:pPr>
    </w:p>
    <w:p>
      <w:pPr>
        <w:keepNext w:val="0"/>
        <w:keepLines w:val="0"/>
        <w:pageBreakBefore w:val="0"/>
        <w:kinsoku/>
        <w:wordWrap/>
        <w:overflowPunct/>
        <w:autoSpaceDN/>
        <w:bidi w:val="0"/>
        <w:adjustRightInd/>
        <w:snapToGrid/>
        <w:spacing w:line="560" w:lineRule="exact"/>
        <w:jc w:val="both"/>
        <w:textAlignment w:val="auto"/>
        <w:rPr>
          <w:rFonts w:hint="eastAsia"/>
          <w:color w:val="auto"/>
          <w:u w:val="none"/>
          <w:lang w:val="en-US" w:eastAsia="zh-CN"/>
        </w:rPr>
      </w:pPr>
      <w:r>
        <w:rPr>
          <w:rFonts w:hint="eastAsia" w:ascii="方正小标宋简体" w:hAnsi="方正小标宋简体" w:eastAsia="方正小标宋简体" w:cs="方正小标宋简体"/>
          <w:b w:val="0"/>
          <w:bCs/>
          <w:color w:val="auto"/>
          <w:sz w:val="44"/>
          <w:szCs w:val="44"/>
          <w:u w:val="none"/>
          <w:lang w:eastAsia="zh-CN"/>
        </w:rPr>
        <w:t>“十五五”时期</w:t>
      </w:r>
      <w:r>
        <w:rPr>
          <w:rFonts w:hint="eastAsia" w:ascii="方正小标宋简体" w:hAnsi="方正小标宋简体" w:eastAsia="方正小标宋简体" w:cs="方正小标宋简体"/>
          <w:b w:val="0"/>
          <w:bCs/>
          <w:color w:val="auto"/>
          <w:sz w:val="44"/>
          <w:szCs w:val="44"/>
          <w:u w:val="none"/>
        </w:rPr>
        <w:t>密云区促进农民增收</w:t>
      </w:r>
      <w:r>
        <w:rPr>
          <w:rFonts w:hint="eastAsia" w:ascii="方正小标宋简体" w:hAnsi="方正小标宋简体" w:eastAsia="方正小标宋简体" w:cs="方正小标宋简体"/>
          <w:b w:val="0"/>
          <w:bCs/>
          <w:color w:val="auto"/>
          <w:sz w:val="44"/>
          <w:szCs w:val="44"/>
          <w:u w:val="none"/>
          <w:lang w:eastAsia="zh-CN"/>
        </w:rPr>
        <w:t>实施</w:t>
      </w:r>
      <w:r>
        <w:rPr>
          <w:rFonts w:hint="eastAsia" w:ascii="方正小标宋简体" w:hAnsi="方正小标宋简体" w:eastAsia="方正小标宋简体" w:cs="方正小标宋简体"/>
          <w:b w:val="0"/>
          <w:bCs/>
          <w:color w:val="auto"/>
          <w:sz w:val="44"/>
          <w:szCs w:val="44"/>
          <w:u w:val="none"/>
        </w:rPr>
        <w:t>方案</w:t>
      </w:r>
    </w:p>
    <w:p>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p>
    <w:p>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为推动本区农民收入持续稳定增长，密云区紧紧围绕首都最重要的水源保护地及区域生态治理协作区、国家生态文明先行示范区、特色文化旅游休闲及创新发展示范区“三区”功能定位制定本方案，明确“十五五”期间将保持本区农村居民人均可支配收入同比增速快于城镇居民，进一步缩小城乡居民收入差距，力争全区农村居民人均可支配收入达到或超过全市平均水平。</w:t>
      </w:r>
    </w:p>
    <w:p>
      <w:pPr>
        <w:keepNext w:val="0"/>
        <w:keepLines w:val="0"/>
        <w:pageBreakBefore w:val="0"/>
        <w:widowControl w:val="0"/>
        <w:suppressLineNumbers w:val="0"/>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eastAsia="黑体"/>
          <w:b w:val="0"/>
          <w:bCs/>
          <w:color w:val="auto"/>
          <w:u w:val="none"/>
          <w:lang w:eastAsia="zh-CN"/>
        </w:rPr>
      </w:pPr>
      <w:r>
        <w:rPr>
          <w:rFonts w:hint="eastAsia" w:ascii="黑体" w:hAnsi="黑体" w:eastAsia="黑体" w:cs="黑体"/>
          <w:b w:val="0"/>
          <w:bCs/>
          <w:color w:val="auto"/>
          <w:sz w:val="32"/>
          <w:szCs w:val="32"/>
          <w:u w:val="none"/>
          <w:lang w:eastAsia="zh-CN"/>
        </w:rPr>
        <w:t>一、工作措施</w:t>
      </w:r>
    </w:p>
    <w:p>
      <w:pPr>
        <w:keepNext w:val="0"/>
        <w:keepLines w:val="0"/>
        <w:pageBreakBefore w:val="0"/>
        <w:widowControl w:val="0"/>
        <w:kinsoku/>
        <w:wordWrap/>
        <w:overflowPunct/>
        <w:topLinePunct/>
        <w:autoSpaceDE w:val="0"/>
        <w:autoSpaceDN/>
        <w:bidi w:val="0"/>
        <w:adjustRightInd/>
        <w:snapToGrid/>
        <w:spacing w:after="0" w:line="550" w:lineRule="exact"/>
        <w:ind w:left="0" w:right="0" w:firstLine="640" w:firstLineChars="200"/>
        <w:jc w:val="left"/>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eastAsia="zh-CN"/>
        </w:rPr>
        <w:t>（一）促进高质量充分</w:t>
      </w:r>
      <w:r>
        <w:rPr>
          <w:rFonts w:hint="eastAsia" w:ascii="楷体_GB2312" w:hAnsi="楷体_GB2312" w:eastAsia="楷体_GB2312" w:cs="楷体_GB2312"/>
          <w:b w:val="0"/>
          <w:bCs w:val="0"/>
          <w:color w:val="auto"/>
          <w:sz w:val="32"/>
          <w:szCs w:val="32"/>
          <w:u w:val="none"/>
        </w:rPr>
        <w:t>就业，提高农民工资性收入</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i w:val="0"/>
          <w:iCs w:val="0"/>
          <w:caps w:val="0"/>
          <w:smallCaps w:val="0"/>
          <w:color w:val="000000"/>
          <w:spacing w:val="0"/>
          <w:sz w:val="32"/>
          <w:szCs w:val="32"/>
          <w:u w:val="none"/>
          <w:shd w:val="clear" w:color="auto" w:fill="auto"/>
          <w:lang w:eastAsia="zh-CN"/>
        </w:rPr>
      </w:pPr>
      <w:r>
        <w:rPr>
          <w:rFonts w:hint="eastAsia" w:ascii="仿宋_GB2312" w:hAnsi="仿宋_GB2312" w:eastAsia="仿宋_GB2312" w:cs="仿宋_GB2312"/>
          <w:b w:val="0"/>
          <w:bCs w:val="0"/>
          <w:sz w:val="32"/>
          <w:szCs w:val="32"/>
          <w:u w:val="none"/>
          <w:shd w:val="clear" w:color="auto" w:fill="auto"/>
          <w:lang w:val="en-US" w:eastAsia="zh-CN"/>
        </w:rPr>
        <w:t>1.稳定就业基本盘。充</w:t>
      </w:r>
      <w:r>
        <w:rPr>
          <w:rFonts w:hint="eastAsia" w:ascii="仿宋_GB2312" w:hAnsi="仿宋_GB2312" w:eastAsia="仿宋_GB2312" w:cs="仿宋_GB2312"/>
          <w:sz w:val="32"/>
          <w:szCs w:val="32"/>
          <w:u w:val="none"/>
          <w:shd w:val="clear" w:color="auto" w:fill="auto"/>
          <w:lang w:val="en-US" w:eastAsia="zh-CN"/>
        </w:rPr>
        <w:t>分发挥用人单位社会保险补贴、就业见习补贴、一次性扩岗补助、公益性岗位补贴等政策的兜底保障作用，稳定就业岗位存量。</w:t>
      </w:r>
      <w:r>
        <w:rPr>
          <w:rFonts w:hint="eastAsia" w:ascii="仿宋_GB2312" w:hAnsi="仿宋_GB2312" w:eastAsia="仿宋_GB2312" w:cs="仿宋_GB2312"/>
          <w:i w:val="0"/>
          <w:iCs w:val="0"/>
          <w:caps w:val="0"/>
          <w:smallCaps w:val="0"/>
          <w:color w:val="000000"/>
          <w:spacing w:val="0"/>
          <w:sz w:val="32"/>
          <w:szCs w:val="32"/>
          <w:u w:val="none"/>
          <w:shd w:val="clear" w:color="auto" w:fill="auto"/>
        </w:rPr>
        <w:t>聚焦和谐劳动关系，</w:t>
      </w:r>
      <w:r>
        <w:rPr>
          <w:rFonts w:hint="eastAsia" w:ascii="仿宋_GB2312" w:hAnsi="仿宋_GB2312" w:eastAsia="仿宋_GB2312" w:cs="仿宋_GB2312"/>
          <w:i w:val="0"/>
          <w:iCs w:val="0"/>
          <w:caps w:val="0"/>
          <w:smallCaps w:val="0"/>
          <w:color w:val="000000"/>
          <w:spacing w:val="0"/>
          <w:sz w:val="32"/>
          <w:szCs w:val="32"/>
          <w:u w:val="none"/>
          <w:shd w:val="clear" w:color="auto" w:fill="auto"/>
          <w:lang w:val="en-US" w:eastAsia="zh-CN"/>
        </w:rPr>
        <w:t>强化欠薪隐患动态排查和联动处置，通过协调、立案查处等方式，实现欠薪线索快办快结、动态清零，</w:t>
      </w:r>
      <w:r>
        <w:rPr>
          <w:rFonts w:hint="eastAsia" w:ascii="仿宋_GB2312" w:hAnsi="仿宋_GB2312" w:eastAsia="仿宋_GB2312" w:cs="仿宋_GB2312"/>
          <w:i w:val="0"/>
          <w:iCs w:val="0"/>
          <w:caps w:val="0"/>
          <w:smallCaps w:val="0"/>
          <w:color w:val="000000"/>
          <w:spacing w:val="0"/>
          <w:sz w:val="32"/>
          <w:szCs w:val="32"/>
          <w:u w:val="none"/>
          <w:shd w:val="clear" w:color="auto" w:fill="auto"/>
        </w:rPr>
        <w:t>保障从业者合理劳动报酬和基本劳动权益</w:t>
      </w:r>
      <w:r>
        <w:rPr>
          <w:rFonts w:hint="eastAsia" w:ascii="仿宋_GB2312" w:hAnsi="仿宋_GB2312" w:eastAsia="仿宋_GB2312" w:cs="仿宋_GB2312"/>
          <w:i w:val="0"/>
          <w:iCs w:val="0"/>
          <w:caps w:val="0"/>
          <w:smallCaps w:val="0"/>
          <w:color w:val="000000"/>
          <w:spacing w:val="0"/>
          <w:sz w:val="32"/>
          <w:szCs w:val="32"/>
          <w:u w:val="none"/>
          <w:shd w:val="clear" w:color="auto" w:fill="auto"/>
          <w:lang w:eastAsia="zh-CN"/>
        </w:rPr>
        <w:t>，稳定就业人员信心</w:t>
      </w:r>
      <w:r>
        <w:rPr>
          <w:rFonts w:hint="eastAsia" w:ascii="仿宋_GB2312" w:hAnsi="仿宋_GB2312" w:eastAsia="仿宋_GB2312" w:cs="仿宋_GB2312"/>
          <w:i w:val="0"/>
          <w:iCs w:val="0"/>
          <w:caps w:val="0"/>
          <w:smallCaps w:val="0"/>
          <w:color w:val="000000"/>
          <w:spacing w:val="0"/>
          <w:sz w:val="32"/>
          <w:szCs w:val="32"/>
          <w:u w:val="none"/>
          <w:shd w:val="clear" w:color="auto" w:fill="auto"/>
        </w:rPr>
        <w:t>。</w:t>
      </w:r>
      <w:r>
        <w:rPr>
          <w:rFonts w:hint="eastAsia" w:ascii="仿宋_GB2312" w:hAnsi="仿宋_GB2312" w:eastAsia="仿宋_GB2312" w:cs="仿宋_GB2312"/>
          <w:i w:val="0"/>
          <w:iCs w:val="0"/>
          <w:caps w:val="0"/>
          <w:smallCaps w:val="0"/>
          <w:color w:val="000000"/>
          <w:spacing w:val="0"/>
          <w:sz w:val="32"/>
          <w:szCs w:val="32"/>
          <w:u w:val="none"/>
          <w:shd w:val="clear" w:color="auto" w:fill="auto"/>
          <w:lang w:eastAsia="zh-CN"/>
        </w:rPr>
        <w:t>保障公共服务常态化，健全重点企业用工服务保障机制，定期开展企业用工需求摸排与动态监测服务，建立企业用工需求库，及时补充企业岗位用工。</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责任部门：区人力社保局、中关村密云园、区委政法委、各相关镇</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大力挖掘全区就业岗位潜力。以提质增效推动扩岗增容，推动区属国有企业改革，为本地农村劳动力提供就业岗位。持续发挥19大行业800余家规模以上企业稳就业作用，鼓励支持企业扩大就业规模。深挖城乡公共服务岗位，聚焦市政环卫、绿化养护、医疗康养等领域，努力推动本地用工比例达到80%以上。依托灾后恢复重建、美丽乡村建设等重点项目，大力推广“以工代赈”，扩大本地用工数量，确保本地用工比例不低于50%。着力培育就业后续力量，引进和发展劳动密集型企业。立足中关村密云园现有企业，以智能制造、生命健康为主导，深入推进园区“腾笼换鸟”，每年提供就业岗位不少于1000个。鼓励支持应届毕业生、退役军人及返乡人员自主创业，支持民营经济和个体经济发展带动就业。</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责任部门：区人力社保局、区国资委、区发改委、区城管委、区园林绿化局、区卫健委、中关村密云园、各相关镇</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val="0"/>
          <w:spacing w:val="-6"/>
          <w:sz w:val="32"/>
          <w:szCs w:val="32"/>
          <w:u w:val="none"/>
          <w:lang w:val="en-US" w:eastAsia="zh-CN"/>
        </w:rPr>
      </w:pPr>
      <w:r>
        <w:rPr>
          <w:rFonts w:hint="eastAsia" w:ascii="仿宋_GB2312" w:hAnsi="仿宋_GB2312" w:eastAsia="仿宋_GB2312" w:cs="仿宋_GB2312"/>
          <w:b w:val="0"/>
          <w:bCs w:val="0"/>
          <w:sz w:val="32"/>
          <w:szCs w:val="32"/>
          <w:u w:val="none"/>
          <w:lang w:val="en-US" w:eastAsia="zh-CN"/>
        </w:rPr>
        <w:t>3.加大转移就业工作力度。建立转移就业区级组织，组建区属国有人力资源服务机构，配备专业力量，深化朝密跨区协作机制，借鉴“北京市城市公共服务类岗位”经验，有组织推动转移就业，每年转移劳动力就业不低于2000人。立足区级财政实际，建立三年期转移就业补贴政策，转移就业人员每人每月给予1122元交通补贴及500元餐费</w:t>
      </w:r>
      <w:r>
        <w:rPr>
          <w:rFonts w:ascii="仿宋_GB2312" w:hAnsi="仿宋_GB2312" w:eastAsia="仿宋_GB2312" w:cs="仿宋_GB2312"/>
          <w:b w:val="0"/>
          <w:bCs w:val="0"/>
          <w:sz w:val="32"/>
          <w:szCs w:val="32"/>
          <w:u w:val="none"/>
          <w:lang w:val="en-US" w:eastAsia="zh-CN"/>
        </w:rPr>
        <w:t>补贴</w:t>
      </w:r>
      <w:r>
        <w:rPr>
          <w:rFonts w:hint="eastAsia" w:ascii="仿宋_GB2312" w:hAnsi="仿宋_GB2312" w:eastAsia="仿宋_GB2312" w:cs="仿宋_GB2312"/>
          <w:b w:val="0"/>
          <w:bCs w:val="0"/>
          <w:sz w:val="32"/>
          <w:szCs w:val="32"/>
          <w:u w:val="none"/>
          <w:lang w:val="en-US" w:eastAsia="zh-CN"/>
        </w:rPr>
        <w:t>。</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责任部门：区人力社保局、区国资委、区发改委、区财政局、各相关镇</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val="0"/>
          <w:i w:val="0"/>
          <w:iCs w:val="0"/>
          <w:caps w:val="0"/>
          <w:smallCaps w:val="0"/>
          <w:color w:val="000000"/>
          <w:spacing w:val="0"/>
          <w:sz w:val="32"/>
          <w:szCs w:val="32"/>
          <w:u w:val="none"/>
          <w:shd w:val="clear" w:color="auto" w:fill="auto"/>
          <w:lang w:eastAsia="zh-CN"/>
        </w:rPr>
      </w:pPr>
      <w:r>
        <w:rPr>
          <w:rFonts w:hint="eastAsia" w:ascii="仿宋_GB2312" w:hAnsi="仿宋_GB2312" w:eastAsia="仿宋_GB2312" w:cs="仿宋_GB2312"/>
          <w:b w:val="0"/>
          <w:bCs w:val="0"/>
          <w:sz w:val="32"/>
          <w:szCs w:val="32"/>
          <w:u w:val="none"/>
          <w:lang w:val="en-US" w:eastAsia="zh-CN"/>
        </w:rPr>
        <w:t>4.强化公共就业服务。加大就业岗位宣传推介力度，深化与朝阳等北京城区的就业信息共享协作，联合移动、联通等运营商搭建线上推送渠道，推动就业岗位信息进村入户。在原有固定招聘会基础上与镇街协作组建移动就业招聘会，每个镇街或几个镇街联合组织送岗下乡活动。实施大规模职业技能培训，以人社部“技能照亮前程”培训行动为牵引，坚持投资于人，培育劳动者一技之长、多技之长。结合密云和首都大市场需求，重点培训家政服务、护理照料、保安保洁、设备管理、机械维修、电子商务、健康管理、心理健康指导等行业，每年培训不低于5000人次，增加普通劳动力就业技能。以“高效办成一件事”为起点，全面优化营商环境，在人才引进等方面提供便利，稳定企业发展信心，增加就业岗位。</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责任部门：区人力社保局、各相关单位、各相关镇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lang w:eastAsia="zh-CN"/>
        </w:rPr>
        <w:t>（二）做强</w:t>
      </w:r>
      <w:r>
        <w:rPr>
          <w:rFonts w:hint="eastAsia" w:ascii="楷体_GB2312" w:hAnsi="楷体_GB2312" w:eastAsia="楷体_GB2312" w:cs="楷体_GB2312"/>
          <w:b w:val="0"/>
          <w:bCs w:val="0"/>
          <w:color w:val="auto"/>
          <w:sz w:val="32"/>
          <w:szCs w:val="32"/>
          <w:u w:val="none"/>
        </w:rPr>
        <w:t>特色产业，提高农民经营性收入</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5</w:t>
      </w:r>
      <w:r>
        <w:rPr>
          <w:rFonts w:hint="eastAsia" w:ascii="仿宋_GB2312" w:hAnsi="仿宋_GB2312" w:eastAsia="仿宋_GB2312" w:cs="仿宋_GB2312"/>
          <w:b w:val="0"/>
          <w:bCs/>
          <w:sz w:val="32"/>
          <w:szCs w:val="32"/>
          <w:u w:val="none"/>
        </w:rPr>
        <w:t>.实施“三个一百”行动。建设果树新品种苗木繁育基地，选育并落地推广100个特色果树新品种；对上一年度获得有机、绿色果品认证证书的基地，采取定额奖励方式给予补助。按照《密云区精品采摘果园建设标准》，在高速出口、景区</w:t>
      </w:r>
      <w:r>
        <w:rPr>
          <w:rFonts w:hint="eastAsia" w:ascii="仿宋_GB2312" w:hAnsi="仿宋_GB2312" w:eastAsia="仿宋_GB2312" w:cs="仿宋_GB2312"/>
          <w:b w:val="0"/>
          <w:bCs/>
          <w:sz w:val="32"/>
          <w:szCs w:val="32"/>
          <w:u w:val="none"/>
          <w:lang w:eastAsia="zh-CN"/>
        </w:rPr>
        <w:t>、民宿</w:t>
      </w:r>
      <w:r>
        <w:rPr>
          <w:rFonts w:hint="eastAsia" w:ascii="仿宋_GB2312" w:hAnsi="仿宋_GB2312" w:eastAsia="仿宋_GB2312" w:cs="仿宋_GB2312"/>
          <w:b w:val="0"/>
          <w:bCs/>
          <w:sz w:val="32"/>
          <w:szCs w:val="32"/>
          <w:u w:val="none"/>
        </w:rPr>
        <w:t>周边布局建设100个精品采摘园，</w:t>
      </w:r>
      <w:r>
        <w:rPr>
          <w:rFonts w:hint="eastAsia" w:ascii="仿宋_GB2312" w:hAnsi="仿宋_GB2312" w:eastAsia="仿宋_GB2312" w:cs="仿宋_GB2312"/>
          <w:b w:val="0"/>
          <w:bCs/>
          <w:sz w:val="32"/>
          <w:szCs w:val="32"/>
          <w:u w:val="none"/>
          <w:lang w:eastAsia="zh-CN"/>
        </w:rPr>
        <w:t>实施有机肥为主的土壤培肥模式，采用滴灌、喷灌等节水灌溉措施，建立果品生产安全追溯体系。</w:t>
      </w:r>
      <w:r>
        <w:rPr>
          <w:rFonts w:hint="eastAsia" w:ascii="仿宋_GB2312" w:hAnsi="仿宋_GB2312" w:eastAsia="仿宋_GB2312" w:cs="仿宋_GB2312"/>
          <w:b w:val="0"/>
          <w:bCs/>
          <w:sz w:val="32"/>
          <w:szCs w:val="32"/>
          <w:u w:val="none"/>
        </w:rPr>
        <w:t>培育100个新型生产经营主体，鼓励其通过吸纳就业、土地流转、服务订购、订单采购、受益分红等多元方式，与农户建立紧密利益联结机制</w:t>
      </w:r>
      <w:r>
        <w:rPr>
          <w:rFonts w:hint="eastAsia" w:ascii="仿宋_GB2312" w:hAnsi="仿宋_GB2312" w:eastAsia="仿宋_GB2312" w:cs="仿宋_GB2312"/>
          <w:b w:val="0"/>
          <w:bCs/>
          <w:sz w:val="32"/>
          <w:szCs w:val="32"/>
          <w:u w:val="none"/>
          <w:lang w:eastAsia="zh-CN"/>
        </w:rPr>
        <w:t>。</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责任部门：区园林绿化局、各相关镇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b w:val="0"/>
          <w:bCs/>
          <w:u w:val="none"/>
          <w:lang w:val="en-US" w:eastAsia="zh-CN"/>
        </w:rPr>
      </w:pPr>
      <w:r>
        <w:rPr>
          <w:rFonts w:hint="eastAsia" w:ascii="仿宋_GB2312" w:hAnsi="仿宋_GB2312" w:eastAsia="仿宋_GB2312" w:cs="仿宋_GB2312"/>
          <w:b w:val="0"/>
          <w:bCs/>
          <w:sz w:val="32"/>
          <w:szCs w:val="32"/>
          <w:u w:val="none"/>
          <w:lang w:val="en-US" w:eastAsia="zh-CN"/>
        </w:rPr>
        <w:t>6</w:t>
      </w:r>
      <w:r>
        <w:rPr>
          <w:rFonts w:hint="eastAsia" w:ascii="仿宋_GB2312" w:hAnsi="仿宋_GB2312" w:eastAsia="仿宋_GB2312" w:cs="仿宋_GB2312"/>
          <w:b w:val="0"/>
          <w:bCs/>
          <w:sz w:val="32"/>
          <w:szCs w:val="32"/>
          <w:u w:val="none"/>
        </w:rPr>
        <w:t>.优化果树种植布局。深化与农林</w:t>
      </w:r>
      <w:r>
        <w:rPr>
          <w:rFonts w:hint="eastAsia" w:ascii="仿宋_GB2312" w:hAnsi="仿宋_GB2312" w:eastAsia="仿宋_GB2312" w:cs="仿宋_GB2312"/>
          <w:b w:val="0"/>
          <w:bCs/>
          <w:sz w:val="32"/>
          <w:szCs w:val="32"/>
          <w:u w:val="none"/>
          <w:lang w:eastAsia="zh-CN"/>
        </w:rPr>
        <w:t>科研院所</w:t>
      </w:r>
      <w:r>
        <w:rPr>
          <w:rFonts w:hint="eastAsia" w:ascii="仿宋_GB2312" w:hAnsi="仿宋_GB2312" w:eastAsia="仿宋_GB2312" w:cs="仿宋_GB2312"/>
          <w:b w:val="0"/>
          <w:bCs/>
          <w:sz w:val="32"/>
          <w:szCs w:val="32"/>
          <w:u w:val="none"/>
        </w:rPr>
        <w:t>、汇源集团</w:t>
      </w:r>
      <w:r>
        <w:rPr>
          <w:rFonts w:hint="eastAsia" w:ascii="仿宋_GB2312" w:hAnsi="仿宋_GB2312" w:eastAsia="仿宋_GB2312" w:cs="仿宋_GB2312"/>
          <w:b w:val="0"/>
          <w:bCs/>
          <w:sz w:val="32"/>
          <w:szCs w:val="32"/>
          <w:u w:val="none"/>
          <w:lang w:eastAsia="zh-CN"/>
        </w:rPr>
        <w:t>等单位</w:t>
      </w:r>
      <w:r>
        <w:rPr>
          <w:rFonts w:hint="eastAsia" w:ascii="仿宋_GB2312" w:hAnsi="仿宋_GB2312" w:eastAsia="仿宋_GB2312" w:cs="仿宋_GB2312"/>
          <w:b w:val="0"/>
          <w:bCs/>
          <w:sz w:val="32"/>
          <w:szCs w:val="32"/>
          <w:u w:val="none"/>
        </w:rPr>
        <w:t>合作，一是向汇源集团</w:t>
      </w:r>
      <w:r>
        <w:rPr>
          <w:rFonts w:hint="eastAsia" w:ascii="仿宋_GB2312" w:hAnsi="仿宋_GB2312" w:eastAsia="仿宋_GB2312" w:cs="仿宋_GB2312"/>
          <w:b w:val="0"/>
          <w:bCs/>
          <w:sz w:val="32"/>
          <w:szCs w:val="32"/>
          <w:u w:val="none"/>
          <w:lang w:eastAsia="zh-CN"/>
        </w:rPr>
        <w:t>定向供应</w:t>
      </w:r>
      <w:r>
        <w:rPr>
          <w:rFonts w:hint="eastAsia" w:ascii="仿宋_GB2312" w:hAnsi="仿宋_GB2312" w:eastAsia="仿宋_GB2312" w:cs="仿宋_GB2312"/>
          <w:b w:val="0"/>
          <w:bCs/>
          <w:sz w:val="32"/>
          <w:szCs w:val="32"/>
          <w:u w:val="none"/>
        </w:rPr>
        <w:t>树莓等单品，</w:t>
      </w:r>
      <w:r>
        <w:rPr>
          <w:rFonts w:hint="eastAsia" w:ascii="仿宋_GB2312" w:hAnsi="仿宋_GB2312" w:eastAsia="仿宋_GB2312" w:cs="仿宋_GB2312"/>
          <w:b w:val="0"/>
          <w:bCs/>
          <w:sz w:val="32"/>
          <w:szCs w:val="32"/>
          <w:u w:val="none"/>
          <w:lang w:eastAsia="zh-CN"/>
        </w:rPr>
        <w:t>由企业</w:t>
      </w:r>
      <w:r>
        <w:rPr>
          <w:rFonts w:hint="eastAsia" w:ascii="仿宋_GB2312" w:hAnsi="仿宋_GB2312" w:eastAsia="仿宋_GB2312" w:cs="仿宋_GB2312"/>
          <w:b w:val="0"/>
          <w:bCs/>
          <w:sz w:val="32"/>
          <w:szCs w:val="32"/>
          <w:u w:val="none"/>
        </w:rPr>
        <w:t>保底收购用于高端果汁生产</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u w:val="none"/>
        </w:rPr>
        <w:t>二是推动汇源收购加工大城子红肖梨、山楂等低效果品，</w:t>
      </w:r>
      <w:r>
        <w:rPr>
          <w:rFonts w:hint="eastAsia" w:ascii="仿宋_GB2312" w:hAnsi="仿宋_GB2312" w:eastAsia="仿宋_GB2312" w:cs="仿宋_GB2312"/>
          <w:b w:val="0"/>
          <w:bCs/>
          <w:sz w:val="32"/>
          <w:szCs w:val="32"/>
          <w:u w:val="none"/>
          <w:lang w:eastAsia="zh-CN"/>
        </w:rPr>
        <w:t>进一步</w:t>
      </w:r>
      <w:r>
        <w:rPr>
          <w:rFonts w:hint="eastAsia" w:ascii="仿宋_GB2312" w:hAnsi="仿宋_GB2312" w:eastAsia="仿宋_GB2312" w:cs="仿宋_GB2312"/>
          <w:b w:val="0"/>
          <w:bCs/>
          <w:sz w:val="32"/>
          <w:szCs w:val="32"/>
          <w:u w:val="none"/>
        </w:rPr>
        <w:t>拓宽</w:t>
      </w:r>
      <w:r>
        <w:rPr>
          <w:rFonts w:hint="eastAsia" w:ascii="仿宋_GB2312" w:hAnsi="仿宋_GB2312" w:eastAsia="仿宋_GB2312" w:cs="仿宋_GB2312"/>
          <w:b w:val="0"/>
          <w:bCs/>
          <w:sz w:val="32"/>
          <w:szCs w:val="32"/>
          <w:u w:val="none"/>
          <w:lang w:eastAsia="zh-CN"/>
        </w:rPr>
        <w:t>本地果品销售渠道</w:t>
      </w:r>
      <w:r>
        <w:rPr>
          <w:rFonts w:hint="eastAsia" w:ascii="仿宋_GB2312" w:hAnsi="仿宋_GB2312" w:eastAsia="仿宋_GB2312" w:cs="仿宋_GB2312"/>
          <w:b w:val="0"/>
          <w:bCs/>
          <w:sz w:val="32"/>
          <w:szCs w:val="32"/>
          <w:u w:val="none"/>
        </w:rPr>
        <w:t>；三是</w:t>
      </w:r>
      <w:r>
        <w:rPr>
          <w:rFonts w:hint="eastAsia" w:ascii="仿宋_GB2312" w:hAnsi="仿宋_GB2312" w:eastAsia="仿宋_GB2312" w:cs="仿宋_GB2312"/>
          <w:b w:val="0"/>
          <w:bCs/>
          <w:sz w:val="32"/>
          <w:szCs w:val="32"/>
          <w:u w:val="none"/>
          <w:lang w:eastAsia="zh-CN"/>
        </w:rPr>
        <w:t>合作建设“共享工厂”，</w:t>
      </w:r>
      <w:r>
        <w:rPr>
          <w:rFonts w:hint="eastAsia" w:ascii="仿宋_GB2312" w:hAnsi="仿宋_GB2312" w:eastAsia="仿宋_GB2312" w:cs="仿宋_GB2312"/>
          <w:b w:val="0"/>
          <w:bCs/>
          <w:sz w:val="32"/>
          <w:szCs w:val="32"/>
          <w:u w:val="none"/>
        </w:rPr>
        <w:t>打造“黄土坎鸭梨+汇源”“红肖梨+汇源”等双品牌产品，</w:t>
      </w:r>
      <w:r>
        <w:rPr>
          <w:rFonts w:hint="eastAsia" w:ascii="仿宋_GB2312" w:hAnsi="仿宋_GB2312" w:eastAsia="仿宋_GB2312" w:cs="仿宋_GB2312"/>
          <w:b w:val="0"/>
          <w:bCs/>
          <w:sz w:val="32"/>
          <w:szCs w:val="32"/>
          <w:u w:val="none"/>
          <w:lang w:eastAsia="zh-CN"/>
        </w:rPr>
        <w:t>延伸果品产业链条；</w:t>
      </w:r>
      <w:r>
        <w:rPr>
          <w:rFonts w:hint="eastAsia" w:ascii="仿宋_GB2312" w:hAnsi="仿宋_GB2312" w:eastAsia="仿宋_GB2312" w:cs="仿宋_GB2312"/>
          <w:b w:val="0"/>
          <w:bCs/>
          <w:sz w:val="32"/>
          <w:szCs w:val="32"/>
          <w:u w:val="none"/>
        </w:rPr>
        <w:t>四是</w:t>
      </w:r>
      <w:r>
        <w:rPr>
          <w:rFonts w:hint="eastAsia" w:ascii="仿宋_GB2312" w:hAnsi="仿宋_GB2312" w:eastAsia="仿宋_GB2312" w:cs="仿宋_GB2312"/>
          <w:b w:val="0"/>
          <w:bCs/>
          <w:sz w:val="32"/>
          <w:szCs w:val="32"/>
          <w:u w:val="none"/>
          <w:lang w:eastAsia="zh-CN"/>
        </w:rPr>
        <w:t>依托</w:t>
      </w:r>
      <w:r>
        <w:rPr>
          <w:rFonts w:hint="eastAsia" w:ascii="仿宋_GB2312" w:hAnsi="仿宋_GB2312" w:eastAsia="仿宋_GB2312" w:cs="仿宋_GB2312"/>
          <w:b w:val="0"/>
          <w:bCs/>
          <w:sz w:val="32"/>
          <w:szCs w:val="32"/>
          <w:u w:val="none"/>
        </w:rPr>
        <w:t>科研机构技术优势建设试验示范基地，引进“大卫嘎啦”苹果等早熟果树新品种，示范推广盆栽樱桃、盆栽石榴、盆栽蓝莓等“移动果园”</w:t>
      </w:r>
      <w:r>
        <w:rPr>
          <w:rFonts w:hint="eastAsia" w:ascii="仿宋_GB2312" w:hAnsi="仿宋_GB2312" w:eastAsia="仿宋_GB2312" w:cs="仿宋_GB2312"/>
          <w:b w:val="0"/>
          <w:bCs/>
          <w:sz w:val="32"/>
          <w:szCs w:val="32"/>
          <w:u w:val="none"/>
          <w:lang w:eastAsia="zh-CN"/>
        </w:rPr>
        <w:t>新</w:t>
      </w:r>
      <w:r>
        <w:rPr>
          <w:rFonts w:hint="eastAsia" w:ascii="仿宋_GB2312" w:hAnsi="仿宋_GB2312" w:eastAsia="仿宋_GB2312" w:cs="仿宋_GB2312"/>
          <w:b w:val="0"/>
          <w:bCs/>
          <w:sz w:val="32"/>
          <w:szCs w:val="32"/>
          <w:u w:val="none"/>
        </w:rPr>
        <w:t>模式</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u w:val="none"/>
        </w:rPr>
        <w:t>五是</w:t>
      </w:r>
      <w:r>
        <w:rPr>
          <w:rFonts w:hint="eastAsia" w:ascii="仿宋_GB2312" w:hAnsi="仿宋_GB2312" w:eastAsia="仿宋_GB2312" w:cs="仿宋_GB2312"/>
          <w:b w:val="0"/>
          <w:bCs/>
          <w:sz w:val="32"/>
          <w:szCs w:val="32"/>
          <w:u w:val="none"/>
          <w:lang w:eastAsia="zh-CN"/>
        </w:rPr>
        <w:t>研究</w:t>
      </w:r>
      <w:r>
        <w:rPr>
          <w:rFonts w:hint="eastAsia" w:ascii="仿宋_GB2312" w:hAnsi="仿宋_GB2312" w:eastAsia="仿宋_GB2312" w:cs="仿宋_GB2312"/>
          <w:b w:val="0"/>
          <w:bCs/>
          <w:sz w:val="32"/>
          <w:szCs w:val="32"/>
          <w:u w:val="none"/>
        </w:rPr>
        <w:t>黄土坎鸭梨产地麦饭石土壤特性，</w:t>
      </w:r>
      <w:r>
        <w:rPr>
          <w:rFonts w:hint="eastAsia" w:ascii="仿宋_GB2312" w:hAnsi="仿宋_GB2312" w:eastAsia="仿宋_GB2312" w:cs="仿宋_GB2312"/>
          <w:b w:val="0"/>
          <w:bCs/>
          <w:sz w:val="32"/>
          <w:szCs w:val="32"/>
          <w:u w:val="none"/>
          <w:lang w:eastAsia="zh-CN"/>
        </w:rPr>
        <w:t>开展</w:t>
      </w:r>
      <w:r>
        <w:rPr>
          <w:rFonts w:hint="eastAsia" w:ascii="仿宋_GB2312" w:hAnsi="仿宋_GB2312" w:eastAsia="仿宋_GB2312" w:cs="仿宋_GB2312"/>
          <w:b w:val="0"/>
          <w:bCs/>
          <w:sz w:val="32"/>
          <w:szCs w:val="32"/>
          <w:u w:val="none"/>
        </w:rPr>
        <w:t>栽培</w:t>
      </w:r>
      <w:r>
        <w:rPr>
          <w:rFonts w:hint="eastAsia" w:ascii="仿宋_GB2312" w:hAnsi="仿宋_GB2312" w:eastAsia="仿宋_GB2312" w:cs="仿宋_GB2312"/>
          <w:b w:val="0"/>
          <w:bCs/>
          <w:sz w:val="32"/>
          <w:szCs w:val="32"/>
          <w:u w:val="none"/>
          <w:lang w:eastAsia="zh-CN"/>
        </w:rPr>
        <w:t>技术与</w:t>
      </w:r>
      <w:r>
        <w:rPr>
          <w:rFonts w:hint="eastAsia" w:ascii="仿宋_GB2312" w:hAnsi="仿宋_GB2312" w:eastAsia="仿宋_GB2312" w:cs="仿宋_GB2312"/>
          <w:b w:val="0"/>
          <w:bCs/>
          <w:sz w:val="32"/>
          <w:szCs w:val="32"/>
          <w:u w:val="none"/>
        </w:rPr>
        <w:t>保鲜</w:t>
      </w:r>
      <w:r>
        <w:rPr>
          <w:rFonts w:hint="eastAsia" w:ascii="仿宋_GB2312" w:hAnsi="仿宋_GB2312" w:eastAsia="仿宋_GB2312" w:cs="仿宋_GB2312"/>
          <w:b w:val="0"/>
          <w:bCs/>
          <w:sz w:val="32"/>
          <w:szCs w:val="32"/>
          <w:u w:val="none"/>
          <w:lang w:eastAsia="zh-CN"/>
        </w:rPr>
        <w:t>技术</w:t>
      </w:r>
      <w:r>
        <w:rPr>
          <w:rFonts w:hint="eastAsia" w:ascii="仿宋_GB2312" w:hAnsi="仿宋_GB2312" w:eastAsia="仿宋_GB2312" w:cs="仿宋_GB2312"/>
          <w:b w:val="0"/>
          <w:bCs/>
          <w:sz w:val="32"/>
          <w:szCs w:val="32"/>
          <w:u w:val="none"/>
          <w:lang w:val="en-US" w:eastAsia="zh-CN"/>
        </w:rPr>
        <w:t>攻关</w:t>
      </w:r>
      <w:r>
        <w:rPr>
          <w:rFonts w:hint="eastAsia" w:ascii="仿宋_GB2312" w:hAnsi="仿宋_GB2312" w:eastAsia="仿宋_GB2312" w:cs="仿宋_GB2312"/>
          <w:b w:val="0"/>
          <w:bCs/>
          <w:sz w:val="32"/>
          <w:szCs w:val="32"/>
          <w:u w:val="none"/>
          <w:lang w:eastAsia="zh-CN"/>
        </w:rPr>
        <w:t>，在“</w:t>
      </w:r>
      <w:r>
        <w:rPr>
          <w:rFonts w:hint="eastAsia" w:ascii="仿宋_GB2312" w:hAnsi="仿宋_GB2312" w:eastAsia="仿宋_GB2312" w:cs="仿宋_GB2312"/>
          <w:b w:val="0"/>
          <w:bCs/>
          <w:sz w:val="32"/>
          <w:szCs w:val="32"/>
          <w:u w:val="none"/>
        </w:rPr>
        <w:t>新城子苹果</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u w:val="none"/>
        </w:rPr>
        <w:t>庄头峪红香酥梨</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u w:val="none"/>
        </w:rPr>
        <w:t>等主产区实施果品提质增效工程，优化果品上市</w:t>
      </w:r>
      <w:r>
        <w:rPr>
          <w:rFonts w:hint="eastAsia" w:ascii="仿宋_GB2312" w:hAnsi="仿宋_GB2312" w:eastAsia="仿宋_GB2312" w:cs="仿宋_GB2312"/>
          <w:b w:val="0"/>
          <w:bCs/>
          <w:sz w:val="32"/>
          <w:szCs w:val="32"/>
          <w:u w:val="none"/>
          <w:lang w:eastAsia="zh-CN"/>
        </w:rPr>
        <w:t>周期，</w:t>
      </w:r>
      <w:r>
        <w:rPr>
          <w:rFonts w:hint="eastAsia" w:ascii="仿宋_GB2312" w:hAnsi="仿宋_GB2312" w:eastAsia="仿宋_GB2312" w:cs="仿宋_GB2312"/>
          <w:b w:val="0"/>
          <w:bCs/>
          <w:sz w:val="32"/>
          <w:szCs w:val="32"/>
          <w:u w:val="none"/>
        </w:rPr>
        <w:t>提升市场竞争力。</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000000"/>
          <w:kern w:val="2"/>
          <w:sz w:val="32"/>
          <w:szCs w:val="32"/>
          <w:u w:val="none"/>
          <w:shd w:val="clear" w:color="auto" w:fill="FFFFFF"/>
          <w:lang w:val="en-US" w:eastAsia="zh-CN" w:bidi="ar-SA"/>
        </w:rPr>
      </w:pPr>
      <w:r>
        <w:rPr>
          <w:rFonts w:hint="eastAsia" w:ascii="仿宋_GB2312" w:hAnsi="仿宋_GB2312" w:eastAsia="仿宋_GB2312" w:cs="仿宋_GB2312"/>
          <w:b w:val="0"/>
          <w:bCs/>
          <w:color w:val="auto"/>
          <w:kern w:val="0"/>
          <w:sz w:val="32"/>
          <w:szCs w:val="32"/>
          <w:u w:val="none"/>
          <w:lang w:val="en-US" w:eastAsia="zh-CN"/>
        </w:rPr>
        <w:t>责任部门：</w:t>
      </w:r>
      <w:r>
        <w:rPr>
          <w:rFonts w:hint="eastAsia" w:ascii="仿宋_GB2312" w:hAnsi="仿宋_GB2312" w:eastAsia="仿宋_GB2312" w:cs="仿宋_GB2312"/>
          <w:b w:val="0"/>
          <w:bCs/>
          <w:sz w:val="32"/>
          <w:szCs w:val="32"/>
          <w:u w:val="none"/>
          <w:lang w:val="en-US" w:eastAsia="zh-CN"/>
        </w:rPr>
        <w:t>区园林绿化局、各相关镇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000000"/>
          <w:kern w:val="2"/>
          <w:sz w:val="32"/>
          <w:szCs w:val="32"/>
          <w:u w:val="none"/>
          <w:shd w:val="clear" w:color="auto" w:fill="FFFFFF"/>
          <w:lang w:val="en-US" w:eastAsia="zh-CN" w:bidi="ar-SA"/>
        </w:rPr>
      </w:pPr>
      <w:r>
        <w:rPr>
          <w:rFonts w:hint="eastAsia" w:ascii="仿宋_GB2312" w:hAnsi="仿宋_GB2312" w:eastAsia="仿宋_GB2312" w:cs="仿宋_GB2312"/>
          <w:b w:val="0"/>
          <w:bCs/>
          <w:color w:val="000000"/>
          <w:kern w:val="2"/>
          <w:sz w:val="32"/>
          <w:szCs w:val="32"/>
          <w:u w:val="none"/>
          <w:shd w:val="clear" w:color="auto" w:fill="FFFFFF"/>
          <w:lang w:val="en-US" w:eastAsia="zh-CN" w:bidi="ar-SA"/>
        </w:rPr>
        <w:t>7.</w:t>
      </w:r>
      <w:r>
        <w:rPr>
          <w:rFonts w:hint="eastAsia" w:ascii="仿宋_GB2312" w:hAnsi="仿宋_GB2312" w:eastAsia="仿宋_GB2312" w:cs="仿宋_GB2312"/>
          <w:b w:val="0"/>
          <w:bCs/>
          <w:sz w:val="32"/>
          <w:szCs w:val="32"/>
          <w:u w:val="none"/>
        </w:rPr>
        <w:t>夯实林果业发展基础。实施沃土工程，科学运用土壤检测结果调整施肥种类和用量，优化土壤环境，提升果品品质，实现果园可持续管理。持续完善果品质量安全生产、认证、监测等保障体系，到2030年，确保果品检测合格率保持在98%以上，培育果品追溯企业20家以上，实现合格证推广全覆盖。</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000000"/>
          <w:kern w:val="2"/>
          <w:sz w:val="32"/>
          <w:szCs w:val="32"/>
          <w:u w:val="none"/>
          <w:shd w:val="clear" w:color="auto" w:fill="FFFFFF"/>
          <w:lang w:val="en-US" w:eastAsia="zh-CN" w:bidi="ar-SA"/>
        </w:rPr>
      </w:pPr>
      <w:r>
        <w:rPr>
          <w:rFonts w:hint="eastAsia" w:ascii="仿宋_GB2312" w:hAnsi="仿宋_GB2312" w:eastAsia="仿宋_GB2312" w:cs="仿宋_GB2312"/>
          <w:b w:val="0"/>
          <w:bCs/>
          <w:color w:val="auto"/>
          <w:kern w:val="0"/>
          <w:sz w:val="32"/>
          <w:szCs w:val="32"/>
          <w:u w:val="none"/>
          <w:lang w:val="en-US" w:eastAsia="zh-CN"/>
        </w:rPr>
        <w:t>责任部门：</w:t>
      </w:r>
      <w:r>
        <w:rPr>
          <w:rFonts w:hint="eastAsia" w:ascii="仿宋_GB2312" w:hAnsi="仿宋_GB2312" w:eastAsia="仿宋_GB2312" w:cs="仿宋_GB2312"/>
          <w:b w:val="0"/>
          <w:bCs/>
          <w:sz w:val="32"/>
          <w:szCs w:val="32"/>
          <w:u w:val="none"/>
          <w:lang w:val="en-US" w:eastAsia="zh-CN"/>
        </w:rPr>
        <w:t>区园林绿化局、各相关镇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000000"/>
          <w:spacing w:val="-6"/>
          <w:kern w:val="2"/>
          <w:sz w:val="32"/>
          <w:szCs w:val="32"/>
          <w:u w:val="none"/>
          <w:shd w:val="clear" w:color="auto" w:fill="FFFFFF"/>
          <w:lang w:val="en-US" w:eastAsia="zh-CN" w:bidi="ar-SA"/>
        </w:rPr>
      </w:pPr>
      <w:r>
        <w:rPr>
          <w:rFonts w:hint="eastAsia" w:ascii="仿宋_GB2312" w:hAnsi="仿宋_GB2312" w:eastAsia="仿宋_GB2312" w:cs="仿宋_GB2312"/>
          <w:b w:val="0"/>
          <w:bCs/>
          <w:sz w:val="32"/>
          <w:szCs w:val="32"/>
          <w:u w:val="none"/>
          <w:lang w:val="en-US" w:eastAsia="zh-CN"/>
        </w:rPr>
        <w:t>8</w:t>
      </w:r>
      <w:r>
        <w:rPr>
          <w:rFonts w:hint="eastAsia" w:ascii="仿宋_GB2312" w:hAnsi="仿宋_GB2312" w:eastAsia="仿宋_GB2312" w:cs="仿宋_GB2312"/>
          <w:b w:val="0"/>
          <w:bCs/>
          <w:sz w:val="32"/>
          <w:szCs w:val="32"/>
          <w:u w:val="none"/>
        </w:rPr>
        <w:t>.</w:t>
      </w:r>
      <w:r>
        <w:rPr>
          <w:rFonts w:hint="eastAsia" w:ascii="仿宋_GB2312" w:hAnsi="仿宋_GB2312" w:eastAsia="仿宋_GB2312" w:cs="仿宋_GB2312"/>
          <w:b w:val="0"/>
          <w:bCs/>
          <w:color w:val="000000"/>
          <w:kern w:val="2"/>
          <w:sz w:val="32"/>
          <w:szCs w:val="32"/>
          <w:u w:val="none"/>
          <w:shd w:val="clear" w:color="auto" w:fill="FFFFFF"/>
          <w:lang w:val="en-US" w:eastAsia="zh-CN" w:bidi="ar-SA"/>
        </w:rPr>
        <w:t>探索发展林下经济。加快蜂产业重点基地灾后恢复和蜂产业灾后种群恢复工作，持续推广实施蜂业气象指数保险，提升蜂农抗风险能力。深挖林下资源潜力，参照《全国林下经济发展指南》</w:t>
      </w:r>
      <w:r>
        <w:rPr>
          <w:rFonts w:hint="eastAsia" w:ascii="仿宋_GB2312" w:hAnsi="仿宋_GB2312" w:eastAsia="仿宋_GB2312" w:cs="仿宋_GB2312"/>
          <w:b w:val="0"/>
          <w:bCs/>
          <w:color w:val="auto"/>
          <w:kern w:val="2"/>
          <w:sz w:val="32"/>
          <w:szCs w:val="32"/>
          <w:u w:val="none"/>
          <w:shd w:val="clear" w:color="auto" w:fill="FFFFFF"/>
          <w:lang w:val="en-US" w:eastAsia="zh-CN" w:bidi="ar-SA"/>
        </w:rPr>
        <w:t>，因地制宜布局林菌、林蜂、林禽、林药、林旅、林虫等特色林下种养项目，积极培育新业态，</w:t>
      </w:r>
      <w:r>
        <w:rPr>
          <w:rFonts w:hint="eastAsia" w:ascii="仿宋_GB2312" w:hAnsi="仿宋_GB2312" w:eastAsia="仿宋_GB2312" w:cs="仿宋_GB2312"/>
          <w:b w:val="0"/>
          <w:bCs/>
          <w:color w:val="000000"/>
          <w:kern w:val="2"/>
          <w:sz w:val="32"/>
          <w:szCs w:val="32"/>
          <w:u w:val="none"/>
          <w:shd w:val="clear" w:color="auto" w:fill="FFFFFF"/>
          <w:lang w:val="en-US" w:eastAsia="zh-CN" w:bidi="ar-SA"/>
        </w:rPr>
        <w:t>探索多元化林下增</w:t>
      </w:r>
      <w:r>
        <w:rPr>
          <w:rFonts w:hint="eastAsia" w:ascii="仿宋_GB2312" w:hAnsi="仿宋_GB2312" w:eastAsia="仿宋_GB2312" w:cs="仿宋_GB2312"/>
          <w:b w:val="0"/>
          <w:bCs/>
          <w:color w:val="000000"/>
          <w:spacing w:val="-6"/>
          <w:kern w:val="2"/>
          <w:sz w:val="32"/>
          <w:szCs w:val="32"/>
          <w:u w:val="none"/>
          <w:shd w:val="clear" w:color="auto" w:fill="FFFFFF"/>
          <w:lang w:val="en-US" w:eastAsia="zh-CN" w:bidi="ar-SA"/>
        </w:rPr>
        <w:t>收路径。</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w:t>
      </w:r>
      <w:r>
        <w:rPr>
          <w:rFonts w:hint="eastAsia" w:ascii="仿宋_GB2312" w:hAnsi="仿宋_GB2312" w:eastAsia="仿宋_GB2312" w:cs="仿宋_GB2312"/>
          <w:b w:val="0"/>
          <w:bCs/>
          <w:sz w:val="32"/>
          <w:szCs w:val="32"/>
          <w:u w:val="none"/>
          <w:lang w:val="en-US" w:eastAsia="zh-CN"/>
        </w:rPr>
        <w:t>区园林绿化局、区农业农村局、区文旅局、各相关镇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2"/>
          <w:sz w:val="32"/>
          <w:szCs w:val="32"/>
          <w:highlight w:val="none"/>
          <w:u w:val="none"/>
          <w:lang w:val="en-US" w:eastAsia="zh-CN" w:bidi="ar-SA"/>
        </w:rPr>
        <w:t>9</w:t>
      </w:r>
      <w:r>
        <w:rPr>
          <w:rFonts w:ascii="仿宋_GB2312" w:hAnsi="仿宋_GB2312" w:eastAsia="仿宋_GB2312" w:cs="仿宋_GB2312"/>
          <w:b w:val="0"/>
          <w:bCs/>
          <w:color w:val="auto"/>
          <w:kern w:val="2"/>
          <w:sz w:val="32"/>
          <w:szCs w:val="32"/>
          <w:highlight w:val="none"/>
          <w:u w:val="none"/>
          <w:lang w:val="en-US" w:eastAsia="zh-CN" w:bidi="ar-SA"/>
        </w:rPr>
        <w:t>.</w:t>
      </w:r>
      <w:r>
        <w:rPr>
          <w:rFonts w:hint="eastAsia" w:ascii="仿宋_GB2312" w:hAnsi="仿宋_GB2312" w:eastAsia="仿宋_GB2312" w:cs="仿宋_GB2312"/>
          <w:b w:val="0"/>
          <w:bCs/>
          <w:color w:val="auto"/>
          <w:kern w:val="2"/>
          <w:sz w:val="32"/>
          <w:szCs w:val="32"/>
          <w:highlight w:val="none"/>
          <w:u w:val="none"/>
          <w:lang w:val="en-US" w:eastAsia="zh-CN" w:bidi="ar-SA"/>
        </w:rPr>
        <w:t>深化科技兴农。深化与科研院所合作，探索构建“育繁推一体化”种业体系，打造密云特色种业品牌。</w:t>
      </w:r>
      <w:r>
        <w:rPr>
          <w:rFonts w:hint="eastAsia" w:ascii="仿宋_GB2312" w:hAnsi="仿宋_GB2312" w:eastAsia="仿宋_GB2312" w:cs="仿宋_GB2312"/>
          <w:b w:val="0"/>
          <w:bCs/>
          <w:color w:val="auto"/>
          <w:kern w:val="0"/>
          <w:sz w:val="32"/>
          <w:szCs w:val="32"/>
          <w:u w:val="none"/>
          <w:lang w:val="en-US" w:eastAsia="zh-CN"/>
        </w:rPr>
        <w:t>聚焦设施农业提质增效，推动规模化温室、连栋大棚等有条件的设施农业基地数字化升级，</w:t>
      </w:r>
      <w:r>
        <w:rPr>
          <w:rFonts w:hint="eastAsia" w:ascii="仿宋_GB2312" w:hAnsi="仿宋_GB2312" w:eastAsia="仿宋_GB2312" w:cs="仿宋_GB2312"/>
          <w:b w:val="0"/>
          <w:bCs/>
          <w:color w:val="auto"/>
          <w:kern w:val="2"/>
          <w:sz w:val="32"/>
          <w:szCs w:val="32"/>
          <w:highlight w:val="none"/>
          <w:u w:val="none"/>
          <w:lang w:val="en-US" w:eastAsia="zh-CN" w:bidi="ar-SA"/>
        </w:rPr>
        <w:t>集成物联网、环境传感</w:t>
      </w:r>
      <w:r>
        <w:rPr>
          <w:rFonts w:hint="eastAsia" w:ascii="仿宋_GB2312" w:hAnsi="仿宋_GB2312" w:eastAsia="仿宋_GB2312" w:cs="仿宋_GB2312"/>
          <w:b w:val="0"/>
          <w:bCs/>
          <w:color w:val="auto"/>
          <w:kern w:val="0"/>
          <w:sz w:val="32"/>
          <w:szCs w:val="32"/>
          <w:u w:val="none"/>
          <w:lang w:val="en-US" w:eastAsia="zh-CN"/>
        </w:rPr>
        <w:t>、智能水肥一体化等技术，</w:t>
      </w:r>
      <w:r>
        <w:rPr>
          <w:rFonts w:hint="eastAsia" w:ascii="仿宋_GB2312" w:hAnsi="仿宋_GB2312" w:eastAsia="仿宋_GB2312" w:cs="仿宋_GB2312"/>
          <w:b w:val="0"/>
          <w:bCs/>
          <w:color w:val="auto"/>
          <w:kern w:val="2"/>
          <w:sz w:val="32"/>
          <w:szCs w:val="32"/>
          <w:highlight w:val="none"/>
          <w:u w:val="none"/>
          <w:lang w:val="en-US" w:eastAsia="zh-CN" w:bidi="ar-SA"/>
        </w:rPr>
        <w:t>建立全流程质量追溯体系。推进西红柿特色产业集群建设，新建和提升一批优势特色产业，打造高标准设施农业园区</w:t>
      </w:r>
      <w:r>
        <w:rPr>
          <w:rFonts w:hint="eastAsia" w:ascii="仿宋_GB2312" w:hAnsi="仿宋_GB2312" w:eastAsia="仿宋_GB2312" w:cs="仿宋_GB2312"/>
          <w:b w:val="0"/>
          <w:bCs/>
          <w:color w:val="auto"/>
          <w:kern w:val="2"/>
          <w:sz w:val="32"/>
          <w:szCs w:val="32"/>
          <w:u w:val="none"/>
          <w:lang w:val="en-US" w:eastAsia="zh-CN" w:bidi="ar-SA"/>
        </w:rPr>
        <w:t>。</w:t>
      </w:r>
      <w:r>
        <w:rPr>
          <w:rFonts w:hint="eastAsia" w:ascii="仿宋_GB2312" w:hAnsi="仿宋_GB2312" w:eastAsia="仿宋_GB2312" w:cs="仿宋_GB2312"/>
          <w:b w:val="0"/>
          <w:bCs/>
          <w:color w:val="auto"/>
          <w:kern w:val="2"/>
          <w:sz w:val="32"/>
          <w:szCs w:val="32"/>
          <w:highlight w:val="none"/>
          <w:u w:val="none"/>
          <w:lang w:val="en-US" w:eastAsia="zh-CN" w:bidi="ar-SA"/>
        </w:rPr>
        <w:t>强化“科技小</w:t>
      </w:r>
      <w:r>
        <w:rPr>
          <w:rFonts w:hint="eastAsia" w:ascii="仿宋_GB2312" w:hAnsi="仿宋_GB2312" w:eastAsia="仿宋_GB2312" w:cs="仿宋_GB2312"/>
          <w:b w:val="0"/>
          <w:bCs/>
          <w:color w:val="auto"/>
          <w:spacing w:val="-6"/>
          <w:kern w:val="2"/>
          <w:sz w:val="32"/>
          <w:szCs w:val="32"/>
          <w:highlight w:val="none"/>
          <w:u w:val="none"/>
          <w:lang w:val="en-US" w:eastAsia="zh-CN" w:bidi="ar-SA"/>
        </w:rPr>
        <w:t>院”和乡村振兴科技助理的基层服务能力，</w:t>
      </w:r>
      <w:r>
        <w:rPr>
          <w:rFonts w:hint="eastAsia" w:ascii="仿宋_GB2312" w:hAnsi="仿宋_GB2312" w:eastAsia="仿宋_GB2312" w:cs="仿宋_GB2312"/>
          <w:b w:val="0"/>
          <w:bCs/>
          <w:color w:val="auto"/>
          <w:kern w:val="0"/>
          <w:sz w:val="32"/>
          <w:szCs w:val="32"/>
          <w:u w:val="none"/>
          <w:lang w:val="en-US" w:eastAsia="zh-CN"/>
        </w:rPr>
        <w:t>推动设施农业领域新品种、新技术、新模式落地转化，助力农业产业高质量发展。</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责任部门：区农业农村局、区园林绿化局、区委统战部、各相关镇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10.</w:t>
      </w:r>
      <w:r>
        <w:rPr>
          <w:rFonts w:hint="eastAsia" w:ascii="仿宋_GB2312" w:hAnsi="仿宋_GB2312" w:eastAsia="仿宋_GB2312" w:cs="仿宋_GB2312"/>
          <w:b w:val="0"/>
          <w:bCs/>
          <w:color w:val="auto"/>
          <w:kern w:val="0"/>
          <w:sz w:val="32"/>
          <w:szCs w:val="32"/>
          <w:u w:val="none"/>
          <w:lang w:val="en-US" w:eastAsia="zh-CN"/>
        </w:rPr>
        <w:t>扩大农业品牌影响力。深耕“密云水库鱼”“密云西红柿”“石匣甘薯”“蜂盛蜜匀”等密云农业优秀品牌，不断提升品牌市场竞争力，力争到2030年新增“北京优农”品牌主体至25家以上，推动密云农产品走向更广阔的市场。积极组织头部电商携带密云特色农产品，参与“北京优农”系列活动等国家级、市级、区级农产品展销市集活动，通过现场直播带货、现场品鉴互动等拓宽密云农产品影响力，充分彰显“密云农业”品牌价值。展销市集活动期间头部电商直播销售本地农产品，根据销售额给予</w:t>
      </w:r>
      <w:r>
        <w:rPr>
          <w:rFonts w:hint="eastAsia" w:ascii="仿宋_GB2312" w:hAnsi="仿宋_GB2312" w:eastAsia="仿宋_GB2312" w:cs="仿宋_GB2312"/>
          <w:b w:val="0"/>
          <w:bCs/>
          <w:color w:val="auto"/>
          <w:spacing w:val="-6"/>
          <w:kern w:val="0"/>
          <w:sz w:val="32"/>
          <w:szCs w:val="32"/>
          <w:u w:val="none"/>
          <w:lang w:val="en-US" w:eastAsia="zh-CN"/>
        </w:rPr>
        <w:t>1%-3%的补贴，每家电商年度补贴累计不超过9万元。</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责任部门：区农业农村局、区商务局、区园林绿化局、各相关镇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11.加大农产品加工企业扶持力度。支持以汇源果汁为代表的农产品加工企业发展。支持企业开展智能化、数字化转型升级，创建智能工厂；鼓励企业绿色低碳发展，争创绿色制造认证；支持企业专精特新方向发展，壮大规模、创新融资等。重点引进和培育3-5家具备核心竞争力的龙头农产品加工企业，推动农产品就地转化、精深加工项目落地投产。支持企业开发果汁、果脯、冻干食品、预制菜等高附加值产品，鼓励发展蔬菜深加工、中央厨房等特色业态，拓宽产品市场空间。</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责任部门：区经信局、区投资促进中心、各相关单位</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12.</w:t>
      </w:r>
      <w:r>
        <w:rPr>
          <w:rFonts w:hint="eastAsia" w:ascii="仿宋_GB2312" w:hAnsi="仿宋_GB2312" w:eastAsia="仿宋_GB2312" w:cs="仿宋_GB2312"/>
          <w:b w:val="0"/>
          <w:bCs/>
          <w:color w:val="auto"/>
          <w:sz w:val="32"/>
          <w:szCs w:val="32"/>
          <w:u w:val="none"/>
          <w:lang w:eastAsia="zh-CN"/>
        </w:rPr>
        <w:t>积极发展农产品</w:t>
      </w:r>
      <w:r>
        <w:rPr>
          <w:rFonts w:hint="eastAsia" w:ascii="仿宋_GB2312" w:hAnsi="仿宋_GB2312" w:eastAsia="仿宋_GB2312" w:cs="仿宋_GB2312"/>
          <w:b w:val="0"/>
          <w:bCs/>
          <w:color w:val="auto"/>
          <w:sz w:val="32"/>
          <w:szCs w:val="32"/>
          <w:u w:val="none"/>
        </w:rPr>
        <w:t>电商</w:t>
      </w:r>
      <w:r>
        <w:rPr>
          <w:rFonts w:hint="eastAsia" w:ascii="仿宋_GB2312" w:hAnsi="仿宋_GB2312" w:eastAsia="仿宋_GB2312" w:cs="仿宋_GB2312"/>
          <w:b w:val="0"/>
          <w:bCs/>
          <w:color w:val="auto"/>
          <w:sz w:val="32"/>
          <w:szCs w:val="32"/>
          <w:u w:val="none"/>
          <w:lang w:val="en-US" w:eastAsia="zh-CN"/>
        </w:rPr>
        <w:t>。鼓励电商企业、电商联合社立足市场需求，依托电商大数据反向赋能农业生产，精准指导品种优化选育与标准化种养，构建订单产销模式，切实拓宽密云农产品线上线下销售渠道。加大本地电商平台培育扶持力度，对销售本地农产品的农业电商主体，若连续2年本地农产品销售额均超100万元，按其本地农产品销售额的2%给予资金支持，单家主体最高补贴不超过50万元，同时按实际发生额的10%给予快递费补贴。通过加大电商扶持力度，力争到2030年，新增千万级规模电商企业1-3家，带动增收人数提升30%以上。</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责任部门：区商务局、区农业农村局、各相关单位</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kern w:val="0"/>
          <w:sz w:val="32"/>
          <w:szCs w:val="32"/>
          <w:u w:val="none"/>
          <w:lang w:val="en-US" w:eastAsia="zh-CN"/>
        </w:rPr>
        <w:t>13.</w:t>
      </w:r>
      <w:r>
        <w:rPr>
          <w:rFonts w:hint="eastAsia" w:ascii="仿宋_GB2312" w:hAnsi="仿宋_GB2312" w:eastAsia="仿宋_GB2312" w:cs="仿宋_GB2312"/>
          <w:b w:val="0"/>
          <w:bCs/>
          <w:color w:val="auto"/>
          <w:sz w:val="32"/>
          <w:szCs w:val="32"/>
          <w:u w:val="none"/>
        </w:rPr>
        <w:t>支持文旅产业项目提质增效。积极推进北京中旅云谷森泊乐园项目建设落地，提升古北水镇、云蒙山、日光山谷二期等文旅项目品质，</w:t>
      </w:r>
      <w:r>
        <w:rPr>
          <w:rFonts w:hint="eastAsia" w:ascii="仿宋_GB2312" w:hAnsi="仿宋_GB2312" w:eastAsia="仿宋_GB2312" w:cs="仿宋_GB2312"/>
          <w:b w:val="0"/>
          <w:bCs/>
          <w:color w:val="auto"/>
          <w:kern w:val="0"/>
          <w:sz w:val="32"/>
          <w:szCs w:val="32"/>
          <w:u w:val="none"/>
        </w:rPr>
        <w:t>重点在景区3A级及以上评级、红色旅游发展、</w:t>
      </w:r>
      <w:r>
        <w:rPr>
          <w:rFonts w:hint="eastAsia" w:ascii="仿宋_GB2312" w:hAnsi="仿宋_GB2312" w:eastAsia="仿宋_GB2312" w:cs="仿宋_GB2312"/>
          <w:b w:val="0"/>
          <w:bCs/>
          <w:color w:val="auto"/>
          <w:spacing w:val="-6"/>
          <w:kern w:val="0"/>
          <w:sz w:val="32"/>
          <w:szCs w:val="32"/>
          <w:u w:val="none"/>
        </w:rPr>
        <w:t>旅游配套设施提升改造等方面给予一次性10-50万元的资金奖励。</w:t>
      </w:r>
      <w:r>
        <w:rPr>
          <w:rFonts w:hint="eastAsia" w:ascii="仿宋_GB2312" w:hAnsi="仿宋_GB2312" w:eastAsia="仿宋_GB2312" w:cs="仿宋_GB2312"/>
          <w:b w:val="0"/>
          <w:bCs/>
          <w:color w:val="auto"/>
          <w:spacing w:val="-6"/>
          <w:kern w:val="0"/>
          <w:sz w:val="32"/>
          <w:szCs w:val="32"/>
          <w:u w:val="none"/>
          <w:lang w:eastAsia="zh-CN"/>
        </w:rPr>
        <w:t>支持</w:t>
      </w:r>
      <w:r>
        <w:rPr>
          <w:rFonts w:hint="eastAsia" w:ascii="仿宋_GB2312" w:hAnsi="仿宋_GB2312" w:eastAsia="仿宋_GB2312" w:cs="仿宋_GB2312"/>
          <w:b w:val="0"/>
          <w:bCs/>
          <w:color w:val="auto"/>
          <w:spacing w:val="-6"/>
          <w:kern w:val="0"/>
          <w:sz w:val="32"/>
          <w:szCs w:val="32"/>
          <w:u w:val="none"/>
        </w:rPr>
        <w:t>酒店</w:t>
      </w:r>
      <w:r>
        <w:rPr>
          <w:rFonts w:hint="eastAsia" w:ascii="仿宋_GB2312" w:hAnsi="仿宋_GB2312" w:eastAsia="仿宋_GB2312" w:cs="仿宋_GB2312"/>
          <w:b w:val="0"/>
          <w:bCs/>
          <w:color w:val="auto"/>
          <w:spacing w:val="-6"/>
          <w:kern w:val="0"/>
          <w:sz w:val="32"/>
          <w:szCs w:val="32"/>
          <w:u w:val="none"/>
          <w:lang w:eastAsia="zh-CN"/>
        </w:rPr>
        <w:t>住宿业</w:t>
      </w:r>
      <w:r>
        <w:rPr>
          <w:rFonts w:hint="eastAsia" w:ascii="仿宋_GB2312" w:hAnsi="仿宋_GB2312" w:eastAsia="仿宋_GB2312" w:cs="仿宋_GB2312"/>
          <w:b w:val="0"/>
          <w:bCs/>
          <w:color w:val="auto"/>
          <w:spacing w:val="-6"/>
          <w:kern w:val="0"/>
          <w:sz w:val="32"/>
          <w:szCs w:val="32"/>
          <w:u w:val="none"/>
        </w:rPr>
        <w:t>提质升级</w:t>
      </w:r>
      <w:r>
        <w:rPr>
          <w:rFonts w:hint="eastAsia" w:ascii="仿宋_GB2312" w:hAnsi="仿宋_GB2312" w:eastAsia="仿宋_GB2312" w:cs="仿宋_GB2312"/>
          <w:b w:val="0"/>
          <w:bCs/>
          <w:color w:val="auto"/>
          <w:spacing w:val="-6"/>
          <w:kern w:val="0"/>
          <w:sz w:val="32"/>
          <w:szCs w:val="32"/>
          <w:u w:val="none"/>
          <w:lang w:eastAsia="zh-CN"/>
        </w:rPr>
        <w:t>，</w:t>
      </w:r>
      <w:r>
        <w:rPr>
          <w:rFonts w:hint="eastAsia" w:ascii="仿宋_GB2312" w:hAnsi="仿宋_GB2312" w:eastAsia="仿宋_GB2312" w:cs="仿宋_GB2312"/>
          <w:b w:val="0"/>
          <w:bCs/>
          <w:color w:val="auto"/>
          <w:kern w:val="0"/>
          <w:sz w:val="32"/>
          <w:szCs w:val="32"/>
          <w:u w:val="none"/>
        </w:rPr>
        <w:t>重点扶持企业开展硬件改造</w:t>
      </w:r>
      <w:r>
        <w:rPr>
          <w:rFonts w:hint="eastAsia" w:ascii="仿宋_GB2312" w:hAnsi="仿宋_GB2312" w:eastAsia="仿宋_GB2312" w:cs="仿宋_GB2312"/>
          <w:b w:val="0"/>
          <w:bCs/>
          <w:color w:val="auto"/>
          <w:spacing w:val="-6"/>
          <w:kern w:val="0"/>
          <w:sz w:val="32"/>
          <w:szCs w:val="32"/>
          <w:u w:val="none"/>
        </w:rPr>
        <w:t>升级、产品服务创新及多业态融合发展，鼓励企业加快品牌化、标准化建设步伐。经评审通过的项目，给予一次性10-300万元不同幅度的资金支持，助力酒店住宿业提质增效。</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sz w:val="32"/>
          <w:szCs w:val="32"/>
          <w:u w:val="none"/>
          <w:shd w:val="clear" w:color="auto" w:fill="auto"/>
          <w:lang w:eastAsia="zh-CN"/>
        </w:rPr>
      </w:pPr>
      <w:r>
        <w:rPr>
          <w:rFonts w:hint="eastAsia" w:ascii="仿宋_GB2312" w:hAnsi="仿宋_GB2312" w:eastAsia="仿宋_GB2312" w:cs="仿宋_GB2312"/>
          <w:b w:val="0"/>
          <w:bCs/>
          <w:color w:val="auto"/>
          <w:sz w:val="32"/>
          <w:szCs w:val="32"/>
          <w:u w:val="none"/>
          <w:shd w:val="clear" w:color="auto" w:fill="auto"/>
        </w:rPr>
        <w:t>责任部门：区文旅局、</w:t>
      </w:r>
      <w:r>
        <w:rPr>
          <w:rFonts w:hint="eastAsia" w:ascii="仿宋_GB2312" w:hAnsi="仿宋_GB2312" w:eastAsia="仿宋_GB2312" w:cs="仿宋_GB2312"/>
          <w:b w:val="0"/>
          <w:bCs/>
          <w:color w:val="auto"/>
          <w:sz w:val="32"/>
          <w:szCs w:val="32"/>
          <w:u w:val="none"/>
          <w:shd w:val="clear" w:color="auto" w:fill="auto"/>
          <w:lang w:eastAsia="zh-CN"/>
        </w:rPr>
        <w:t>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kern w:val="0"/>
          <w:sz w:val="32"/>
          <w:szCs w:val="32"/>
          <w:u w:val="none"/>
        </w:rPr>
      </w:pPr>
      <w:r>
        <w:rPr>
          <w:rFonts w:hint="eastAsia" w:ascii="仿宋_GB2312" w:hAnsi="仿宋_GB2312" w:eastAsia="仿宋_GB2312" w:cs="仿宋_GB2312"/>
          <w:b w:val="0"/>
          <w:bCs/>
          <w:color w:val="auto"/>
          <w:kern w:val="0"/>
          <w:sz w:val="32"/>
          <w:szCs w:val="32"/>
          <w:u w:val="none"/>
          <w:lang w:val="en-US" w:eastAsia="zh-CN"/>
        </w:rPr>
        <w:t>14.</w:t>
      </w:r>
      <w:r>
        <w:rPr>
          <w:rFonts w:hint="eastAsia" w:ascii="仿宋_GB2312" w:hAnsi="仿宋_GB2312" w:eastAsia="仿宋_GB2312" w:cs="仿宋_GB2312"/>
          <w:b w:val="0"/>
          <w:bCs/>
          <w:color w:val="auto"/>
          <w:kern w:val="0"/>
          <w:sz w:val="32"/>
          <w:szCs w:val="32"/>
          <w:u w:val="none"/>
        </w:rPr>
        <w:t>促进乡村旅游高质量发展</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sz w:val="32"/>
          <w:szCs w:val="32"/>
          <w:u w:val="none"/>
        </w:rPr>
        <w:t>持续推进乡村旅游重点村镇建设，加大乡村民宿从业人员培训力度，强化政策扶持，大力支持乡村民宿发展。深耕“云水之家”等乡村民宿品牌，鼓励盘活闲置文旅资源，推动民宿与多元业态深度融合，促进民宿产业集群化、规范化发展。</w:t>
      </w:r>
      <w:r>
        <w:rPr>
          <w:rFonts w:hint="eastAsia" w:ascii="仿宋_GB2312" w:hAnsi="仿宋_GB2312" w:eastAsia="仿宋_GB2312" w:cs="仿宋_GB2312"/>
          <w:b w:val="0"/>
          <w:bCs/>
          <w:color w:val="auto"/>
          <w:kern w:val="0"/>
          <w:sz w:val="32"/>
          <w:szCs w:val="32"/>
          <w:u w:val="none"/>
        </w:rPr>
        <w:t>经评审通过的乡村文旅业态类型，给予一次性10-50万元的资金支持。</w:t>
      </w:r>
      <w:r>
        <w:rPr>
          <w:rFonts w:hint="eastAsia" w:ascii="仿宋_GB2312" w:hAnsi="仿宋_GB2312" w:eastAsia="仿宋_GB2312" w:cs="仿宋_GB2312"/>
          <w:b w:val="0"/>
          <w:bCs/>
          <w:color w:val="auto"/>
          <w:sz w:val="32"/>
          <w:szCs w:val="32"/>
          <w:u w:val="none"/>
        </w:rPr>
        <w:t>加大密云文旅品牌宣传力度，鼓励新媒体及网络达人参与推广，重点开展鱼王美食文化节、冰雪季等特色品牌活动，推介精品旅游线路，全面展示密云深厚文化底蕴和丰富旅游资源，吸引游客带动旅游消费。</w:t>
      </w:r>
      <w:r>
        <w:rPr>
          <w:rFonts w:hint="eastAsia" w:ascii="仿宋_GB2312" w:hAnsi="仿宋_GB2312" w:eastAsia="仿宋_GB2312" w:cs="仿宋_GB2312"/>
          <w:b w:val="0"/>
          <w:bCs/>
          <w:color w:val="auto"/>
          <w:kern w:val="0"/>
          <w:sz w:val="32"/>
          <w:szCs w:val="32"/>
          <w:u w:val="none"/>
          <w:lang w:eastAsia="zh-CN"/>
        </w:rPr>
        <w:t>经</w:t>
      </w:r>
      <w:r>
        <w:rPr>
          <w:rFonts w:hint="eastAsia" w:ascii="仿宋_GB2312" w:hAnsi="仿宋_GB2312" w:eastAsia="仿宋_GB2312" w:cs="仿宋_GB2312"/>
          <w:b w:val="0"/>
          <w:bCs/>
          <w:color w:val="auto"/>
          <w:kern w:val="0"/>
          <w:sz w:val="32"/>
          <w:szCs w:val="32"/>
          <w:u w:val="none"/>
        </w:rPr>
        <w:t>评审通过的新媒体运营者和特色品牌活动</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分别给予一次性2万元、10万元的资金奖励。</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sz w:val="32"/>
          <w:szCs w:val="32"/>
          <w:u w:val="none"/>
          <w:shd w:val="clear" w:color="auto" w:fill="auto"/>
          <w:lang w:eastAsia="zh-CN"/>
        </w:rPr>
      </w:pPr>
      <w:r>
        <w:rPr>
          <w:rFonts w:hint="eastAsia" w:ascii="仿宋_GB2312" w:hAnsi="仿宋_GB2312" w:eastAsia="仿宋_GB2312" w:cs="仿宋_GB2312"/>
          <w:b w:val="0"/>
          <w:bCs/>
          <w:sz w:val="32"/>
          <w:szCs w:val="32"/>
          <w:u w:val="none"/>
          <w:shd w:val="clear" w:color="auto" w:fill="auto"/>
        </w:rPr>
        <w:t>责任部门：区文旅局、</w:t>
      </w:r>
      <w:r>
        <w:rPr>
          <w:rFonts w:hint="eastAsia" w:ascii="仿宋_GB2312" w:hAnsi="仿宋_GB2312" w:eastAsia="仿宋_GB2312" w:cs="仿宋_GB2312"/>
          <w:b w:val="0"/>
          <w:bCs/>
          <w:sz w:val="32"/>
          <w:szCs w:val="32"/>
          <w:u w:val="none"/>
          <w:shd w:val="clear" w:color="auto" w:fill="auto"/>
          <w:lang w:eastAsia="zh-CN"/>
        </w:rPr>
        <w:t>区农业农村局、区经管站、各相关镇</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ascii="楷体_GB2312" w:hAnsi="楷体_GB2312" w:eastAsia="楷体_GB2312" w:cs="楷体_GB2312"/>
          <w:b w:val="0"/>
          <w:bCs/>
          <w:color w:val="auto"/>
          <w:sz w:val="32"/>
          <w:szCs w:val="32"/>
          <w:u w:val="none"/>
          <w:lang w:eastAsia="zh-CN"/>
        </w:rPr>
      </w:pPr>
      <w:r>
        <w:rPr>
          <w:rFonts w:ascii="楷体_GB2312" w:hAnsi="楷体_GB2312" w:eastAsia="楷体_GB2312" w:cs="楷体_GB2312"/>
          <w:b w:val="0"/>
          <w:bCs/>
          <w:color w:val="auto"/>
          <w:sz w:val="32"/>
          <w:szCs w:val="32"/>
          <w:u w:val="none"/>
          <w:lang w:eastAsia="zh-CN"/>
        </w:rPr>
        <w:t>（三）深化农村改革，激活财产性收入</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right="0" w:firstLine="640" w:firstLineChars="200"/>
        <w:jc w:val="left"/>
        <w:textAlignment w:val="auto"/>
        <w:outlineLvl w:val="9"/>
        <w:rPr>
          <w:rFonts w:ascii="仿宋_GB2312" w:hAnsi="仿宋_GB2312" w:eastAsia="仿宋_GB2312" w:cs="仿宋_GB2312"/>
          <w:b w:val="0"/>
          <w:bCs/>
          <w:color w:val="auto"/>
          <w:spacing w:val="0"/>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15</w:t>
      </w:r>
      <w:r>
        <w:rPr>
          <w:rFonts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lang w:eastAsia="zh-CN"/>
        </w:rPr>
        <w:t>加强农村“三资”管理。</w:t>
      </w:r>
      <w:r>
        <w:rPr>
          <w:rFonts w:hint="eastAsia" w:ascii="仿宋_GB2312" w:hAnsi="仿宋_GB2312" w:eastAsia="仿宋_GB2312" w:cs="仿宋_GB2312"/>
          <w:b w:val="0"/>
          <w:bCs/>
          <w:color w:val="auto"/>
          <w:sz w:val="32"/>
          <w:szCs w:val="32"/>
          <w:u w:val="none"/>
          <w:lang w:val="en-US" w:eastAsia="zh-CN"/>
        </w:rPr>
        <w:t>从严加强农村集体资金、资产、资源监管，制定村级财务制度与财务预决算制度。全区17个镇331个村集体经济组织在推行账务分记基础上，全面推行</w:t>
      </w:r>
      <w:r>
        <w:rPr>
          <w:rFonts w:hint="eastAsia" w:ascii="仿宋_GB2312" w:hAnsi="仿宋_GB2312" w:eastAsia="仿宋_GB2312" w:cs="仿宋_GB2312"/>
          <w:b w:val="0"/>
          <w:bCs/>
          <w:color w:val="auto"/>
          <w:spacing w:val="0"/>
          <w:sz w:val="32"/>
          <w:szCs w:val="32"/>
          <w:u w:val="none"/>
          <w:lang w:val="en-US" w:eastAsia="zh-CN"/>
        </w:rPr>
        <w:t>村务管理、集体经营预决算管理制度，严控非必要支出。</w:t>
      </w:r>
      <w:r>
        <w:rPr>
          <w:rFonts w:hint="eastAsia" w:ascii="仿宋_GB2312" w:hAnsi="仿宋_GB2312" w:eastAsia="仿宋_GB2312" w:cs="仿宋_GB2312"/>
          <w:b w:val="0"/>
          <w:bCs/>
          <w:kern w:val="2"/>
          <w:sz w:val="32"/>
          <w:szCs w:val="32"/>
          <w:u w:val="none"/>
          <w:lang w:val="en-US" w:eastAsia="zh-CN" w:bidi="ar-SA"/>
        </w:rPr>
        <w:t>每年组织农村“三资”管理专题培训</w:t>
      </w:r>
      <w:r>
        <w:rPr>
          <w:rFonts w:hint="eastAsia" w:ascii="仿宋_GB2312" w:hAnsi="仿宋_GB2312" w:eastAsia="仿宋_GB2312" w:cs="仿宋_GB2312"/>
          <w:b w:val="0"/>
          <w:bCs/>
          <w:color w:val="auto"/>
          <w:sz w:val="32"/>
          <w:szCs w:val="32"/>
          <w:u w:val="none"/>
          <w:lang w:val="en-US" w:eastAsia="zh-CN"/>
        </w:rPr>
        <w:t>不少于20次，参训人员不低于1000人次</w:t>
      </w:r>
      <w:r>
        <w:rPr>
          <w:rFonts w:hint="eastAsia" w:ascii="仿宋_GB2312" w:hAnsi="仿宋_GB2312" w:eastAsia="仿宋_GB2312" w:cs="仿宋_GB2312"/>
          <w:b w:val="0"/>
          <w:bCs/>
          <w:kern w:val="2"/>
          <w:sz w:val="32"/>
          <w:szCs w:val="32"/>
          <w:u w:val="none"/>
          <w:lang w:val="en-US" w:eastAsia="zh-CN" w:bidi="ar-SA"/>
        </w:rPr>
        <w:t>，</w:t>
      </w:r>
      <w:r>
        <w:rPr>
          <w:rFonts w:hint="eastAsia" w:ascii="仿宋_GB2312" w:hAnsi="仿宋_GB2312" w:eastAsia="仿宋_GB2312" w:cs="仿宋_GB2312"/>
          <w:b w:val="0"/>
          <w:bCs/>
          <w:sz w:val="32"/>
          <w:szCs w:val="32"/>
          <w:u w:val="none"/>
          <w:lang w:eastAsia="zh-CN"/>
        </w:rPr>
        <w:t>切实筑牢农村集体经济规范化、透明化、高效化运行基础。</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责任部门：区经管站、各相关镇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16.建立常态化现金分红机制。制定村级收益分配指导意见，村集体经营收益建立常态化、透明化的股东分红机制，切实保障集体经济发展成果村集体成员共享，收益分红以现金发放为主要形式，逐步减少实物分配。</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责任部门：区经管站、各相关镇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17.盘活集体闲置资源。强化区镇两级统筹协调，鼓励村集体整合各类资源要素，对200处闲置资产资源以及到期的7000份合同涉及的资产资源免费进行包装推介，与社会资本合作发展乡村旅游、特色产业园等有保底收益的产业项目，加快构建“产权清晰、流转顺畅、经营高效、分配合理”的农村集体资产监督管理体系。优化财政资金使用导向，在政府采购服务、场地租赁等工作中，优先盘活村集体资产，推动财政支出有效转化为农村集体经济稳定收入来源，再通过分红机制惠及农</w:t>
      </w:r>
      <w:r>
        <w:rPr>
          <w:rFonts w:hint="eastAsia" w:ascii="仿宋_GB2312" w:hAnsi="仿宋_GB2312" w:eastAsia="仿宋_GB2312" w:cs="仿宋_GB2312"/>
          <w:b w:val="0"/>
          <w:bCs/>
          <w:color w:val="auto"/>
          <w:spacing w:val="0"/>
          <w:sz w:val="32"/>
          <w:szCs w:val="32"/>
          <w:u w:val="none"/>
          <w:lang w:val="en-US" w:eastAsia="zh-CN"/>
        </w:rPr>
        <w:t>户。</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责任部门：区经管站、各相关单位、各相关镇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18.引导村民入股增收。在使用财政资金推进乡村建设项目，将部分政府投资转化为村集体固定资产的同时，推广“财政资金引导、村集体整合资源（如老旧校舍、办公场所等）、村民自愿入股、社会资本合作”的模式，发展民宿旅游、咖啡休闲、文创空间等乡村产业经营新业态，鼓励农民投资入股、共享收益，实现村民变“股东”，直接分享乡村产业发展红利。</w:t>
      </w:r>
    </w:p>
    <w:p>
      <w:pPr>
        <w:keepNext w:val="0"/>
        <w:keepLines w:val="0"/>
        <w:pageBreakBefore w:val="0"/>
        <w:widowControl w:val="0"/>
        <w:pBdr>
          <w:bottom w:val="none" w:color="auto" w:sz="0" w:space="11"/>
        </w:pBdr>
        <w:kinsoku/>
        <w:wordWrap/>
        <w:overflowPunct/>
        <w:topLinePunct/>
        <w:autoSpaceDE w:val="0"/>
        <w:autoSpaceDN/>
        <w:bidi w:val="0"/>
        <w:adjustRightInd/>
        <w:snapToGrid/>
        <w:spacing w:before="0" w:after="0" w:line="550" w:lineRule="exact"/>
        <w:ind w:left="0" w:right="0"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责任部门：区经管站、</w:t>
      </w:r>
      <w:r>
        <w:rPr>
          <w:rFonts w:hint="eastAsia" w:ascii="仿宋_GB2312" w:hAnsi="仿宋_GB2312" w:eastAsia="仿宋_GB2312" w:cs="仿宋_GB2312"/>
          <w:b w:val="0"/>
          <w:bCs/>
          <w:color w:val="auto"/>
          <w:sz w:val="32"/>
          <w:szCs w:val="32"/>
          <w:u w:val="none"/>
          <w:lang w:val="en-US" w:eastAsia="zh-CN"/>
        </w:rPr>
        <w:t>各相关单位、各相关镇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楷体_GB2312" w:hAnsi="楷体_GB2312" w:eastAsia="楷体_GB2312" w:cs="楷体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lang w:eastAsia="zh-CN"/>
        </w:rPr>
        <w:t>（四）</w:t>
      </w:r>
      <w:r>
        <w:rPr>
          <w:rFonts w:hint="eastAsia" w:ascii="楷体_GB2312" w:hAnsi="楷体_GB2312" w:eastAsia="楷体_GB2312" w:cs="楷体_GB2312"/>
          <w:b w:val="0"/>
          <w:bCs/>
          <w:color w:val="auto"/>
          <w:sz w:val="32"/>
          <w:szCs w:val="32"/>
          <w:u w:val="none"/>
        </w:rPr>
        <w:t>促进政策落实，提高农民转移性收入</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19.</w:t>
      </w:r>
      <w:r>
        <w:rPr>
          <w:rFonts w:hint="eastAsia" w:ascii="仿宋_GB2312" w:hAnsi="仿宋_GB2312" w:eastAsia="仿宋_GB2312" w:cs="仿宋_GB2312"/>
          <w:b w:val="0"/>
          <w:bCs/>
          <w:i w:val="0"/>
          <w:iCs w:val="0"/>
          <w:color w:val="auto"/>
          <w:sz w:val="32"/>
          <w:szCs w:val="32"/>
          <w:highlight w:val="none"/>
          <w:u w:val="none"/>
          <w:lang w:val="en-US" w:eastAsia="zh-CN"/>
        </w:rPr>
        <w:t>创新涉农金融。推动农业保险“增品、扩</w:t>
      </w:r>
      <w:r>
        <w:rPr>
          <w:rFonts w:hint="eastAsia" w:ascii="仿宋_GB2312" w:hAnsi="仿宋_GB2312" w:eastAsia="仿宋_GB2312" w:cs="仿宋_GB2312"/>
          <w:b w:val="0"/>
          <w:bCs/>
          <w:i w:val="0"/>
          <w:iCs w:val="0"/>
          <w:color w:val="auto"/>
          <w:spacing w:val="-6"/>
          <w:sz w:val="32"/>
          <w:szCs w:val="32"/>
          <w:highlight w:val="none"/>
          <w:u w:val="none"/>
          <w:lang w:val="en-US" w:eastAsia="zh-CN"/>
        </w:rPr>
        <w:t>面、提标”，</w:t>
      </w:r>
      <w:r>
        <w:rPr>
          <w:rFonts w:hint="eastAsia" w:ascii="仿宋_GB2312" w:hAnsi="仿宋_GB2312" w:eastAsia="仿宋_GB2312" w:cs="仿宋_GB2312"/>
          <w:b w:val="0"/>
          <w:bCs/>
          <w:i w:val="0"/>
          <w:iCs w:val="0"/>
          <w:color w:val="auto"/>
          <w:spacing w:val="-6"/>
          <w:sz w:val="32"/>
          <w:szCs w:val="32"/>
          <w:highlight w:val="none"/>
          <w:u w:val="none"/>
        </w:rPr>
        <w:t>创新金融服务乡村振兴产品，</w:t>
      </w:r>
      <w:r>
        <w:rPr>
          <w:rFonts w:hint="eastAsia" w:ascii="仿宋_GB2312" w:hAnsi="仿宋_GB2312" w:eastAsia="仿宋_GB2312" w:cs="仿宋_GB2312"/>
          <w:b w:val="0"/>
          <w:bCs/>
          <w:i w:val="0"/>
          <w:iCs w:val="0"/>
          <w:color w:val="auto"/>
          <w:spacing w:val="-6"/>
          <w:sz w:val="32"/>
          <w:szCs w:val="32"/>
          <w:highlight w:val="none"/>
          <w:u w:val="none"/>
          <w:lang w:val="en-US" w:eastAsia="zh-CN"/>
        </w:rPr>
        <w:t>探索宅基地使用权、集体资产股权等抵押担保方式，</w:t>
      </w:r>
      <w:r>
        <w:rPr>
          <w:rFonts w:hint="eastAsia" w:ascii="仿宋_GB2312" w:hAnsi="仿宋_GB2312" w:eastAsia="仿宋_GB2312" w:cs="仿宋_GB2312"/>
          <w:b w:val="0"/>
          <w:bCs/>
          <w:color w:val="auto"/>
          <w:spacing w:val="-6"/>
          <w:kern w:val="0"/>
          <w:sz w:val="32"/>
          <w:szCs w:val="32"/>
          <w:u w:val="none"/>
          <w:lang w:val="en-US" w:eastAsia="zh-CN"/>
        </w:rPr>
        <w:t>涉农信贷产品投放额累计增长30%，</w:t>
      </w:r>
      <w:r>
        <w:rPr>
          <w:rFonts w:hint="eastAsia" w:ascii="仿宋_GB2312" w:hAnsi="仿宋_GB2312" w:eastAsia="仿宋_GB2312" w:cs="仿宋_GB2312"/>
          <w:b w:val="0"/>
          <w:bCs/>
          <w:color w:val="auto"/>
          <w:kern w:val="0"/>
          <w:sz w:val="32"/>
          <w:szCs w:val="32"/>
          <w:u w:val="none"/>
          <w:lang w:val="en-US" w:eastAsia="zh-CN"/>
        </w:rPr>
        <w:t>每年涉农贷款平均增速6%以上。</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责任部门：区发改委、区农业农村局、区经管站、各相关镇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20.稳定惠农补贴。继续实施耕地地力补贴、菜田补贴、农机购置和报废补贴、冬季清洁取暖补贴、农民土地流转补贴、优抚对象抚恤补助、老年人补贴津贴等政策，保持总体稳定，确保及时足额发放。</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责任部门：区财政局、区农业农村局、区园林绿化局、区民政局、区退役军人事务局、各相关镇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21.强化民生兜底保障制度。落实城乡统筹的基本养老保险、医疗保险、失业保险等制度，优化城乡社保关系转移接续服务。贯彻执行北京市城乡居民基础养老金和福利养老金标准，提高城乡居民基本养老保险待遇水平。</w:t>
      </w:r>
      <w:r>
        <w:rPr>
          <w:rFonts w:hint="eastAsia" w:ascii="仿宋_GB2312" w:hAnsi="仿宋_GB2312" w:eastAsia="仿宋_GB2312" w:cs="仿宋_GB2312"/>
          <w:b w:val="0"/>
          <w:bCs/>
          <w:color w:val="auto"/>
          <w:sz w:val="32"/>
          <w:szCs w:val="32"/>
          <w:u w:val="none"/>
          <w:lang w:val="en-US" w:eastAsia="zh-CN"/>
        </w:rPr>
        <w:t>对在义务教育学校就读的户籍在密云区10个山区乡镇的学生，发放助学补助；对在农村寄宿制中小学就读的寄宿学生发放生活补助，同时免收住宿费。</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责任部门：区人力社保局、区医保局、</w:t>
      </w:r>
      <w:r>
        <w:rPr>
          <w:rFonts w:hint="eastAsia" w:ascii="仿宋_GB2312" w:hAnsi="仿宋_GB2312" w:eastAsia="仿宋_GB2312" w:cs="仿宋_GB2312"/>
          <w:b w:val="0"/>
          <w:bCs/>
          <w:strike w:val="0"/>
          <w:dstrike w:val="0"/>
          <w:color w:val="auto"/>
          <w:kern w:val="0"/>
          <w:sz w:val="32"/>
          <w:szCs w:val="32"/>
          <w:u w:val="none"/>
          <w:lang w:val="en-US" w:eastAsia="zh-CN"/>
        </w:rPr>
        <w:t>区教委、</w:t>
      </w:r>
      <w:r>
        <w:rPr>
          <w:rFonts w:hint="eastAsia" w:ascii="仿宋_GB2312" w:hAnsi="仿宋_GB2312" w:eastAsia="仿宋_GB2312" w:cs="仿宋_GB2312"/>
          <w:b w:val="0"/>
          <w:bCs/>
          <w:color w:val="auto"/>
          <w:kern w:val="0"/>
          <w:sz w:val="32"/>
          <w:szCs w:val="32"/>
          <w:u w:val="none"/>
          <w:lang w:val="en-US" w:eastAsia="zh-CN"/>
        </w:rPr>
        <w:t>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22.健全社会救助。健全分层分类社会救助体系，落实刚性支出困难家庭救助政策，将其纳入低收入人口范围。适时做好低保标准调整，增强与其他民生保障制度的联动性。</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责任部门：区民政局、各相关镇</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50" w:lineRule="exact"/>
        <w:ind w:firstLine="640" w:firstLineChars="200"/>
        <w:jc w:val="left"/>
        <w:textAlignment w:val="auto"/>
        <w:outlineLvl w:val="9"/>
        <w:rPr>
          <w:rFonts w:hint="eastAsia" w:ascii="黑体" w:hAnsi="黑体" w:eastAsia="黑体" w:cs="黑体"/>
          <w:b w:val="0"/>
          <w:bCs/>
          <w:color w:val="auto"/>
          <w:sz w:val="32"/>
          <w:szCs w:val="32"/>
          <w:u w:val="none"/>
          <w:shd w:val="clear" w:color="auto" w:fill="auto"/>
        </w:rPr>
      </w:pPr>
      <w:r>
        <w:rPr>
          <w:rFonts w:hint="eastAsia" w:ascii="黑体" w:hAnsi="黑体" w:eastAsia="黑体" w:cs="黑体"/>
          <w:b w:val="0"/>
          <w:bCs/>
          <w:color w:val="auto"/>
          <w:sz w:val="32"/>
          <w:szCs w:val="32"/>
          <w:u w:val="none"/>
          <w:shd w:val="clear" w:color="auto" w:fill="auto"/>
          <w:lang w:eastAsia="zh-CN"/>
        </w:rPr>
        <w:t>二</w:t>
      </w:r>
      <w:r>
        <w:rPr>
          <w:rFonts w:hint="eastAsia" w:ascii="黑体" w:hAnsi="黑体" w:eastAsia="黑体" w:cs="黑体"/>
          <w:b w:val="0"/>
          <w:bCs/>
          <w:color w:val="auto"/>
          <w:sz w:val="32"/>
          <w:szCs w:val="32"/>
          <w:u w:val="none"/>
          <w:shd w:val="clear" w:color="auto" w:fill="auto"/>
        </w:rPr>
        <w:t>、组织保障</w:t>
      </w:r>
    </w:p>
    <w:p>
      <w:pPr>
        <w:keepNext w:val="0"/>
        <w:keepLines w:val="0"/>
        <w:pageBreakBefore w:val="0"/>
        <w:widowControl w:val="0"/>
        <w:suppressLineNumbers w:val="0"/>
        <w:pBdr>
          <w:bottom w:val="none" w:color="auto" w:sz="0" w:space="11"/>
        </w:pBdr>
        <w:kinsoku/>
        <w:wordWrap/>
        <w:overflowPunct/>
        <w:topLinePunct/>
        <w:autoSpaceDE w:val="0"/>
        <w:autoSpaceDN/>
        <w:bidi w:val="0"/>
        <w:adjustRightInd/>
        <w:snapToGrid/>
        <w:spacing w:beforeAutospacing="0" w:afterAutospacing="0" w:line="550" w:lineRule="exact"/>
        <w:ind w:left="0" w:firstLine="640" w:firstLineChars="200"/>
        <w:jc w:val="left"/>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楷体_GB2312" w:hAnsi="楷体_GB2312" w:eastAsia="楷体_GB2312" w:cs="楷体_GB2312"/>
          <w:b w:val="0"/>
          <w:bCs w:val="0"/>
          <w:sz w:val="32"/>
          <w:szCs w:val="32"/>
          <w:shd w:val="clear" w:color="auto" w:fill="auto"/>
          <w:lang w:val="en-US" w:eastAsia="zh-CN"/>
        </w:rPr>
        <w:t>一是强化统筹协调，凝聚工作合力。</w:t>
      </w:r>
      <w:r>
        <w:rPr>
          <w:rFonts w:hint="eastAsia" w:ascii="仿宋_GB2312" w:hAnsi="仿宋_GB2312" w:eastAsia="仿宋_GB2312" w:cs="仿宋_GB2312"/>
          <w:b w:val="0"/>
          <w:bCs w:val="0"/>
          <w:color w:val="auto"/>
          <w:sz w:val="32"/>
          <w:szCs w:val="32"/>
          <w:shd w:val="clear" w:color="auto" w:fill="auto"/>
          <w:lang w:eastAsia="zh-CN"/>
        </w:rPr>
        <w:t>依托现有区委农村工作领导小组架构，</w:t>
      </w:r>
      <w:r>
        <w:rPr>
          <w:rFonts w:hint="eastAsia" w:ascii="仿宋_GB2312" w:hAnsi="仿宋_GB2312" w:eastAsia="仿宋_GB2312" w:cs="仿宋_GB2312"/>
          <w:b w:val="0"/>
          <w:bCs w:val="0"/>
          <w:color w:val="auto"/>
          <w:sz w:val="32"/>
          <w:szCs w:val="32"/>
          <w:shd w:val="clear" w:color="auto" w:fill="auto"/>
          <w:lang w:val="en-US" w:eastAsia="zh-CN"/>
        </w:rPr>
        <w:t>统筹协调区人保局、区发改委、区财政局、区农业农村局、区园林绿化局、区经管站等相关部门，整合政策、资金、人才等各类资源，构建上下贯通、左右联动、齐抓共管的工作格局，推动各项增收任务落地见效。</w:t>
      </w:r>
      <w:r>
        <w:rPr>
          <w:rFonts w:hint="eastAsia" w:ascii="楷体_GB2312" w:hAnsi="楷体_GB2312" w:eastAsia="楷体_GB2312" w:cs="楷体_GB2312"/>
          <w:b w:val="0"/>
          <w:bCs w:val="0"/>
          <w:sz w:val="32"/>
          <w:szCs w:val="32"/>
          <w:shd w:val="clear" w:color="auto" w:fill="auto"/>
          <w:lang w:val="en-US" w:eastAsia="zh-CN"/>
        </w:rPr>
        <w:t>二是坚持党建引领，压实工作责任。</w:t>
      </w:r>
      <w:r>
        <w:rPr>
          <w:rFonts w:hint="eastAsia" w:ascii="仿宋_GB2312" w:hAnsi="仿宋_GB2312" w:eastAsia="仿宋_GB2312" w:cs="仿宋_GB2312"/>
          <w:b w:val="0"/>
          <w:bCs w:val="0"/>
          <w:color w:val="auto"/>
          <w:sz w:val="32"/>
          <w:szCs w:val="32"/>
          <w:shd w:val="clear" w:color="auto" w:fill="auto"/>
          <w:lang w:val="en-US" w:eastAsia="zh-CN"/>
        </w:rPr>
        <w:t>围绕农民增收核心目标，始终坚持党建引领，</w:t>
      </w:r>
      <w:bookmarkStart w:id="0" w:name="_GoBack"/>
      <w:bookmarkEnd w:id="0"/>
      <w:r>
        <w:rPr>
          <w:rFonts w:hint="eastAsia" w:ascii="仿宋_GB2312" w:hAnsi="仿宋_GB2312" w:eastAsia="仿宋_GB2312" w:cs="仿宋_GB2312"/>
          <w:b w:val="0"/>
          <w:bCs w:val="0"/>
          <w:color w:val="auto"/>
          <w:kern w:val="0"/>
          <w:sz w:val="32"/>
          <w:szCs w:val="32"/>
          <w:shd w:val="clear" w:color="auto" w:fill="auto"/>
          <w:lang w:val="en-US" w:eastAsia="zh-CN"/>
        </w:rPr>
        <w:t>将重点任务逐一拆解至各级党组织和职能部门</w:t>
      </w:r>
      <w:r>
        <w:rPr>
          <w:rFonts w:hint="eastAsia" w:ascii="仿宋_GB2312" w:hAnsi="仿宋_GB2312" w:eastAsia="仿宋_GB2312" w:cs="仿宋_GB2312"/>
          <w:b w:val="0"/>
          <w:bCs w:val="0"/>
          <w:color w:val="auto"/>
          <w:sz w:val="32"/>
          <w:szCs w:val="32"/>
          <w:shd w:val="clear" w:color="auto" w:fill="auto"/>
          <w:lang w:val="en-US" w:eastAsia="zh-CN"/>
        </w:rPr>
        <w:t>，细化工作标准、责任分工及完成时限。明确党组织书记为农民增收工作第一责任人，充分发挥党员先锋模范作用，把党建引领农民增收工作成效纳入各镇及各相关部门年度绩效考核核心内容，层层传导工作压力、逐级压实工作责任，确保每项增收任务有人抓、有人管、有推进、有成效。</w:t>
      </w:r>
      <w:r>
        <w:rPr>
          <w:rFonts w:hint="eastAsia" w:ascii="楷体_GB2312" w:hAnsi="楷体_GB2312" w:eastAsia="楷体_GB2312" w:cs="楷体_GB2312"/>
          <w:b w:val="0"/>
          <w:bCs w:val="0"/>
          <w:sz w:val="32"/>
          <w:szCs w:val="32"/>
          <w:shd w:val="clear" w:color="auto" w:fill="auto"/>
          <w:lang w:val="en-US" w:eastAsia="zh-CN"/>
        </w:rPr>
        <w:t>三是强化典型引路，营造良好氛围。</w:t>
      </w:r>
      <w:r>
        <w:rPr>
          <w:rFonts w:hint="eastAsia" w:ascii="仿宋_GB2312" w:hAnsi="仿宋_GB2312" w:eastAsia="仿宋_GB2312" w:cs="仿宋_GB2312"/>
          <w:b w:val="0"/>
          <w:bCs w:val="0"/>
          <w:color w:val="auto"/>
          <w:sz w:val="32"/>
          <w:szCs w:val="32"/>
          <w:shd w:val="clear" w:color="auto" w:fill="auto"/>
          <w:lang w:val="en-US" w:eastAsia="zh-CN"/>
        </w:rPr>
        <w:t>深入挖掘各镇在产业发展、就业创业、资产盘活、政策赋能等领域的农民增收致富先进典型与成功案例，依托</w:t>
      </w:r>
      <w:r>
        <w:rPr>
          <w:rFonts w:hint="eastAsia" w:ascii="仿宋_GB2312" w:hAnsi="仿宋_GB2312" w:eastAsia="仿宋_GB2312" w:cs="仿宋_GB2312"/>
          <w:b w:val="0"/>
          <w:bCs w:val="0"/>
          <w:color w:val="auto"/>
          <w:kern w:val="0"/>
          <w:sz w:val="32"/>
          <w:szCs w:val="32"/>
          <w:shd w:val="clear" w:color="auto" w:fill="auto"/>
          <w:lang w:val="en-US" w:eastAsia="zh-CN"/>
        </w:rPr>
        <w:t>电视台、报纸、新媒体平台</w:t>
      </w:r>
      <w:r>
        <w:rPr>
          <w:rFonts w:hint="eastAsia" w:ascii="仿宋_GB2312" w:hAnsi="仿宋_GB2312" w:eastAsia="仿宋_GB2312" w:cs="仿宋_GB2312"/>
          <w:b w:val="0"/>
          <w:bCs w:val="0"/>
          <w:color w:val="auto"/>
          <w:sz w:val="32"/>
          <w:szCs w:val="32"/>
          <w:shd w:val="clear" w:color="auto" w:fill="auto"/>
          <w:lang w:val="en-US" w:eastAsia="zh-CN"/>
        </w:rPr>
        <w:t>等多元宣传渠道，全方位、多角度开展宣传推介。组织典型经验交流活动，为广大群众树立可学可鉴、可复制推广的榜样标杆，提供切实可行的实践路径参考，有效激活农民增收内生动力，在全区范围内营造“比学赶超、争当先进”的浓厚氛围。</w:t>
      </w:r>
    </w:p>
    <w:p>
      <w:pPr>
        <w:keepNext w:val="0"/>
        <w:keepLines w:val="0"/>
        <w:pageBreakBefore w:val="0"/>
        <w:widowControl w:val="0"/>
        <w:pBdr>
          <w:bottom w:val="none" w:color="auto" w:sz="0" w:space="11"/>
        </w:pBdr>
        <w:kinsoku/>
        <w:wordWrap/>
        <w:overflowPunct/>
        <w:topLinePunct/>
        <w:autoSpaceDE w:val="0"/>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auto"/>
          <w:sz w:val="32"/>
          <w:szCs w:val="32"/>
          <w:u w:val="none"/>
          <w:shd w:val="clear" w:color="auto" w:fill="auto"/>
          <w:lang w:val="en-US" w:eastAsia="zh-CN"/>
        </w:rPr>
      </w:pPr>
    </w:p>
    <w:p>
      <w:pPr>
        <w:keepNext w:val="0"/>
        <w:keepLines w:val="0"/>
        <w:pageBreakBefore w:val="0"/>
        <w:widowControl w:val="0"/>
        <w:pBdr>
          <w:bottom w:val="none" w:color="auto" w:sz="0" w:space="11"/>
        </w:pBdr>
        <w:kinsoku/>
        <w:wordWrap/>
        <w:overflowPunct/>
        <w:topLinePunct/>
        <w:autoSpaceDE w:val="0"/>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auto"/>
          <w:sz w:val="32"/>
          <w:szCs w:val="32"/>
          <w:u w:val="none"/>
          <w:shd w:val="clear" w:color="auto" w:fill="auto"/>
          <w:lang w:val="en-US" w:eastAsia="zh-CN"/>
        </w:rPr>
      </w:pPr>
    </w:p>
    <w:p>
      <w:pPr>
        <w:pStyle w:val="7"/>
        <w:rPr>
          <w:rFonts w:hint="default" w:ascii="仿宋_GB2312" w:hAnsi="仿宋_GB2312" w:eastAsia="仿宋_GB2312" w:cs="仿宋_GB2312"/>
          <w:color w:val="auto"/>
          <w:sz w:val="32"/>
          <w:szCs w:val="32"/>
          <w:u w:val="none"/>
          <w:shd w:val="clear" w:color="auto" w:fill="auto"/>
          <w:lang w:val="en-US" w:eastAsia="zh-CN"/>
        </w:rPr>
      </w:pPr>
    </w:p>
    <w:p>
      <w:pPr>
        <w:pStyle w:val="8"/>
        <w:rPr>
          <w:rFonts w:hint="default" w:ascii="仿宋_GB2312" w:hAnsi="仿宋_GB2312" w:eastAsia="仿宋_GB2312" w:cs="仿宋_GB2312"/>
          <w:color w:val="auto"/>
          <w:sz w:val="32"/>
          <w:szCs w:val="32"/>
          <w:u w:val="none"/>
          <w:shd w:val="clear" w:color="auto" w:fill="auto"/>
          <w:lang w:val="en-US" w:eastAsia="zh-CN"/>
        </w:rPr>
      </w:pPr>
    </w:p>
    <w:p>
      <w:pPr>
        <w:rPr>
          <w:rFonts w:hint="default" w:ascii="仿宋_GB2312" w:hAnsi="仿宋_GB2312" w:eastAsia="仿宋_GB2312" w:cs="仿宋_GB2312"/>
          <w:color w:val="auto"/>
          <w:sz w:val="32"/>
          <w:szCs w:val="32"/>
          <w:u w:val="none"/>
          <w:shd w:val="clear" w:color="auto" w:fill="auto"/>
          <w:lang w:val="en-US" w:eastAsia="zh-CN"/>
        </w:rPr>
      </w:pPr>
    </w:p>
    <w:p>
      <w:pPr>
        <w:pStyle w:val="7"/>
        <w:rPr>
          <w:rFonts w:hint="default" w:ascii="仿宋_GB2312" w:hAnsi="仿宋_GB2312" w:eastAsia="仿宋_GB2312" w:cs="仿宋_GB2312"/>
          <w:color w:val="auto"/>
          <w:sz w:val="32"/>
          <w:szCs w:val="32"/>
          <w:u w:val="none"/>
          <w:shd w:val="clear" w:color="auto" w:fill="auto"/>
          <w:lang w:val="en-US" w:eastAsia="zh-CN"/>
        </w:rPr>
      </w:pPr>
    </w:p>
    <w:tbl>
      <w:tblPr>
        <w:tblStyle w:val="14"/>
        <w:tblpPr w:leftFromText="180" w:rightFromText="180" w:vertAnchor="text" w:horzAnchor="page" w:tblpX="1525" w:tblpY="1137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164" w:type="dxa"/>
            <w:tcBorders>
              <w:top w:val="single" w:color="auto" w:sz="4" w:space="0"/>
              <w:left w:val="nil"/>
              <w:bottom w:val="single" w:color="auto" w:sz="4" w:space="0"/>
              <w:right w:val="nil"/>
            </w:tcBorders>
            <w:noWrap w:val="0"/>
            <w:vAlign w:val="center"/>
          </w:tcPr>
          <w:p>
            <w:pPr>
              <w:spacing w:line="540" w:lineRule="exact"/>
              <w:jc w:val="center"/>
              <w:rPr>
                <w:rFonts w:ascii="仿宋_GB2312" w:eastAsia="仿宋_GB2312"/>
                <w:b w:val="0"/>
                <w:bCs/>
                <w:sz w:val="28"/>
                <w:szCs w:val="28"/>
              </w:rPr>
            </w:pPr>
            <w:r>
              <w:rPr>
                <w:rFonts w:hint="eastAsia" w:ascii="仿宋_GB2312" w:eastAsia="仿宋_GB2312"/>
                <w:b w:val="0"/>
                <w:bCs/>
                <w:spacing w:val="-9"/>
                <w:sz w:val="28"/>
                <w:szCs w:val="28"/>
              </w:rPr>
              <w:t>中共北京市密云区委农村工作领导小组办公室</w:t>
            </w:r>
            <w:r>
              <w:rPr>
                <w:rFonts w:hint="eastAsia" w:ascii="仿宋_GB2312" w:eastAsia="仿宋_GB2312"/>
                <w:b w:val="0"/>
                <w:bCs/>
                <w:sz w:val="28"/>
                <w:szCs w:val="28"/>
              </w:rPr>
              <w:t xml:space="preserve">  </w:t>
            </w:r>
            <w:r>
              <w:rPr>
                <w:rFonts w:hint="eastAsia" w:ascii="仿宋_GB2312" w:eastAsia="仿宋_GB2312"/>
                <w:b w:val="0"/>
                <w:bCs/>
                <w:sz w:val="28"/>
                <w:szCs w:val="28"/>
                <w:lang w:val="en-US" w:eastAsia="zh-CN"/>
              </w:rPr>
              <w:t xml:space="preserve">    </w:t>
            </w:r>
            <w:r>
              <w:rPr>
                <w:rFonts w:hint="eastAsia" w:ascii="仿宋_GB2312" w:eastAsia="仿宋_GB2312"/>
                <w:b w:val="0"/>
                <w:bCs/>
                <w:sz w:val="28"/>
                <w:szCs w:val="28"/>
              </w:rPr>
              <w:t>20</w:t>
            </w:r>
            <w:r>
              <w:rPr>
                <w:rFonts w:hint="eastAsia" w:ascii="仿宋_GB2312" w:eastAsia="仿宋_GB2312"/>
                <w:b w:val="0"/>
                <w:bCs/>
                <w:sz w:val="28"/>
                <w:szCs w:val="28"/>
                <w:lang w:val="en-US" w:eastAsia="zh-CN"/>
              </w:rPr>
              <w:t>26</w:t>
            </w:r>
            <w:r>
              <w:rPr>
                <w:rFonts w:hint="eastAsia" w:ascii="仿宋_GB2312" w:eastAsia="仿宋_GB2312"/>
                <w:b w:val="0"/>
                <w:bCs/>
                <w:sz w:val="28"/>
                <w:szCs w:val="28"/>
              </w:rPr>
              <w:t>年</w:t>
            </w:r>
            <w:r>
              <w:rPr>
                <w:rFonts w:hint="eastAsia" w:ascii="仿宋_GB2312" w:eastAsia="仿宋_GB2312"/>
                <w:b w:val="0"/>
                <w:bCs/>
                <w:sz w:val="28"/>
                <w:szCs w:val="28"/>
                <w:lang w:val="en-US" w:eastAsia="zh-CN"/>
              </w:rPr>
              <w:t>3</w:t>
            </w:r>
            <w:r>
              <w:rPr>
                <w:rFonts w:hint="eastAsia" w:ascii="仿宋_GB2312" w:eastAsia="仿宋_GB2312"/>
                <w:b w:val="0"/>
                <w:bCs/>
                <w:sz w:val="28"/>
                <w:szCs w:val="28"/>
              </w:rPr>
              <w:t>月</w:t>
            </w:r>
            <w:r>
              <w:rPr>
                <w:rFonts w:hint="eastAsia" w:ascii="仿宋_GB2312" w:eastAsia="仿宋_GB2312"/>
                <w:b w:val="0"/>
                <w:bCs/>
                <w:sz w:val="28"/>
                <w:szCs w:val="28"/>
                <w:lang w:val="en-US" w:eastAsia="zh-CN"/>
              </w:rPr>
              <w:t>31</w:t>
            </w:r>
            <w:r>
              <w:rPr>
                <w:rFonts w:hint="eastAsia" w:ascii="仿宋_GB2312" w:eastAsia="仿宋_GB2312"/>
                <w:b w:val="0"/>
                <w:bCs/>
                <w:sz w:val="28"/>
                <w:szCs w:val="28"/>
              </w:rPr>
              <w:t>日印发</w:t>
            </w:r>
          </w:p>
        </w:tc>
      </w:tr>
    </w:tbl>
    <w:p>
      <w:pPr>
        <w:pStyle w:val="8"/>
        <w:rPr>
          <w:rFonts w:hint="default"/>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-173990</wp:posOffset>
              </wp:positionV>
              <wp:extent cx="533400" cy="230505"/>
              <wp:effectExtent l="0" t="0" r="0" b="0"/>
              <wp:wrapNone/>
              <wp:docPr id="2" name="文本框 1"/>
              <wp:cNvGraphicFramePr/>
              <a:graphic xmlns:a="http://schemas.openxmlformats.org/drawingml/2006/main">
                <a:graphicData uri="http://schemas.microsoft.com/office/word/2010/wordprocessingShape">
                  <wps:wsp>
                    <wps:cNvSpPr/>
                    <wps:spPr>
                      <a:xfrm>
                        <a:off x="0" y="0"/>
                        <a:ext cx="533400" cy="230584"/>
                      </a:xfrm>
                      <a:prstGeom prst="rect">
                        <a:avLst/>
                      </a:prstGeom>
                      <a:noFill/>
                      <a:ln w="6350" cap="flat" cmpd="sng">
                        <a:noFill/>
                        <a:prstDash val="solid"/>
                        <a:round/>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13.7pt;height:18.15pt;width: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FoDOddkAAAAFAQAADwAAAAAAAAABACAAAAA4AAAAZHJzL2Rv&#10;d25yZXYueG1sUEsBAhQAFAAAAAgAh07iQBpNZH7qAQAArgMAAA4AAAAAAAAAAQAgAAAAPgEAAGRy&#10;cy9lMm9Eb2MueG1sUEsFBgAAAAAGAAYAWQEAAJoFAAAAAA==&#10;">
              <v:fill on="f" focussize="0,0"/>
              <v:stroke on="f" weight="0.5pt" joinstyle="round"/>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880231E"/>
    <w:rsid w:val="09BC6F48"/>
    <w:rsid w:val="0BEF9F7C"/>
    <w:rsid w:val="0C706FF0"/>
    <w:rsid w:val="0EB657CC"/>
    <w:rsid w:val="172760AE"/>
    <w:rsid w:val="1DEA391C"/>
    <w:rsid w:val="26AD01ED"/>
    <w:rsid w:val="28B465E6"/>
    <w:rsid w:val="36EA3913"/>
    <w:rsid w:val="397F9C0B"/>
    <w:rsid w:val="3ACD6F0D"/>
    <w:rsid w:val="3B274115"/>
    <w:rsid w:val="3FD00148"/>
    <w:rsid w:val="411552DE"/>
    <w:rsid w:val="496B3182"/>
    <w:rsid w:val="5FDFED50"/>
    <w:rsid w:val="638A0AA6"/>
    <w:rsid w:val="698539C2"/>
    <w:rsid w:val="6C860602"/>
    <w:rsid w:val="734E07F4"/>
    <w:rsid w:val="746BB859"/>
    <w:rsid w:val="75CDA9AA"/>
    <w:rsid w:val="76FF7424"/>
    <w:rsid w:val="78F3C02C"/>
    <w:rsid w:val="7AE37C24"/>
    <w:rsid w:val="7BDAE8F2"/>
    <w:rsid w:val="7EFE81BC"/>
    <w:rsid w:val="7F7FE3F3"/>
    <w:rsid w:val="83B7BADE"/>
    <w:rsid w:val="ABEDF59C"/>
    <w:rsid w:val="ACBFB408"/>
    <w:rsid w:val="AEDE8CD4"/>
    <w:rsid w:val="BAFE8619"/>
    <w:rsid w:val="BF36DB83"/>
    <w:rsid w:val="CFF70088"/>
    <w:rsid w:val="D57F5176"/>
    <w:rsid w:val="DDFE9C8B"/>
    <w:rsid w:val="DEFCA6AE"/>
    <w:rsid w:val="F9FBAA65"/>
    <w:rsid w:val="FD6F5135"/>
    <w:rsid w:val="FD7BDA20"/>
    <w:rsid w:val="FE6DDC8D"/>
    <w:rsid w:val="FE77C413"/>
    <w:rsid w:val="FFE36D55"/>
    <w:rsid w:val="FFF7D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9"/>
    <w:qFormat/>
    <w:uiPriority w:val="0"/>
    <w:pPr>
      <w:spacing w:before="0" w:beforeAutospacing="1" w:after="0" w:afterAutospacing="1"/>
      <w:jc w:val="left"/>
      <w:outlineLvl w:val="0"/>
    </w:pPr>
    <w:rPr>
      <w:rFonts w:ascii="宋体" w:hAnsi="宋体" w:eastAsia="宋体" w:cs="宋体"/>
      <w:b/>
      <w:kern w:val="44"/>
      <w:sz w:val="48"/>
      <w:szCs w:val="48"/>
      <w:lang w:val="en-US" w:eastAsia="zh-CN"/>
    </w:rPr>
  </w:style>
  <w:style w:type="paragraph" w:styleId="3">
    <w:name w:val="heading 2"/>
    <w:basedOn w:val="1"/>
    <w:next w:val="1"/>
    <w:link w:val="20"/>
    <w:qFormat/>
    <w:uiPriority w:val="0"/>
    <w:pPr>
      <w:spacing w:before="0" w:beforeAutospacing="1" w:after="0" w:afterAutospacing="1"/>
      <w:jc w:val="left"/>
      <w:outlineLvl w:val="1"/>
    </w:pPr>
    <w:rPr>
      <w:rFonts w:ascii="宋体" w:hAnsi="宋体" w:eastAsia="宋体" w:cs="宋体"/>
      <w:b/>
      <w:kern w:val="0"/>
      <w:sz w:val="36"/>
      <w:szCs w:val="36"/>
      <w:lang w:val="en-US" w:eastAsia="zh-CN"/>
    </w:rPr>
  </w:style>
  <w:style w:type="paragraph" w:styleId="4">
    <w:name w:val="heading 3"/>
    <w:basedOn w:val="1"/>
    <w:next w:val="1"/>
    <w:link w:val="21"/>
    <w:qFormat/>
    <w:uiPriority w:val="0"/>
    <w:pPr>
      <w:spacing w:before="0" w:beforeAutospacing="1" w:after="0" w:afterAutospacing="1"/>
      <w:jc w:val="left"/>
      <w:outlineLvl w:val="2"/>
    </w:pPr>
    <w:rPr>
      <w:rFonts w:ascii="宋体" w:hAnsi="宋体" w:eastAsia="宋体" w:cs="宋体"/>
      <w:b/>
      <w:kern w:val="0"/>
      <w:sz w:val="27"/>
      <w:szCs w:val="27"/>
      <w:lang w:val="en-US" w:eastAsia="zh-CN"/>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left="720"/>
    </w:pPr>
  </w:style>
  <w:style w:type="paragraph" w:styleId="6">
    <w:name w:val="Body Text Indent"/>
    <w:basedOn w:val="1"/>
    <w:next w:val="5"/>
    <w:qFormat/>
    <w:uiPriority w:val="0"/>
    <w:pPr>
      <w:ind w:firstLine="200" w:firstLineChars="200"/>
    </w:pPr>
    <w:rPr>
      <w:rFonts w:ascii="Times New Roman" w:hAnsi="Times New Roman" w:eastAsia="仿宋_GB2312" w:cs="Times New Roman"/>
      <w:sz w:val="32"/>
    </w:rPr>
  </w:style>
  <w:style w:type="paragraph" w:styleId="7">
    <w:name w:val="Body Text"/>
    <w:basedOn w:val="1"/>
    <w:next w:val="8"/>
    <w:qFormat/>
    <w:uiPriority w:val="0"/>
    <w:pPr>
      <w:spacing w:after="120"/>
    </w:pPr>
    <w:rPr>
      <w:rFonts w:ascii="Calibri" w:hAnsi="Calibri" w:eastAsia="宋体" w:cs="Times New Roman"/>
      <w:sz w:val="21"/>
    </w:rPr>
  </w:style>
  <w:style w:type="paragraph" w:customStyle="1" w:styleId="8">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9">
    <w:name w:val="Block Text"/>
    <w:basedOn w:val="1"/>
    <w:next w:val="1"/>
    <w:qFormat/>
    <w:uiPriority w:val="0"/>
    <w:pPr>
      <w:spacing w:after="120"/>
      <w:ind w:left="700" w:leftChars="700" w:right="700" w:rightChars="700"/>
    </w:pPr>
    <w:rPr>
      <w:rFonts w:ascii="Calibri" w:hAnsi="Calibri" w:eastAsia="宋体" w:cs="Times New Roman"/>
      <w:sz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index 9"/>
    <w:basedOn w:val="1"/>
    <w:next w:val="1"/>
    <w:qFormat/>
    <w:uiPriority w:val="0"/>
    <w:pPr>
      <w:ind w:left="1600" w:leftChars="16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UserStyle_0"/>
    <w:qFormat/>
    <w:uiPriority w:val="0"/>
    <w:pPr>
      <w:jc w:val="both"/>
      <w:textAlignment w:val="baseline"/>
    </w:pPr>
    <w:rPr>
      <w:rFonts w:ascii="Times New Roman" w:hAnsi="Times New Roman" w:eastAsia="仿宋_GB2312" w:cs="宋体"/>
      <w:kern w:val="2"/>
      <w:sz w:val="32"/>
      <w:szCs w:val="24"/>
      <w:lang w:val="en-US" w:eastAsia="zh-CN" w:bidi="ar-SA"/>
    </w:rPr>
  </w:style>
  <w:style w:type="character" w:customStyle="1" w:styleId="19">
    <w:name w:val="heading 1 Char"/>
    <w:basedOn w:val="16"/>
    <w:link w:val="2"/>
    <w:qFormat/>
    <w:uiPriority w:val="0"/>
    <w:rPr>
      <w:rFonts w:ascii="宋体" w:hAnsi="宋体" w:eastAsia="宋体" w:cs="宋体"/>
      <w:b/>
      <w:kern w:val="44"/>
      <w:sz w:val="48"/>
      <w:szCs w:val="48"/>
      <w:lang w:val="en-US" w:eastAsia="zh-CN" w:bidi="ar-SA"/>
    </w:rPr>
  </w:style>
  <w:style w:type="character" w:customStyle="1" w:styleId="20">
    <w:name w:val="heading 2 Char"/>
    <w:basedOn w:val="16"/>
    <w:link w:val="3"/>
    <w:qFormat/>
    <w:uiPriority w:val="0"/>
    <w:rPr>
      <w:rFonts w:ascii="宋体" w:hAnsi="宋体" w:eastAsia="宋体" w:cs="宋体"/>
      <w:b/>
      <w:kern w:val="0"/>
      <w:sz w:val="36"/>
      <w:szCs w:val="36"/>
      <w:lang w:val="en-US" w:eastAsia="zh-CN" w:bidi="ar-SA"/>
    </w:rPr>
  </w:style>
  <w:style w:type="character" w:customStyle="1" w:styleId="21">
    <w:name w:val="heading 3 Char"/>
    <w:basedOn w:val="16"/>
    <w:link w:val="4"/>
    <w:qFormat/>
    <w:uiPriority w:val="0"/>
    <w:rPr>
      <w:rFonts w:ascii="宋体" w:hAnsi="宋体" w:eastAsia="宋体" w:cs="宋体"/>
      <w:b/>
      <w:kern w:val="0"/>
      <w:sz w:val="27"/>
      <w:szCs w:val="27"/>
      <w:lang w:val="en-US" w:eastAsia="zh-CN" w:bidi="ar-SA"/>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5716</Words>
  <Characters>5856</Characters>
  <Lines>0</Lines>
  <Paragraphs>88</Paragraphs>
  <TotalTime>2</TotalTime>
  <ScaleCrop>false</ScaleCrop>
  <LinksUpToDate>false</LinksUpToDate>
  <CharactersWithSpaces>5921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2026-01-07T22:02:00Z</dcterms:created>
  <dc:creator>Administrator</dc:creator>
  <cp:lastModifiedBy>user</cp:lastModifiedBy>
  <cp:lastPrinted>2026-04-01T15:56:00Z</cp:lastPrinted>
  <dcterms:modified xsi:type="dcterms:W3CDTF">2026-05-20T16:43:57Z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5DC56C942A639A4660C94069E6870A9E</vt:lpwstr>
  </property>
</Properties>
</file>