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jc w:val="distribute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-20"/>
          <w:w w:val="80"/>
          <w:kern w:val="0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20"/>
          <w:w w:val="80"/>
          <w:kern w:val="0"/>
          <w:sz w:val="72"/>
          <w:szCs w:val="72"/>
          <w:lang w:eastAsia="zh-CN"/>
        </w:rPr>
        <w:t>北京市密云区农业农村局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jc w:val="distribute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-20"/>
          <w:w w:val="80"/>
          <w:kern w:val="0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20"/>
          <w:w w:val="80"/>
          <w:kern w:val="0"/>
          <w:sz w:val="72"/>
          <w:szCs w:val="72"/>
          <w:lang w:eastAsia="zh-CN"/>
        </w:rPr>
        <w:t>北京市密云区财政局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jc w:val="distribute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-28"/>
          <w:w w:val="80"/>
          <w:kern w:val="0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28"/>
          <w:w w:val="80"/>
          <w:kern w:val="0"/>
          <w:sz w:val="72"/>
          <w:szCs w:val="72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28"/>
          <w:w w:val="80"/>
          <w:kern w:val="0"/>
          <w:sz w:val="72"/>
          <w:szCs w:val="72"/>
          <w:lang w:eastAsia="zh-CN"/>
        </w:rPr>
        <w:t>规划和自然资源委员会密云分局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jc w:val="distribute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-20"/>
          <w:w w:val="80"/>
          <w:kern w:val="0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20"/>
          <w:w w:val="80"/>
          <w:kern w:val="0"/>
          <w:sz w:val="72"/>
          <w:szCs w:val="72"/>
          <w:lang w:eastAsia="zh-CN"/>
        </w:rPr>
        <w:t>北京市密云区水务局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jc w:val="distribute"/>
        <w:textAlignment w:val="auto"/>
        <w:rPr>
          <w:rFonts w:ascii="宋体" w:hAnsi="宋体" w:cs="宋体"/>
          <w:color w:val="FF0000"/>
          <w:spacing w:val="-28"/>
          <w:w w:val="77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28"/>
          <w:w w:val="80"/>
          <w:kern w:val="0"/>
          <w:sz w:val="72"/>
          <w:szCs w:val="72"/>
          <w:lang w:val="en-US" w:eastAsia="zh-CN"/>
        </w:rPr>
        <w:t>北京市密云区农村合作经济经营管理站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jc w:val="distribute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-34"/>
          <w:w w:val="71"/>
          <w:kern w:val="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34"/>
          <w:w w:val="71"/>
          <w:kern w:val="0"/>
          <w:sz w:val="72"/>
          <w:szCs w:val="72"/>
          <w:lang w:val="en-US" w:eastAsia="zh-CN"/>
        </w:rPr>
        <w:t>北京市密云区密云水库生态保护与发展中心</w:t>
      </w:r>
    </w:p>
    <w:p>
      <w:pPr>
        <w:pStyle w:val="13"/>
        <w:rPr>
          <w:rFonts w:ascii="仿宋_GB2312" w:cs="仿宋_GB2312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/>
        <w:jc w:val="center"/>
        <w:textAlignment w:val="auto"/>
        <w:outlineLvl w:val="9"/>
        <w:rPr>
          <w:rFonts w:hint="default" w:ascii="楷体_GB2312" w:hAnsi="楷体_GB2312" w:eastAsia="仿宋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密农字〔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27号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4642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55pt;height:0.05pt;width:444.6pt;z-index:251659264;mso-width-relative:page;mso-height-relative:page;" filled="f" stroked="t" coordsize="21600,21600" o:gfxdata="UEsDBAoAAAAAAIdO4kAAAAAAAAAAAAAAAAAEAAAAZHJzL1BLAwQUAAAACACHTuJADFu959QAAAAE&#10;AQAADwAAAGRycy9kb3ducmV2LnhtbE2PwU7DMBBE70j8g7VI3KidSI1CiFMhBJdyoq0qcXPjJQmJ&#10;1yF20/L3LKf2OJrRzJtydXaDmHEKnScNyUKBQKq97ajRsNu+PeQgQjRkzeAJNfxigFV1e1OawvoT&#10;feC8iY3gEgqF0dDGOBZShrpFZ8LCj0jsffnJmchyaqSdzInL3SBTpTLpTEe80JoRX1qs+83RaYjZ&#10;d9zb7GfdJ7t+/6ne1ayeX7W+v0vUE4iI53gJwz8+o0PFTAd/JBvEoIGPRA3LBASbef6YgjiwTkFW&#10;pbyGr/4AUEsDBBQAAAAIAIdO4kDiM3jD4gEAAKYDAAAOAAAAZHJzL2Uyb0RvYy54bWytU0uOEzEQ&#10;3SNxB8t70kkziZhWOrOYEDYIIgEHqPjTbck/2Z50cgkugMQOVizZc5sZjkHZ6QkDbBCiF9Vl1/Nz&#10;vdfVy6uD0WQvQlTOtnQ2mVIiLHNc2a6l795unjyjJCawHLSzoqVHEenV6vGj5eAbUbveaS4CQRIb&#10;m8G3tE/JN1UVWS8MxInzwmJRumAg4TJ0FQ8wILvRVT2dLqrBBe6DYyJG3F2finRV+KUULL2WMopE&#10;dEuxt1RiKHGXY7VaQtMF8L1iYxvwD10YUBYvPVOtIQG5CeoPKqNYcNHJNGHOVE5KxUTRgGpm09/U&#10;vOnBi6IFzYn+bFP8f7Ts1X4biOItrSmxYPAT3X34evv+0/dvHzHefflM6mzS4GOD2Gu7DeMq+m3I&#10;ig8ymPxGLeRQjD2ejRWHRBhuzhcXi4sa/WdYWzydZ8bq51EfYnohnCE5aalWNquGBvYvYzpB7yF5&#10;W1sytPRyXs+REHBopIaEqfEoI9qunI1OK75RWucTMXS7ax3IHnAMNpspPmMLv8DyJWuI/QlXShkG&#10;TS+AP7ecpKNHgyxOMs0tGMEp0QIHP2cFmUDpv0Giem0ztShDOurMLp98zdnO8SN+nBsfVNejL7PS&#10;c67gMBQDx8HN0/ZwjfnD32v1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xbvefUAAAABAEAAA8A&#10;AAAAAAAAAQAgAAAAIgAAAGRycy9kb3ducmV2LnhtbFBLAQIUABQAAAAIAIdO4kDiM3jD4gEAAKYD&#10;AAAOAAAAAAAAAAEAIAAAACMBAABkcnMvZTJvRG9jLnhtbFBLBQYAAAAABgAGAFkBAAB3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关于印发《密云区密云水库流域耕地流转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工作方案》的通知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各相关镇人民政府，各相关单位：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经区政府同意，现将《密云区密云水库流域耕地流转工作方案》印发给你们，请结合实际认真贯彻落实。</w:t>
      </w: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北京市密云区农业农村局       北京市密云区财政局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 xml:space="preserve">北京市规划和自然资源委员会密云分局      北京市密云区水务局     </w:t>
      </w:r>
    </w:p>
    <w:p>
      <w:pPr>
        <w:pStyle w:val="2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w w:val="7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72"/>
          <w:sz w:val="32"/>
          <w:szCs w:val="32"/>
          <w:lang w:val="en-US" w:eastAsia="zh-CN"/>
        </w:rPr>
        <w:t>北京市密云区农村合作经济经营管理站    北京市密云区密云水库生态保护与发展中心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w w:val="72"/>
          <w:sz w:val="32"/>
          <w:szCs w:val="32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w w:val="100"/>
          <w:sz w:val="32"/>
          <w:szCs w:val="32"/>
          <w:lang w:val="en-US" w:eastAsia="zh-CN"/>
        </w:rPr>
        <w:t>2026年3月23日</w:t>
      </w:r>
    </w:p>
    <w:p>
      <w:pPr>
        <w:pStyle w:val="9"/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br w:type="column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密云区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密云水库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流域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耕地流转工作方案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为进一步加强密云水库水源保护，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密云水库水源保护条例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强化密云水库流域生态保护举措，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密云区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密云水库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流域耕地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流转到所属村集体经济组织，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推广科学有效的生态种植模式，减少农业面源污染影响，实现保水与富民协调发展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特制定本工作方案。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、流转范围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密云区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密云水库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流域范围内</w:t>
      </w:r>
      <w:r>
        <w:rPr>
          <w:rFonts w:hint="eastAsia" w:ascii="仿宋_GB2312" w:hAnsi="仿宋_GB2312" w:eastAsia="仿宋_GB2312" w:cs="仿宋_GB2312"/>
          <w:sz w:val="32"/>
          <w:szCs w:val="32"/>
        </w:rPr>
        <w:t>以家庭承包方式和以其他方式承包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的耕地，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不包括已享受过移民搬迁、库中岛、退耕还林、平原造林、复耕土地流转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、密云水库一级区土地流转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等相关政策补助的耕地。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涉及石城、冯家峪、不老屯、高岭、古北口、新城子、太师屯、北庄、大城子、穆家峪、溪翁庄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11个镇，177个村。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二、流转年限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年开始流转到2027年，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承包合同年限不到2027年的，按实际合同期限流转。流转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合同生效期间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如有新的政策，按照新的政策执行。本次流转合同到期后，如没有其他政策出台，则按照本次流转政策继续执行。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、流转标准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1.流转费标准。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1000元/亩/年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密云水库一级保护区耕地流转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，自流转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合同签订后开始执行。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流转面积标准。有土地承包合同的以土地承包合同记载的面积为准；没有土地承包合同，但有分地底账的，以分地底账记载的面积为准。土地承包合同或分地底账中未注明面积的，镇、村要组织实测，最终以村民代表大会讨论通过的面积为准；村集体与经营权人确有承包关系，但没有土地承包合同或分地底账的，镇、村也可以组织实测，最终以村民代表大会讨论通过的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、工作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流程及</w:t>
      </w:r>
      <w:r>
        <w:rPr>
          <w:rFonts w:hint="eastAsia" w:ascii="黑体" w:hAnsi="黑体" w:eastAsia="黑体" w:cs="黑体"/>
          <w:sz w:val="32"/>
          <w:szCs w:val="32"/>
        </w:rPr>
        <w:t>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（一）清查公示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镇对符合纳入流转范围的地块面积及合同进行梳理，确定拟流转面积；组织村集体经济组织对拟流转耕地情况进行公示。公示内容包括经营权人信息、地块面积、位置、现状等，公示期不少于7天；公示后建立完整的耕地流转工作台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组织流转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各相关镇对符合流转政策的耕地，按照“经营权人申请、村集体民主决策、镇政府审核”的程序，将耕地经营权流转到村集体经济组织。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（三）签订合同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各相关镇组织村集体经济组织与经营权人签订流转合同，流转合同一式三份，当事人双方各执一份，镇政府备案一份。各相关镇将耕地流转合同相关数据汇总后报区经管站。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以上工作须于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2026年3月31日前全部完成。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区农业农村局：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密云区</w:t>
      </w:r>
      <w:r>
        <w:rPr>
          <w:rFonts w:hint="eastAsia" w:ascii="仿宋_GB2312" w:hAnsi="仿宋_GB2312" w:eastAsia="仿宋_GB2312" w:cs="仿宋_GB2312"/>
          <w:sz w:val="32"/>
          <w:szCs w:val="32"/>
        </w:rPr>
        <w:t>密云水库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流域承包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耕地流转相关工作。会同区经管站研究制定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密云区</w:t>
      </w:r>
      <w:r>
        <w:rPr>
          <w:rFonts w:hint="eastAsia" w:ascii="仿宋_GB2312" w:hAnsi="仿宋_GB2312" w:eastAsia="仿宋_GB2312" w:cs="仿宋_GB2312"/>
          <w:sz w:val="32"/>
          <w:szCs w:val="32"/>
        </w:rPr>
        <w:t>密云水库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流域承包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耕地流转工作方案；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指导镇村开展科学、生态种植。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区经管站：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负责指导相关镇村做好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流转工作。制定各类标准制式合同文本；解答合同签订过程中遇到的各类政策性问题；指导各相关镇做好流转合同面积的核实、汇总工作。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区规自分局：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密云水库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流域国土变更调查现状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耕地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矢量数据作为此次流转工作的参考依据并配合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各相关镇确定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流转面积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；按照《密云水库水源保护条例》重点工作任务分工推动密云水库流域农地类型调整工作。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区水务局：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负责提供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密云水库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流域范围；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《密云水库水源保护条例》重点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工作任务分工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指导镇村做好相关工作。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区生态环境局：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会同相关部门做好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水库流域水污染防治执法、排污许可监管、水质监测与污染源排查、超标排放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查处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、非法排污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查处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区财政局：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负责做好耕地流转资金的筹措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、拨付及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管理等相关工作，并依据区经管站核实、汇总的耕地流转合同面积，及时拨付资金。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区园林绿化局：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指导镇村做好耕地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流转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工作中涉及林地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、果园等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北京市密云水库管理处：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做好密云水库管理范围内的相关工作。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密云水库综合执法大队：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负责密云水库一级保护区内涉水违法违规行为的执法处罚工作。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密云水库生态保护与发展中心：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负责流转过程中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腾退户相关政策解释工作；配合有关部门、相关镇做好水库流域范围内政策解释工作。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属地镇政府：</w:t>
      </w:r>
      <w:r>
        <w:rPr>
          <w:rFonts w:hint="eastAsia" w:ascii="仿宋_GB2312" w:hAnsi="仿宋_GB2312" w:eastAsia="仿宋_GB2312" w:cs="仿宋_GB2312"/>
          <w:sz w:val="32"/>
          <w:szCs w:val="32"/>
        </w:rPr>
        <w:t>为本次耕地流转、流转后耕地管理工作的责任主体，组织落实辖区内耕地流转工作。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规自分局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提供的相关数据，确定密云水库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流域</w:t>
      </w:r>
      <w:r>
        <w:rPr>
          <w:rFonts w:hint="eastAsia" w:ascii="仿宋_GB2312" w:hAnsi="仿宋_GB2312" w:eastAsia="仿宋_GB2312" w:cs="仿宋_GB2312"/>
          <w:sz w:val="32"/>
          <w:szCs w:val="32"/>
        </w:rPr>
        <w:t>耕地范围，拟流转的地块位置、面积；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核实登记拟流转地块承包合同、分地底账、经营权人等信息，公示后建立拟流转台账，做到无重复、无遗漏、无争议；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组织流转并签订流转合同；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组织村集体对辖区内流转后耕地进行管理，建立管理台账，落实主体责任。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处理接诉即办服务热线及信访等反映的问题，推进管理端口前移、重心下沉，实现问题早发现、早处理。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rPr>
          <w:rFonts w:hint="default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提高政治站位。各有关部门、相关镇要充分认识此项工作的重要性和紧迫性，坚持保护水源与促进发展相结合，以高度政治责任感积极推进耕地流转工作顺利进行，实现保水与富民协调发展。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压实工作责任。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相关部门要加强对镇村在组织动员、核实确认、合同签订、政策宣传等方面的具体指导。各相关镇政府明确目标责任、任务分工、时限要求，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成立工作专班，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推动工作落实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妥善处理耕地流转过程中遇到的实际问题，按时限要求完成耕地流转工作。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加强后续监管。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按照《密云水库水源保护条例》重点工作任务分工，各相关部门要明确职责、强化监管；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要加强对流转后的耕地使用情况及生态功能监督检查，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严禁施用化肥、化学农药等影响水质和生态环境的行为发生，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发现问题及时督促整改并报有关部门依法处理。</w:t>
      </w:r>
    </w:p>
    <w:p>
      <w:pPr>
        <w:rPr>
          <w:rFonts w:hint="default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</w:p>
    <w:sectPr>
      <w:footerReference r:id="rId3" w:type="default"/>
      <w:pgSz w:w="11906" w:h="16838"/>
      <w:pgMar w:top="2098" w:right="1474" w:bottom="175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-174625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PYu2tYAAAAI&#10;AQAADwAAAGRycy9kb3ducmV2LnhtbE2PzU7DMBCE70i8g7VI3Fq7oS1RiFOJivSIRMOBoxsvScA/&#10;ke2m4e1ZTvS2uzOa/abczdawCUMcvJOwWgpg6FqvB9dJeG/qRQ4sJuW0Mt6hhB+MsKtub0pVaH9x&#10;bzgdU8coxMVCSehTGgvOY9ujVXHpR3SkffpgVaI1dFwHdaFwa3gmxJZbNTj60KsR9z2238ezlbCv&#10;myZMGIP5wEP98PX6vMaXWcr7u5V4ApZwTv9m+MMndKiI6eTPTkdmJFCRJGGRPW6AkZzlOV1ONGzF&#10;BnhV8usC1S9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PYu2t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03A22"/>
    <w:rsid w:val="03761279"/>
    <w:rsid w:val="0437753C"/>
    <w:rsid w:val="052C1174"/>
    <w:rsid w:val="084F1625"/>
    <w:rsid w:val="085A72FC"/>
    <w:rsid w:val="0A234014"/>
    <w:rsid w:val="0A9726DB"/>
    <w:rsid w:val="0BDE3C99"/>
    <w:rsid w:val="0F5A32B0"/>
    <w:rsid w:val="1178382E"/>
    <w:rsid w:val="14A35D4D"/>
    <w:rsid w:val="16041470"/>
    <w:rsid w:val="178F28A3"/>
    <w:rsid w:val="1CBC5B27"/>
    <w:rsid w:val="1D307E2C"/>
    <w:rsid w:val="262A4EE1"/>
    <w:rsid w:val="28C46396"/>
    <w:rsid w:val="2D3B7285"/>
    <w:rsid w:val="31302C53"/>
    <w:rsid w:val="33FD0FA1"/>
    <w:rsid w:val="364E3656"/>
    <w:rsid w:val="373B3A00"/>
    <w:rsid w:val="37BF6BAF"/>
    <w:rsid w:val="37ECB032"/>
    <w:rsid w:val="38B16DE0"/>
    <w:rsid w:val="3B781F1C"/>
    <w:rsid w:val="3BFE06CE"/>
    <w:rsid w:val="3CFFE6D9"/>
    <w:rsid w:val="3FEA8599"/>
    <w:rsid w:val="3FFF89B2"/>
    <w:rsid w:val="42B7479A"/>
    <w:rsid w:val="4B9C1272"/>
    <w:rsid w:val="4BEFEC6C"/>
    <w:rsid w:val="4EF53519"/>
    <w:rsid w:val="4F1CDF5C"/>
    <w:rsid w:val="54C37BD2"/>
    <w:rsid w:val="56FFD02A"/>
    <w:rsid w:val="5D216ADF"/>
    <w:rsid w:val="5DE33AA0"/>
    <w:rsid w:val="5F7F0F47"/>
    <w:rsid w:val="60403A22"/>
    <w:rsid w:val="6190564D"/>
    <w:rsid w:val="636DF376"/>
    <w:rsid w:val="65E868F5"/>
    <w:rsid w:val="6ADEF17D"/>
    <w:rsid w:val="6F8C7CED"/>
    <w:rsid w:val="729E6FDD"/>
    <w:rsid w:val="72BBB4CC"/>
    <w:rsid w:val="72BD971C"/>
    <w:rsid w:val="75AFB38A"/>
    <w:rsid w:val="77F725B5"/>
    <w:rsid w:val="7DDDF967"/>
    <w:rsid w:val="7EEED6BD"/>
    <w:rsid w:val="7EF3B038"/>
    <w:rsid w:val="7F9E4105"/>
    <w:rsid w:val="7FBDF97E"/>
    <w:rsid w:val="7FDF1014"/>
    <w:rsid w:val="7FE34BAC"/>
    <w:rsid w:val="7FEF0878"/>
    <w:rsid w:val="7FFD264F"/>
    <w:rsid w:val="94E36B91"/>
    <w:rsid w:val="B3EBFDFA"/>
    <w:rsid w:val="B768B16B"/>
    <w:rsid w:val="BDE317D0"/>
    <w:rsid w:val="BDFF5B12"/>
    <w:rsid w:val="BEFB7177"/>
    <w:rsid w:val="BFFE6300"/>
    <w:rsid w:val="CDDD144F"/>
    <w:rsid w:val="D6EFED4C"/>
    <w:rsid w:val="DBFA2F8B"/>
    <w:rsid w:val="DFE341FA"/>
    <w:rsid w:val="DFEB773E"/>
    <w:rsid w:val="E2F7E65F"/>
    <w:rsid w:val="E75F6E3C"/>
    <w:rsid w:val="EBDECC4D"/>
    <w:rsid w:val="EDEBAC6F"/>
    <w:rsid w:val="EF77B230"/>
    <w:rsid w:val="F67F9487"/>
    <w:rsid w:val="F7EB29D6"/>
    <w:rsid w:val="F8740710"/>
    <w:rsid w:val="FBDD0D68"/>
    <w:rsid w:val="FD7A5377"/>
    <w:rsid w:val="FDF4D1BF"/>
    <w:rsid w:val="FF2DCE9A"/>
    <w:rsid w:val="FF7F336C"/>
    <w:rsid w:val="FFB955A7"/>
    <w:rsid w:val="FFBD0E55"/>
    <w:rsid w:val="FFEF5211"/>
    <w:rsid w:val="FFFF8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unhideWhenUsed/>
    <w:qFormat/>
    <w:uiPriority w:val="99"/>
    <w:pPr>
      <w:ind w:left="720"/>
    </w:pPr>
  </w:style>
  <w:style w:type="paragraph" w:styleId="6">
    <w:name w:val="Body Text Indent"/>
    <w:basedOn w:val="1"/>
    <w:next w:val="5"/>
    <w:unhideWhenUsed/>
    <w:qFormat/>
    <w:uiPriority w:val="99"/>
    <w:pPr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7">
    <w:name w:val="Body Text"/>
    <w:basedOn w:val="1"/>
    <w:next w:val="8"/>
    <w:qFormat/>
    <w:uiPriority w:val="0"/>
    <w:pPr>
      <w:spacing w:after="120"/>
    </w:pPr>
    <w:rPr>
      <w:rFonts w:ascii="Calibri" w:hAnsi="Calibri" w:eastAsia="宋体" w:cs="Times New Roman"/>
      <w:sz w:val="21"/>
    </w:rPr>
  </w:style>
  <w:style w:type="paragraph" w:customStyle="1" w:styleId="8">
    <w:name w:val="toc 1_b958cacf-7e5f-454f-8c5b-6e15b77831f9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9">
    <w:name w:val="Block Text"/>
    <w:basedOn w:val="1"/>
    <w:next w:val="1"/>
    <w:qFormat/>
    <w:uiPriority w:val="0"/>
    <w:pPr>
      <w:spacing w:after="120"/>
      <w:ind w:left="1440" w:leftChars="700" w:right="1440" w:rightChars="700"/>
    </w:pPr>
    <w:rPr>
      <w:rFonts w:ascii="Calibri" w:hAnsi="Calibri" w:eastAsia="宋体" w:cs="Times New Roman"/>
      <w:sz w:val="21"/>
    </w:r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index 9"/>
    <w:basedOn w:val="1"/>
    <w:next w:val="1"/>
    <w:qFormat/>
    <w:uiPriority w:val="0"/>
    <w:pPr>
      <w:ind w:left="1600" w:leftChars="1600"/>
    </w:p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6">
    <w:name w:val="Table Grid"/>
    <w:basedOn w:val="15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page number"/>
    <w:basedOn w:val="17"/>
    <w:qFormat/>
    <w:uiPriority w:val="0"/>
  </w:style>
  <w:style w:type="paragraph" w:customStyle="1" w:styleId="19">
    <w:name w:val="UserStyle_0"/>
    <w:qFormat/>
    <w:uiPriority w:val="0"/>
    <w:pPr>
      <w:jc w:val="both"/>
      <w:textAlignment w:val="baseline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2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BodyTextIndent"/>
    <w:basedOn w:val="1"/>
    <w:next w:val="23"/>
    <w:qFormat/>
    <w:uiPriority w:val="0"/>
    <w:pPr>
      <w:ind w:firstLine="4204" w:firstLineChars="1400"/>
      <w:jc w:val="both"/>
      <w:textAlignment w:val="baseline"/>
    </w:pPr>
    <w:rPr>
      <w:rFonts w:ascii="Times New Roman" w:hAnsi="Times New Roman" w:eastAsia="华文仿宋" w:cs="Times New Roman"/>
      <w:b/>
      <w:bCs/>
      <w:kern w:val="2"/>
      <w:sz w:val="30"/>
      <w:szCs w:val="24"/>
      <w:lang w:val="en-US" w:eastAsia="zh-CN" w:bidi="ar-SA"/>
    </w:rPr>
  </w:style>
  <w:style w:type="paragraph" w:customStyle="1" w:styleId="23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eastAsia="仿宋"/>
      <w:kern w:val="2"/>
      <w:sz w:val="21"/>
      <w:szCs w:val="21"/>
      <w:lang w:val="en-US" w:eastAsia="zh-CN" w:bidi="ar-SA"/>
    </w:rPr>
  </w:style>
  <w:style w:type="paragraph" w:customStyle="1" w:styleId="24">
    <w:name w:val="BlockQuote"/>
    <w:basedOn w:val="1"/>
    <w:qFormat/>
    <w:uiPriority w:val="0"/>
    <w:pPr>
      <w:spacing w:after="120"/>
      <w:ind w:left="1440" w:leftChars="700" w:right="1440" w:rightChars="7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2025-12-24T22:02:00Z</dcterms:created>
  <dc:creator>Administrator</dc:creator>
  <cp:lastModifiedBy>Administrator</cp:lastModifiedBy>
  <cp:lastPrinted>2026-02-09T23:48:00Z</cp:lastPrinted>
  <dcterms:modified xsi:type="dcterms:W3CDTF">2026-03-23T02:11:23Z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47BC9370817958A38194A6697985C909</vt:lpwstr>
  </property>
</Properties>
</file>