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9954AB">
      <w:pPr>
        <w:spacing w:line="360" w:lineRule="auto"/>
        <w:ind w:firstLine="0" w:firstLineChars="0"/>
        <w:jc w:val="left"/>
        <w:rPr>
          <w:rFonts w:eastAsia="黑体" w:cs="Times New Roman"/>
          <w:bCs/>
          <w:sz w:val="22"/>
        </w:rPr>
      </w:pPr>
    </w:p>
    <w:p w14:paraId="4FC5A31E">
      <w:pPr>
        <w:spacing w:line="360" w:lineRule="auto"/>
        <w:ind w:firstLine="0" w:firstLineChars="0"/>
        <w:jc w:val="left"/>
        <w:rPr>
          <w:rFonts w:eastAsia="黑体" w:cs="Times New Roman"/>
          <w:bCs/>
          <w:sz w:val="22"/>
        </w:rPr>
      </w:pPr>
    </w:p>
    <w:p w14:paraId="7626D8E1">
      <w:pPr>
        <w:spacing w:line="360" w:lineRule="auto"/>
        <w:ind w:firstLine="0" w:firstLineChars="0"/>
        <w:jc w:val="left"/>
        <w:rPr>
          <w:rFonts w:eastAsia="黑体" w:cs="Times New Roman"/>
          <w:bCs/>
          <w:sz w:val="22"/>
        </w:rPr>
      </w:pPr>
    </w:p>
    <w:p w14:paraId="3F40ED6A">
      <w:pPr>
        <w:spacing w:line="360" w:lineRule="auto"/>
        <w:ind w:firstLine="0" w:firstLineChars="0"/>
        <w:jc w:val="center"/>
        <w:outlineLvl w:val="1"/>
        <w:rPr>
          <w:rFonts w:eastAsia="黑体" w:cs="Times New Roman"/>
          <w:b/>
          <w:sz w:val="56"/>
          <w:szCs w:val="56"/>
        </w:rPr>
      </w:pPr>
      <w:bookmarkStart w:id="0" w:name="_Toc18954"/>
      <w:r>
        <w:rPr>
          <w:rFonts w:eastAsia="黑体" w:cs="Times New Roman"/>
          <w:b/>
          <w:sz w:val="56"/>
          <w:szCs w:val="56"/>
        </w:rPr>
        <w:t>北京市密云区气候投融资项目库管理办法</w:t>
      </w:r>
      <w:bookmarkEnd w:id="0"/>
      <w:r>
        <w:rPr>
          <w:rFonts w:eastAsia="黑体" w:cs="Times New Roman"/>
          <w:b/>
          <w:sz w:val="56"/>
          <w:szCs w:val="56"/>
        </w:rPr>
        <w:t>（试行）</w:t>
      </w:r>
    </w:p>
    <w:p w14:paraId="077842B5">
      <w:pPr>
        <w:ind w:firstLine="480"/>
        <w:jc w:val="left"/>
        <w:rPr>
          <w:rFonts w:cs="Times New Roman"/>
          <w:bCs/>
          <w:sz w:val="24"/>
          <w:szCs w:val="24"/>
        </w:rPr>
      </w:pPr>
      <w:r>
        <w:rPr>
          <w:rFonts w:hint="eastAsia" w:eastAsia="黑体" w:cs="Times New Roman"/>
          <w:b/>
          <w:sz w:val="56"/>
          <w:szCs w:val="56"/>
          <w:lang w:val="en-US" w:eastAsia="zh-CN"/>
        </w:rPr>
        <w:t xml:space="preserve"> </w:t>
      </w:r>
    </w:p>
    <w:p w14:paraId="2959503B">
      <w:pPr>
        <w:ind w:firstLine="480"/>
        <w:jc w:val="left"/>
        <w:rPr>
          <w:rFonts w:cs="Times New Roman"/>
          <w:bCs/>
          <w:sz w:val="24"/>
          <w:szCs w:val="24"/>
        </w:rPr>
      </w:pPr>
    </w:p>
    <w:p w14:paraId="79443FA8">
      <w:pPr>
        <w:ind w:firstLine="560"/>
        <w:jc w:val="left"/>
        <w:rPr>
          <w:rFonts w:cs="Times New Roman"/>
          <w:bCs/>
          <w:sz w:val="28"/>
          <w:szCs w:val="28"/>
        </w:rPr>
      </w:pPr>
    </w:p>
    <w:p w14:paraId="227F8108">
      <w:pPr>
        <w:ind w:firstLine="560"/>
        <w:jc w:val="left"/>
        <w:rPr>
          <w:rFonts w:cs="Times New Roman"/>
          <w:bCs/>
          <w:sz w:val="28"/>
          <w:szCs w:val="28"/>
        </w:rPr>
      </w:pPr>
    </w:p>
    <w:p w14:paraId="10506474">
      <w:pPr>
        <w:ind w:firstLine="560"/>
        <w:jc w:val="left"/>
        <w:rPr>
          <w:rFonts w:cs="Times New Roman"/>
          <w:bCs/>
          <w:sz w:val="28"/>
          <w:szCs w:val="28"/>
        </w:rPr>
      </w:pPr>
    </w:p>
    <w:p w14:paraId="1EF0141C">
      <w:pPr>
        <w:ind w:firstLine="560"/>
        <w:jc w:val="left"/>
        <w:rPr>
          <w:rFonts w:cs="Times New Roman"/>
          <w:bCs/>
          <w:sz w:val="28"/>
          <w:szCs w:val="28"/>
        </w:rPr>
      </w:pPr>
    </w:p>
    <w:p w14:paraId="3CFB0132">
      <w:pPr>
        <w:ind w:firstLine="560"/>
        <w:jc w:val="left"/>
        <w:rPr>
          <w:rFonts w:cs="Times New Roman"/>
          <w:bCs/>
          <w:sz w:val="28"/>
          <w:szCs w:val="28"/>
        </w:rPr>
      </w:pPr>
    </w:p>
    <w:p w14:paraId="1364FF0F">
      <w:pPr>
        <w:ind w:firstLine="560"/>
        <w:jc w:val="left"/>
        <w:rPr>
          <w:rFonts w:cs="Times New Roman"/>
          <w:bCs/>
          <w:sz w:val="28"/>
          <w:szCs w:val="28"/>
        </w:rPr>
      </w:pPr>
    </w:p>
    <w:p w14:paraId="4E2F2216">
      <w:pPr>
        <w:spacing w:line="240" w:lineRule="auto"/>
        <w:ind w:firstLine="0" w:firstLineChars="0"/>
        <w:jc w:val="left"/>
        <w:rPr>
          <w:rFonts w:eastAsia="方正小标宋简体" w:cs="Times New Roman"/>
          <w:sz w:val="44"/>
          <w:szCs w:val="36"/>
        </w:rPr>
      </w:pPr>
    </w:p>
    <w:p w14:paraId="64E7346F">
      <w:pPr>
        <w:spacing w:line="240" w:lineRule="auto"/>
        <w:ind w:firstLine="0" w:firstLineChars="0"/>
        <w:jc w:val="left"/>
        <w:rPr>
          <w:rFonts w:eastAsia="方正小标宋简体" w:cs="Times New Roman"/>
          <w:sz w:val="44"/>
          <w:szCs w:val="36"/>
        </w:rPr>
      </w:pPr>
    </w:p>
    <w:p w14:paraId="56CC97D2">
      <w:pPr>
        <w:autoSpaceDE w:val="0"/>
        <w:autoSpaceDN w:val="0"/>
        <w:adjustRightInd w:val="0"/>
        <w:ind w:firstLine="0" w:firstLineChars="0"/>
        <w:jc w:val="center"/>
        <w:rPr>
          <w:rFonts w:eastAsia="黑体" w:cs="Times New Roman"/>
          <w:kern w:val="0"/>
          <w:sz w:val="30"/>
          <w:szCs w:val="30"/>
        </w:rPr>
      </w:pPr>
      <w:r>
        <w:rPr>
          <w:rFonts w:hint="eastAsia" w:ascii="黑体" w:hAnsi="黑体" w:eastAsia="黑体" w:cs="黑体"/>
          <w:sz w:val="30"/>
          <w:szCs w:val="30"/>
          <w:lang w:eastAsia="zh-CN"/>
        </w:rPr>
        <w:t>北京市</w:t>
      </w:r>
      <w:r>
        <w:rPr>
          <w:rFonts w:hint="eastAsia" w:ascii="黑体" w:hAnsi="黑体" w:eastAsia="黑体" w:cs="黑体"/>
          <w:sz w:val="30"/>
          <w:szCs w:val="30"/>
        </w:rPr>
        <w:t>密云区生态环境局</w:t>
      </w:r>
    </w:p>
    <w:p w14:paraId="3F8359E6">
      <w:pPr>
        <w:autoSpaceDE w:val="0"/>
        <w:autoSpaceDN w:val="0"/>
        <w:adjustRightInd w:val="0"/>
        <w:ind w:firstLine="0" w:firstLineChars="0"/>
        <w:jc w:val="center"/>
        <w:rPr>
          <w:rFonts w:eastAsia="黑体" w:cs="Times New Roman"/>
          <w:kern w:val="0"/>
          <w:sz w:val="28"/>
          <w:szCs w:val="28"/>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3" w:bottom="1440" w:left="1803" w:header="851" w:footer="992" w:gutter="0"/>
          <w:pgNumType w:fmt="numberInDash"/>
          <w:cols w:space="0" w:num="1"/>
          <w:docGrid w:type="lines" w:linePitch="436" w:charSpace="0"/>
        </w:sectPr>
      </w:pPr>
      <w:r>
        <w:rPr>
          <w:rFonts w:hint="eastAsia" w:eastAsia="黑体" w:cs="Times New Roman"/>
          <w:kern w:val="0"/>
          <w:sz w:val="30"/>
          <w:szCs w:val="30"/>
        </w:rPr>
        <w:t>二</w:t>
      </w:r>
      <w:r>
        <w:rPr>
          <w:rFonts w:hint="eastAsia" w:ascii="微软雅黑" w:hAnsi="微软雅黑" w:eastAsia="微软雅黑" w:cs="微软雅黑"/>
          <w:kern w:val="0"/>
          <w:sz w:val="30"/>
          <w:szCs w:val="30"/>
        </w:rPr>
        <w:t>〇</w:t>
      </w:r>
      <w:r>
        <w:rPr>
          <w:rFonts w:hint="eastAsia" w:eastAsia="黑体" w:cs="Times New Roman"/>
          <w:kern w:val="0"/>
          <w:sz w:val="30"/>
          <w:szCs w:val="30"/>
        </w:rPr>
        <w:t>二五年</w:t>
      </w:r>
      <w:r>
        <w:rPr>
          <w:rFonts w:hint="eastAsia" w:eastAsia="黑体" w:cs="Times New Roman"/>
          <w:kern w:val="0"/>
          <w:sz w:val="30"/>
          <w:szCs w:val="30"/>
          <w:lang w:eastAsia="zh-CN"/>
        </w:rPr>
        <w:t>九</w:t>
      </w:r>
      <w:r>
        <w:rPr>
          <w:rFonts w:hint="eastAsia" w:eastAsia="黑体" w:cs="Times New Roman"/>
          <w:kern w:val="0"/>
          <w:sz w:val="30"/>
          <w:szCs w:val="30"/>
        </w:rPr>
        <w:t>月</w:t>
      </w:r>
    </w:p>
    <w:sdt>
      <w:sdtPr>
        <w:rPr>
          <w:rFonts w:ascii="宋体" w:hAnsi="宋体" w:eastAsia="宋体"/>
          <w:sz w:val="21"/>
        </w:rPr>
        <w:id w:val="147467160"/>
        <w15:color w:val="DBDBDB"/>
        <w:docPartObj>
          <w:docPartGallery w:val="Table of Contents"/>
          <w:docPartUnique/>
        </w:docPartObj>
      </w:sdtPr>
      <w:sdtEndPr>
        <w:rPr>
          <w:rFonts w:ascii="宋体" w:hAnsi="宋体" w:eastAsia="仿宋_GB2312"/>
          <w:sz w:val="21"/>
          <w:szCs w:val="32"/>
        </w:rPr>
      </w:sdtEndPr>
      <w:sdtContent>
        <w:p w14:paraId="7AD1BA00">
          <w:pPr>
            <w:spacing w:line="240" w:lineRule="auto"/>
            <w:ind w:firstLine="0" w:firstLineChars="0"/>
            <w:jc w:val="center"/>
            <w:rPr>
              <w:rFonts w:ascii="仿宋_GB2312" w:hAnsi="仿宋_GB2312" w:cs="仿宋_GB2312"/>
              <w:sz w:val="44"/>
              <w:szCs w:val="48"/>
            </w:rPr>
          </w:pPr>
          <w:r>
            <w:rPr>
              <w:rFonts w:hint="eastAsia" w:ascii="方正小标宋简体" w:hAnsi="方正小标宋简体" w:eastAsia="方正小标宋简体" w:cs="方正小标宋简体"/>
              <w:sz w:val="36"/>
              <w:szCs w:val="36"/>
            </w:rPr>
            <w:t>目录</w:t>
          </w:r>
        </w:p>
        <w:p w14:paraId="5FCA377B">
          <w:pPr>
            <w:pStyle w:val="37"/>
            <w:tabs>
              <w:tab w:val="right" w:leader="dot" w:pos="8300"/>
            </w:tabs>
            <w:rPr>
              <w:rFonts w:cs="Times New Roman"/>
              <w:sz w:val="32"/>
              <w:szCs w:val="32"/>
            </w:rPr>
          </w:pPr>
          <w:r>
            <w:rPr>
              <w:rFonts w:cs="Times New Roman"/>
              <w:sz w:val="32"/>
              <w:szCs w:val="32"/>
            </w:rPr>
            <w:fldChar w:fldCharType="begin"/>
          </w:r>
          <w:r>
            <w:rPr>
              <w:rFonts w:cs="Times New Roman"/>
              <w:sz w:val="32"/>
              <w:szCs w:val="32"/>
            </w:rPr>
            <w:instrText xml:space="preserve">TOC \o "1-1" \h \u </w:instrText>
          </w:r>
          <w:r>
            <w:rPr>
              <w:rFonts w:cs="Times New Roman"/>
              <w:sz w:val="32"/>
              <w:szCs w:val="32"/>
            </w:rPr>
            <w:fldChar w:fldCharType="separate"/>
          </w:r>
        </w:p>
        <w:p w14:paraId="3B2D2DBA">
          <w:pPr>
            <w:pStyle w:val="37"/>
            <w:tabs>
              <w:tab w:val="right" w:leader="dot" w:pos="8300"/>
            </w:tabs>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"_Toc23972" </w:instrText>
          </w:r>
          <w:r>
            <w:rPr>
              <w:rFonts w:hint="eastAsia" w:ascii="仿宋_GB2312" w:hAnsi="仿宋_GB2312" w:eastAsia="仿宋_GB2312" w:cs="仿宋_GB2312"/>
            </w:rPr>
            <w:fldChar w:fldCharType="separate"/>
          </w:r>
          <w:r>
            <w:rPr>
              <w:rFonts w:hint="eastAsia" w:ascii="仿宋_GB2312" w:hAnsi="仿宋_GB2312" w:eastAsia="仿宋_GB2312" w:cs="仿宋_GB2312"/>
              <w:sz w:val="32"/>
              <w:szCs w:val="32"/>
            </w:rPr>
            <w:t xml:space="preserve">第一章 </w:t>
          </w:r>
          <w:r>
            <w:rPr>
              <w:rFonts w:hint="eastAsia" w:ascii="仿宋_GB2312" w:hAnsi="仿宋_GB2312" w:eastAsia="仿宋_GB2312" w:cs="仿宋_GB2312"/>
              <w:kern w:val="0"/>
              <w:sz w:val="32"/>
              <w:szCs w:val="32"/>
            </w:rPr>
            <w:t>总则</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_Toc23972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- 1 -</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782E5E38">
          <w:pPr>
            <w:pStyle w:val="37"/>
            <w:tabs>
              <w:tab w:val="right" w:leader="dot" w:pos="8300"/>
            </w:tabs>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"_Toc24328" </w:instrText>
          </w:r>
          <w:r>
            <w:rPr>
              <w:rFonts w:hint="eastAsia" w:ascii="仿宋_GB2312" w:hAnsi="仿宋_GB2312" w:eastAsia="仿宋_GB2312" w:cs="仿宋_GB2312"/>
            </w:rPr>
            <w:fldChar w:fldCharType="separate"/>
          </w:r>
          <w:r>
            <w:rPr>
              <w:rFonts w:hint="eastAsia" w:ascii="仿宋_GB2312" w:hAnsi="仿宋_GB2312" w:eastAsia="仿宋_GB2312" w:cs="仿宋_GB2312"/>
              <w:kern w:val="0"/>
              <w:sz w:val="32"/>
              <w:szCs w:val="32"/>
            </w:rPr>
            <w:t>第二章 职责分工</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_Toc24328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- 1 -</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79807889">
          <w:pPr>
            <w:pStyle w:val="37"/>
            <w:tabs>
              <w:tab w:val="right" w:leader="dot" w:pos="8300"/>
            </w:tabs>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"_Toc321" </w:instrText>
          </w:r>
          <w:r>
            <w:rPr>
              <w:rFonts w:hint="eastAsia" w:ascii="仿宋_GB2312" w:hAnsi="仿宋_GB2312" w:eastAsia="仿宋_GB2312" w:cs="仿宋_GB2312"/>
            </w:rPr>
            <w:fldChar w:fldCharType="separate"/>
          </w:r>
          <w:r>
            <w:rPr>
              <w:rFonts w:hint="eastAsia" w:ascii="仿宋_GB2312" w:hAnsi="仿宋_GB2312" w:eastAsia="仿宋_GB2312" w:cs="仿宋_GB2312"/>
              <w:sz w:val="32"/>
              <w:szCs w:val="32"/>
            </w:rPr>
            <w:t>第三章 申报条件</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_Toc321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- 1 -</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0D94463A">
          <w:pPr>
            <w:pStyle w:val="37"/>
            <w:tabs>
              <w:tab w:val="right" w:leader="dot" w:pos="8300"/>
            </w:tabs>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"_Toc13527" </w:instrText>
          </w:r>
          <w:r>
            <w:rPr>
              <w:rFonts w:hint="eastAsia" w:ascii="仿宋_GB2312" w:hAnsi="仿宋_GB2312" w:eastAsia="仿宋_GB2312" w:cs="仿宋_GB2312"/>
            </w:rPr>
            <w:fldChar w:fldCharType="separate"/>
          </w:r>
          <w:r>
            <w:rPr>
              <w:rFonts w:hint="eastAsia" w:ascii="仿宋_GB2312" w:hAnsi="仿宋_GB2312" w:eastAsia="仿宋_GB2312" w:cs="仿宋_GB2312"/>
              <w:sz w:val="32"/>
              <w:szCs w:val="32"/>
            </w:rPr>
            <w:t xml:space="preserve">第四章 </w:t>
          </w:r>
          <w:r>
            <w:rPr>
              <w:rFonts w:hint="eastAsia" w:ascii="仿宋_GB2312" w:hAnsi="仿宋_GB2312" w:eastAsia="仿宋_GB2312" w:cs="仿宋_GB2312"/>
              <w:kern w:val="0"/>
              <w:sz w:val="32"/>
              <w:szCs w:val="32"/>
            </w:rPr>
            <w:t>评价原则</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_Toc13527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- 2 -</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5D1D1482">
          <w:pPr>
            <w:pStyle w:val="37"/>
            <w:tabs>
              <w:tab w:val="right" w:leader="dot" w:pos="8300"/>
            </w:tabs>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"_Toc25343" </w:instrText>
          </w:r>
          <w:r>
            <w:rPr>
              <w:rFonts w:hint="eastAsia" w:ascii="仿宋_GB2312" w:hAnsi="仿宋_GB2312" w:eastAsia="仿宋_GB2312" w:cs="仿宋_GB2312"/>
            </w:rPr>
            <w:fldChar w:fldCharType="separate"/>
          </w:r>
          <w:r>
            <w:rPr>
              <w:rFonts w:hint="eastAsia" w:ascii="仿宋_GB2312" w:hAnsi="仿宋_GB2312" w:eastAsia="仿宋_GB2312" w:cs="仿宋_GB2312"/>
              <w:sz w:val="32"/>
              <w:szCs w:val="32"/>
            </w:rPr>
            <w:t>第五章 评价内容</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_Toc25343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- 2 -</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604E64A0">
          <w:pPr>
            <w:pStyle w:val="37"/>
            <w:tabs>
              <w:tab w:val="right" w:leader="dot" w:pos="8300"/>
            </w:tabs>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"_Toc30395" </w:instrText>
          </w:r>
          <w:r>
            <w:rPr>
              <w:rFonts w:hint="eastAsia" w:ascii="仿宋_GB2312" w:hAnsi="仿宋_GB2312" w:eastAsia="仿宋_GB2312" w:cs="仿宋_GB2312"/>
            </w:rPr>
            <w:fldChar w:fldCharType="separate"/>
          </w:r>
          <w:r>
            <w:rPr>
              <w:rFonts w:hint="eastAsia" w:ascii="仿宋_GB2312" w:hAnsi="仿宋_GB2312" w:eastAsia="仿宋_GB2312" w:cs="仿宋_GB2312"/>
              <w:kern w:val="0"/>
              <w:sz w:val="32"/>
              <w:szCs w:val="32"/>
            </w:rPr>
            <w:t>第六章 入库程序</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_Toc30395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- 4 -</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206D267E">
          <w:pPr>
            <w:pStyle w:val="37"/>
            <w:tabs>
              <w:tab w:val="right" w:leader="dot" w:pos="8300"/>
            </w:tabs>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"_Toc13853" </w:instrText>
          </w:r>
          <w:r>
            <w:rPr>
              <w:rFonts w:hint="eastAsia" w:ascii="仿宋_GB2312" w:hAnsi="仿宋_GB2312" w:eastAsia="仿宋_GB2312" w:cs="仿宋_GB2312"/>
            </w:rPr>
            <w:fldChar w:fldCharType="separate"/>
          </w:r>
          <w:r>
            <w:rPr>
              <w:rFonts w:hint="eastAsia" w:ascii="仿宋_GB2312" w:hAnsi="仿宋_GB2312" w:eastAsia="仿宋_GB2312" w:cs="仿宋_GB2312"/>
              <w:kern w:val="0"/>
              <w:sz w:val="32"/>
              <w:szCs w:val="32"/>
            </w:rPr>
            <w:t>第七章 跟踪管理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_Toc13853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- 5 -</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0C74E3D7">
          <w:pPr>
            <w:pStyle w:val="37"/>
            <w:tabs>
              <w:tab w:val="right" w:leader="dot" w:pos="8300"/>
            </w:tabs>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"_Toc18597" </w:instrText>
          </w:r>
          <w:r>
            <w:rPr>
              <w:rFonts w:hint="eastAsia" w:ascii="仿宋_GB2312" w:hAnsi="仿宋_GB2312" w:eastAsia="仿宋_GB2312" w:cs="仿宋_GB2312"/>
            </w:rPr>
            <w:fldChar w:fldCharType="separate"/>
          </w:r>
          <w:r>
            <w:rPr>
              <w:rFonts w:hint="eastAsia" w:ascii="仿宋_GB2312" w:hAnsi="仿宋_GB2312" w:eastAsia="仿宋_GB2312" w:cs="仿宋_GB2312"/>
              <w:kern w:val="0"/>
              <w:sz w:val="32"/>
              <w:szCs w:val="32"/>
            </w:rPr>
            <w:t>第八章 附则</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_Toc18597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- 6 -</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1676629D">
          <w:pPr>
            <w:pStyle w:val="37"/>
            <w:tabs>
              <w:tab w:val="right" w:leader="dot" w:pos="8300"/>
            </w:tabs>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"_Toc7598" </w:instrText>
          </w:r>
          <w:r>
            <w:rPr>
              <w:rFonts w:hint="eastAsia" w:ascii="仿宋_GB2312" w:hAnsi="仿宋_GB2312" w:eastAsia="仿宋_GB2312" w:cs="仿宋_GB2312"/>
            </w:rPr>
            <w:fldChar w:fldCharType="separate"/>
          </w:r>
          <w:r>
            <w:rPr>
              <w:rFonts w:hint="eastAsia" w:ascii="仿宋_GB2312" w:hAnsi="仿宋_GB2312" w:eastAsia="仿宋_GB2312" w:cs="仿宋_GB2312"/>
              <w:kern w:val="44"/>
              <w:sz w:val="32"/>
              <w:szCs w:val="32"/>
            </w:rPr>
            <w:t>附件1</w:t>
          </w:r>
          <w:r>
            <w:rPr>
              <w:rFonts w:hint="eastAsia" w:ascii="仿宋_GB2312" w:hAnsi="仿宋_GB2312" w:eastAsia="仿宋_GB2312" w:cs="仿宋_GB2312"/>
              <w:sz w:val="32"/>
              <w:szCs w:val="32"/>
            </w:rPr>
            <w:t>密云区气候投融资项目评价指标体系</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_Toc7598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- 8 -</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6E76FF0A">
          <w:pPr>
            <w:pStyle w:val="37"/>
            <w:tabs>
              <w:tab w:val="right" w:leader="dot" w:pos="8300"/>
            </w:tabs>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"_Toc31174" </w:instrText>
          </w:r>
          <w:r>
            <w:rPr>
              <w:rFonts w:hint="eastAsia" w:ascii="仿宋_GB2312" w:hAnsi="仿宋_GB2312" w:eastAsia="仿宋_GB2312" w:cs="仿宋_GB2312"/>
            </w:rPr>
            <w:fldChar w:fldCharType="separate"/>
          </w:r>
          <w:r>
            <w:rPr>
              <w:rFonts w:hint="eastAsia" w:ascii="仿宋_GB2312" w:hAnsi="仿宋_GB2312" w:eastAsia="仿宋_GB2312" w:cs="仿宋_GB2312"/>
              <w:kern w:val="44"/>
              <w:sz w:val="32"/>
              <w:szCs w:val="32"/>
            </w:rPr>
            <w:t>附件2</w:t>
          </w:r>
          <w:r>
            <w:rPr>
              <w:rFonts w:hint="eastAsia" w:ascii="仿宋_GB2312" w:hAnsi="仿宋_GB2312" w:eastAsia="仿宋_GB2312" w:cs="仿宋_GB2312"/>
              <w:sz w:val="32"/>
              <w:szCs w:val="32"/>
            </w:rPr>
            <w:t>密云区气候投融资项目入库评价流程</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_Toc31174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- 41 -</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626E690D">
          <w:pPr>
            <w:pStyle w:val="37"/>
            <w:tabs>
              <w:tab w:val="right" w:leader="dot" w:pos="8300"/>
            </w:tabs>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"_Toc4920" </w:instrText>
          </w:r>
          <w:r>
            <w:rPr>
              <w:rFonts w:hint="eastAsia" w:ascii="仿宋_GB2312" w:hAnsi="仿宋_GB2312" w:eastAsia="仿宋_GB2312" w:cs="仿宋_GB2312"/>
            </w:rPr>
            <w:fldChar w:fldCharType="separate"/>
          </w:r>
          <w:r>
            <w:rPr>
              <w:rFonts w:hint="eastAsia" w:ascii="仿宋_GB2312" w:hAnsi="仿宋_GB2312" w:eastAsia="仿宋_GB2312" w:cs="仿宋_GB2312"/>
              <w:kern w:val="44"/>
              <w:sz w:val="32"/>
              <w:szCs w:val="32"/>
            </w:rPr>
            <w:t>附件3</w:t>
          </w:r>
          <w:r>
            <w:rPr>
              <w:rFonts w:hint="eastAsia" w:ascii="仿宋_GB2312" w:hAnsi="仿宋_GB2312" w:eastAsia="仿宋_GB2312" w:cs="仿宋_GB2312"/>
              <w:sz w:val="32"/>
              <w:szCs w:val="32"/>
            </w:rPr>
            <w:t>密云区气候投融资项目申报表</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_Toc4920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- 42 -</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7B266989">
          <w:pPr>
            <w:pStyle w:val="37"/>
            <w:tabs>
              <w:tab w:val="right" w:leader="dot" w:pos="8300"/>
            </w:tabs>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"_Toc14942" </w:instrText>
          </w:r>
          <w:r>
            <w:rPr>
              <w:rFonts w:hint="eastAsia" w:ascii="仿宋_GB2312" w:hAnsi="仿宋_GB2312" w:eastAsia="仿宋_GB2312" w:cs="仿宋_GB2312"/>
            </w:rPr>
            <w:fldChar w:fldCharType="separate"/>
          </w:r>
          <w:r>
            <w:rPr>
              <w:rFonts w:hint="eastAsia" w:ascii="仿宋_GB2312" w:hAnsi="仿宋_GB2312" w:eastAsia="仿宋_GB2312" w:cs="仿宋_GB2312"/>
              <w:kern w:val="44"/>
              <w:sz w:val="32"/>
              <w:szCs w:val="32"/>
            </w:rPr>
            <w:t>附件4</w:t>
          </w:r>
          <w:r>
            <w:rPr>
              <w:rFonts w:hint="eastAsia" w:ascii="仿宋_GB2312" w:hAnsi="仿宋_GB2312" w:eastAsia="仿宋_GB2312" w:cs="仿宋_GB2312"/>
              <w:sz w:val="32"/>
              <w:szCs w:val="32"/>
            </w:rPr>
            <w:t>密云区气候投融资项目评价报告</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_Toc14942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- 44 -</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13DCFEE5">
          <w:pPr>
            <w:ind w:firstLine="0" w:firstLineChars="0"/>
            <w:jc w:val="center"/>
            <w:rPr>
              <w:rFonts w:cs="Times New Roman"/>
              <w:szCs w:val="32"/>
            </w:rPr>
          </w:pPr>
          <w:r>
            <w:rPr>
              <w:rFonts w:cs="Times New Roman"/>
              <w:szCs w:val="32"/>
            </w:rPr>
            <w:fldChar w:fldCharType="end"/>
          </w:r>
        </w:p>
      </w:sdtContent>
    </w:sdt>
    <w:p w14:paraId="063713EA">
      <w:pPr>
        <w:ind w:firstLine="0" w:firstLineChars="0"/>
        <w:jc w:val="center"/>
        <w:rPr>
          <w:rFonts w:cs="Times New Roman"/>
          <w:szCs w:val="32"/>
        </w:rPr>
        <w:sectPr>
          <w:footerReference r:id="rId11" w:type="default"/>
          <w:pgSz w:w="11906" w:h="16838"/>
          <w:pgMar w:top="2098" w:right="1474" w:bottom="1984" w:left="1588" w:header="851" w:footer="992" w:gutter="0"/>
          <w:pgNumType w:fmt="numberInDash" w:start="1"/>
          <w:cols w:space="0" w:num="1"/>
          <w:docGrid w:type="lines" w:linePitch="436" w:charSpace="0"/>
        </w:sectPr>
      </w:pPr>
    </w:p>
    <w:p w14:paraId="3B5E891C">
      <w:pPr>
        <w:pStyle w:val="23"/>
        <w:widowControl/>
        <w:numPr>
          <w:ilvl w:val="0"/>
          <w:numId w:val="1"/>
        </w:numPr>
        <w:adjustRightInd w:val="0"/>
        <w:spacing w:before="218" w:beforeLines="50" w:after="218" w:afterLines="50"/>
        <w:ind w:left="0" w:firstLine="0"/>
        <w:jc w:val="center"/>
        <w:outlineLvl w:val="0"/>
        <w:rPr>
          <w:rFonts w:cs="Times New Roman"/>
          <w:sz w:val="36"/>
          <w:szCs w:val="36"/>
        </w:rPr>
      </w:pPr>
      <w:bookmarkStart w:id="1" w:name="_Toc23972"/>
      <w:r>
        <w:rPr>
          <w:rFonts w:eastAsia="黑体" w:cs="Times New Roman"/>
          <w:kern w:val="0"/>
          <w:sz w:val="36"/>
          <w:szCs w:val="36"/>
        </w:rPr>
        <w:t>总则</w:t>
      </w:r>
      <w:bookmarkEnd w:id="1"/>
    </w:p>
    <w:p w14:paraId="74731F6A">
      <w:pPr>
        <w:numPr>
          <w:ilvl w:val="0"/>
          <w:numId w:val="2"/>
        </w:numPr>
        <w:ind w:firstLine="640"/>
        <w:rPr>
          <w:rFonts w:hint="eastAsia" w:ascii="仿宋_GB2312" w:hAnsi="仿宋_GB2312" w:eastAsia="仿宋_GB2312" w:cs="仿宋_GB2312"/>
        </w:rPr>
      </w:pPr>
      <w:r>
        <w:rPr>
          <w:rFonts w:hint="eastAsia" w:ascii="仿宋_GB2312" w:hAnsi="仿宋_GB2312" w:eastAsia="仿宋_GB2312" w:cs="仿宋_GB2312"/>
          <w:szCs w:val="32"/>
        </w:rPr>
        <w:t>为进一步推进密云区气候投融资试点建设，以动员各类资本更好地响应国家和北京市应对气候变化战略目标，引导和促进更多资金投向应对气候变化领域，助力实现碳达峰、碳中和目标，根据《关于促进应对气候变化投融资的指导意见》（环气候〔2020〕57号）、《关于开展气候投融资试点工作的通知》（环办气候〔2021〕27号）、《气候投融资试点地方气候投融资项目入库参考标准》《北京市密云区气候投融资试点行动计划(2023-2025年)》等文件，结合密云区实际，制定本办法。</w:t>
      </w:r>
    </w:p>
    <w:p w14:paraId="1032B997">
      <w:pPr>
        <w:numPr>
          <w:ilvl w:val="0"/>
          <w:numId w:val="2"/>
        </w:numPr>
        <w:ind w:firstLine="640"/>
        <w:rPr>
          <w:rFonts w:cs="Times New Roman"/>
        </w:rPr>
      </w:pPr>
      <w:r>
        <w:rPr>
          <w:rFonts w:cs="Times New Roman"/>
        </w:rPr>
        <w:t>本</w:t>
      </w:r>
      <w:r>
        <w:rPr>
          <w:rFonts w:cs="Times New Roman"/>
          <w:szCs w:val="32"/>
        </w:rPr>
        <w:t>办法</w:t>
      </w:r>
      <w:r>
        <w:rPr>
          <w:rFonts w:cs="Times New Roman"/>
        </w:rPr>
        <w:t>适用于</w:t>
      </w:r>
      <w:r>
        <w:rPr>
          <w:rFonts w:cs="Times New Roman"/>
          <w:szCs w:val="32"/>
        </w:rPr>
        <w:t>密云区</w:t>
      </w:r>
      <w:r>
        <w:rPr>
          <w:rFonts w:cs="Times New Roman"/>
        </w:rPr>
        <w:t>气候投融资项目入库认定、评价</w:t>
      </w:r>
      <w:r>
        <w:rPr>
          <w:rFonts w:hint="eastAsia" w:cs="Times New Roman"/>
        </w:rPr>
        <w:t>和</w:t>
      </w:r>
      <w:r>
        <w:rPr>
          <w:rFonts w:cs="Times New Roman"/>
        </w:rPr>
        <w:t>管理</w:t>
      </w:r>
      <w:r>
        <w:rPr>
          <w:rFonts w:hint="eastAsia" w:cs="Times New Roman"/>
        </w:rPr>
        <w:t>等</w:t>
      </w:r>
      <w:r>
        <w:rPr>
          <w:rFonts w:cs="Times New Roman"/>
        </w:rPr>
        <w:t>。</w:t>
      </w:r>
    </w:p>
    <w:p w14:paraId="02CF1F1F">
      <w:pPr>
        <w:pStyle w:val="23"/>
        <w:numPr>
          <w:ilvl w:val="0"/>
          <w:numId w:val="1"/>
        </w:numPr>
        <w:ind w:left="0" w:firstLine="0"/>
        <w:jc w:val="center"/>
        <w:outlineLvl w:val="0"/>
        <w:rPr>
          <w:rFonts w:eastAsia="方正小标宋体" w:cs="Times New Roman"/>
          <w:kern w:val="0"/>
          <w:sz w:val="36"/>
          <w:szCs w:val="20"/>
        </w:rPr>
      </w:pPr>
      <w:bookmarkStart w:id="2" w:name="_Toc24328"/>
      <w:r>
        <w:rPr>
          <w:rFonts w:eastAsia="黑体" w:cs="Times New Roman"/>
          <w:kern w:val="0"/>
          <w:sz w:val="36"/>
          <w:szCs w:val="20"/>
        </w:rPr>
        <w:t>职责分工</w:t>
      </w:r>
      <w:bookmarkEnd w:id="2"/>
    </w:p>
    <w:p w14:paraId="6A3BDCEF">
      <w:pPr>
        <w:numPr>
          <w:ilvl w:val="0"/>
          <w:numId w:val="2"/>
        </w:numPr>
        <w:ind w:firstLine="640"/>
        <w:rPr>
          <w:rFonts w:hint="eastAsia" w:ascii="仿宋_GB2312" w:hAnsi="仿宋_GB2312" w:eastAsia="仿宋_GB2312" w:cs="仿宋_GB2312"/>
          <w:szCs w:val="32"/>
        </w:rPr>
      </w:pPr>
      <w:r>
        <w:rPr>
          <w:rFonts w:hint="eastAsia" w:ascii="仿宋_GB2312" w:hAnsi="仿宋_GB2312" w:eastAsia="仿宋_GB2312" w:cs="仿宋_GB2312"/>
          <w:szCs w:val="32"/>
        </w:rPr>
        <w:t>区生态环境局加强组织协调，负责统筹气候投融资项目库</w:t>
      </w:r>
      <w:r>
        <w:rPr>
          <w:rFonts w:hint="eastAsia" w:ascii="仿宋_GB2312" w:hAnsi="仿宋_GB2312" w:eastAsia="仿宋_GB2312" w:cs="仿宋_GB2312"/>
          <w:color w:val="000000" w:themeColor="text1"/>
          <w:kern w:val="0"/>
          <w:szCs w:val="32"/>
          <w14:textFill>
            <w14:solidFill>
              <w14:schemeClr w14:val="tx1"/>
            </w14:solidFill>
          </w14:textFill>
        </w:rPr>
        <w:t>（以下简称“项目库”）</w:t>
      </w:r>
      <w:r>
        <w:rPr>
          <w:rFonts w:hint="eastAsia" w:ascii="仿宋_GB2312" w:hAnsi="仿宋_GB2312" w:eastAsia="仿宋_GB2312" w:cs="仿宋_GB2312"/>
          <w:szCs w:val="32"/>
        </w:rPr>
        <w:t>的建设和管理，各相关单位按照《北京市密云区气候投融资试点行动计划(2023-2025年)》责任分工开展项目来源储备、定向推荐、组织申报和监督管理工作，并参与气候投融资示范项目评定等工作。</w:t>
      </w:r>
    </w:p>
    <w:p w14:paraId="6D9E8FD3">
      <w:pPr>
        <w:pStyle w:val="23"/>
        <w:numPr>
          <w:ilvl w:val="0"/>
          <w:numId w:val="1"/>
        </w:numPr>
        <w:ind w:left="0" w:firstLine="0"/>
        <w:jc w:val="center"/>
        <w:outlineLvl w:val="0"/>
        <w:rPr>
          <w:rFonts w:eastAsia="黑体" w:cs="Times New Roman"/>
          <w:szCs w:val="32"/>
        </w:rPr>
      </w:pPr>
      <w:bookmarkStart w:id="3" w:name="_Toc321"/>
      <w:r>
        <w:rPr>
          <w:rFonts w:eastAsia="黑体" w:cs="Times New Roman"/>
          <w:sz w:val="36"/>
          <w:szCs w:val="36"/>
        </w:rPr>
        <w:t>申报条件</w:t>
      </w:r>
      <w:bookmarkEnd w:id="3"/>
    </w:p>
    <w:p w14:paraId="61D52CF1">
      <w:pPr>
        <w:numPr>
          <w:ilvl w:val="0"/>
          <w:numId w:val="2"/>
        </w:numPr>
        <w:ind w:firstLine="640"/>
        <w:rPr>
          <w:rFonts w:hint="eastAsia" w:ascii="仿宋_GB2312" w:hAnsi="仿宋_GB2312" w:eastAsia="仿宋_GB2312" w:cs="仿宋_GB2312"/>
          <w:szCs w:val="32"/>
        </w:rPr>
      </w:pPr>
      <w:r>
        <w:rPr>
          <w:rFonts w:hint="eastAsia" w:ascii="仿宋_GB2312" w:hAnsi="仿宋_GB2312" w:eastAsia="仿宋_GB2312" w:cs="仿宋_GB2312"/>
          <w:szCs w:val="32"/>
        </w:rPr>
        <w:t>密云区气候投融资项目须同时符合以下条件：</w:t>
      </w:r>
    </w:p>
    <w:p w14:paraId="21FFC6AD">
      <w:pPr>
        <w:numPr>
          <w:ilvl w:val="0"/>
          <w:numId w:val="3"/>
        </w:numPr>
        <w:rPr>
          <w:rFonts w:hint="eastAsia" w:ascii="仿宋_GB2312" w:hAnsi="仿宋_GB2312" w:eastAsia="仿宋_GB2312" w:cs="仿宋_GB2312"/>
          <w:szCs w:val="32"/>
        </w:rPr>
      </w:pPr>
      <w:r>
        <w:rPr>
          <w:rFonts w:hint="eastAsia" w:ascii="仿宋_GB2312" w:hAnsi="仿宋_GB2312" w:eastAsia="仿宋_GB2312" w:cs="仿宋_GB2312"/>
          <w:szCs w:val="32"/>
        </w:rPr>
        <w:t>项目实施地位于密云区范围内；</w:t>
      </w:r>
    </w:p>
    <w:p w14:paraId="1A839A02">
      <w:pPr>
        <w:numPr>
          <w:ilvl w:val="0"/>
          <w:numId w:val="3"/>
        </w:numPr>
        <w:rPr>
          <w:rFonts w:hint="eastAsia" w:ascii="仿宋_GB2312" w:hAnsi="仿宋_GB2312" w:eastAsia="仿宋_GB2312" w:cs="仿宋_GB2312"/>
          <w:szCs w:val="32"/>
        </w:rPr>
      </w:pPr>
      <w:r>
        <w:rPr>
          <w:rFonts w:hint="eastAsia" w:ascii="仿宋_GB2312" w:hAnsi="仿宋_GB2312" w:eastAsia="仿宋_GB2312" w:cs="仿宋_GB2312"/>
        </w:rPr>
        <w:t>符合附件1</w:t>
      </w:r>
      <w:r>
        <w:rPr>
          <w:rFonts w:hint="eastAsia" w:ascii="仿宋_GB2312" w:hAnsi="仿宋_GB2312" w:eastAsia="仿宋_GB2312" w:cs="仿宋_GB2312"/>
          <w:szCs w:val="32"/>
        </w:rPr>
        <w:t>《北京市密云区气候投融资项目分类目录（生态涵养区</w:t>
      </w:r>
      <w:r>
        <w:rPr>
          <w:rFonts w:hint="eastAsia" w:ascii="仿宋_GB2312" w:hAnsi="仿宋_GB2312" w:eastAsia="仿宋_GB2312" w:cs="仿宋_GB2312"/>
          <w:szCs w:val="32"/>
          <w:lang w:val="en-US" w:eastAsia="zh-CN"/>
        </w:rPr>
        <w:t xml:space="preserve"> 试行</w:t>
      </w:r>
      <w:r>
        <w:rPr>
          <w:rFonts w:hint="eastAsia" w:ascii="仿宋_GB2312" w:hAnsi="仿宋_GB2312" w:eastAsia="仿宋_GB2312" w:cs="仿宋_GB2312"/>
          <w:szCs w:val="32"/>
        </w:rPr>
        <w:t>）》范围；</w:t>
      </w:r>
    </w:p>
    <w:p w14:paraId="5C14A01E">
      <w:pPr>
        <w:numPr>
          <w:ilvl w:val="0"/>
          <w:numId w:val="3"/>
        </w:numPr>
        <w:jc w:val="left"/>
        <w:rPr>
          <w:rFonts w:hint="eastAsia" w:ascii="仿宋_GB2312" w:hAnsi="仿宋_GB2312" w:eastAsia="仿宋_GB2312" w:cs="仿宋_GB2312"/>
        </w:rPr>
      </w:pPr>
      <w:r>
        <w:rPr>
          <w:rFonts w:hint="eastAsia" w:ascii="仿宋_GB2312" w:hAnsi="仿宋_GB2312" w:eastAsia="仿宋_GB2312" w:cs="仿宋_GB2312"/>
          <w:szCs w:val="32"/>
        </w:rPr>
        <w:t>符合国家、地区、行业相关政策、标准、规范等要求；</w:t>
      </w:r>
    </w:p>
    <w:p w14:paraId="64D3B311">
      <w:pPr>
        <w:numPr>
          <w:ilvl w:val="0"/>
          <w:numId w:val="3"/>
        </w:numPr>
        <w:jc w:val="left"/>
        <w:rPr>
          <w:rFonts w:hint="eastAsia" w:ascii="仿宋_GB2312" w:hAnsi="仿宋_GB2312" w:eastAsia="仿宋_GB2312" w:cs="仿宋_GB2312"/>
          <w:szCs w:val="32"/>
        </w:rPr>
      </w:pPr>
      <w:r>
        <w:rPr>
          <w:rFonts w:hint="eastAsia" w:ascii="仿宋_GB2312" w:hAnsi="仿宋_GB2312" w:eastAsia="仿宋_GB2312" w:cs="仿宋_GB2312"/>
          <w:szCs w:val="32"/>
        </w:rPr>
        <w:t>具有减缓或者适应气候变化效益。</w:t>
      </w:r>
    </w:p>
    <w:p w14:paraId="19DC56AA">
      <w:pPr>
        <w:numPr>
          <w:ilvl w:val="0"/>
          <w:numId w:val="2"/>
        </w:numPr>
        <w:ind w:firstLine="640"/>
        <w:rPr>
          <w:rFonts w:hint="eastAsia" w:ascii="仿宋_GB2312" w:hAnsi="仿宋_GB2312" w:eastAsia="仿宋_GB2312" w:cs="仿宋_GB2312"/>
          <w:szCs w:val="32"/>
        </w:rPr>
      </w:pPr>
      <w:r>
        <w:rPr>
          <w:rFonts w:hint="eastAsia" w:ascii="仿宋_GB2312" w:hAnsi="仿宋_GB2312" w:eastAsia="仿宋_GB2312" w:cs="仿宋_GB2312"/>
          <w:szCs w:val="32"/>
        </w:rPr>
        <w:t>密云区气候投融资项目主体须同时符合以下条件：</w:t>
      </w:r>
    </w:p>
    <w:p w14:paraId="703C8406">
      <w:pPr>
        <w:numPr>
          <w:ilvl w:val="255"/>
          <w:numId w:val="0"/>
        </w:numPr>
        <w:ind w:firstLine="640"/>
        <w:rPr>
          <w:rFonts w:hint="eastAsia" w:ascii="仿宋_GB2312" w:hAnsi="仿宋_GB2312" w:eastAsia="仿宋_GB2312" w:cs="仿宋_GB2312"/>
          <w:szCs w:val="32"/>
        </w:rPr>
      </w:pPr>
      <w:r>
        <w:rPr>
          <w:rFonts w:hint="eastAsia" w:ascii="仿宋_GB2312" w:hAnsi="仿宋_GB2312" w:eastAsia="仿宋_GB2312" w:cs="仿宋_GB2312"/>
          <w:szCs w:val="32"/>
        </w:rPr>
        <w:t>（一）</w:t>
      </w:r>
      <w:r>
        <w:rPr>
          <w:rFonts w:hint="eastAsia" w:ascii="仿宋_GB2312" w:hAnsi="仿宋_GB2312" w:eastAsia="仿宋_GB2312" w:cs="仿宋_GB2312"/>
          <w:szCs w:val="32"/>
          <w:shd w:val="clear" w:color="auto" w:fill="FFFFFF"/>
        </w:rPr>
        <w:t>依法设立，证照齐全，具有独立承担民事责任的能力，健全的财务制度且实行独立核算的企业或其他机构；</w:t>
      </w:r>
    </w:p>
    <w:p w14:paraId="6863D6ED">
      <w:pPr>
        <w:numPr>
          <w:ilvl w:val="255"/>
          <w:numId w:val="0"/>
        </w:numPr>
        <w:ind w:left="624"/>
        <w:rPr>
          <w:rFonts w:hint="eastAsia" w:ascii="仿宋_GB2312" w:hAnsi="仿宋_GB2312" w:eastAsia="仿宋_GB2312" w:cs="仿宋_GB2312"/>
          <w:szCs w:val="32"/>
        </w:rPr>
      </w:pPr>
      <w:r>
        <w:rPr>
          <w:rFonts w:hint="eastAsia" w:ascii="仿宋_GB2312" w:hAnsi="仿宋_GB2312" w:eastAsia="仿宋_GB2312" w:cs="仿宋_GB2312"/>
          <w:szCs w:val="32"/>
        </w:rPr>
        <w:t>（二）未被纳入失信联合惩戒名单、严重失信主体名单；</w:t>
      </w:r>
    </w:p>
    <w:p w14:paraId="26136C06">
      <w:pPr>
        <w:numPr>
          <w:ilvl w:val="255"/>
          <w:numId w:val="0"/>
        </w:numPr>
        <w:ind w:firstLine="640" w:firstLineChars="200"/>
        <w:rPr>
          <w:rFonts w:hint="eastAsia" w:ascii="仿宋_GB2312" w:hAnsi="仿宋_GB2312" w:eastAsia="仿宋_GB2312" w:cs="仿宋_GB2312"/>
          <w:szCs w:val="32"/>
        </w:rPr>
      </w:pPr>
      <w:r>
        <w:rPr>
          <w:rFonts w:hint="eastAsia" w:ascii="仿宋_GB2312" w:hAnsi="仿宋_GB2312" w:eastAsia="仿宋_GB2312" w:cs="仿宋_GB2312"/>
          <w:szCs w:val="32"/>
        </w:rPr>
        <w:t>（三）近3年（未满3年的从成立之日起）内未发生重大安全、环境、质量事故；</w:t>
      </w:r>
    </w:p>
    <w:p w14:paraId="5C526EF5">
      <w:pPr>
        <w:numPr>
          <w:ilvl w:val="255"/>
          <w:numId w:val="0"/>
        </w:numPr>
        <w:ind w:firstLine="640" w:firstLineChars="200"/>
        <w:jc w:val="left"/>
        <w:rPr>
          <w:rFonts w:hint="eastAsia" w:ascii="仿宋_GB2312" w:hAnsi="仿宋_GB2312" w:eastAsia="仿宋_GB2312" w:cs="仿宋_GB2312"/>
        </w:rPr>
      </w:pPr>
      <w:r>
        <w:rPr>
          <w:rFonts w:hint="eastAsia" w:ascii="仿宋_GB2312" w:hAnsi="仿宋_GB2312" w:eastAsia="仿宋_GB2312" w:cs="仿宋_GB2312"/>
          <w:szCs w:val="32"/>
        </w:rPr>
        <w:t>（四）未发生较严重及以上程度的生态环境失信行为，或相关失信行为已完成信用修复。</w:t>
      </w:r>
    </w:p>
    <w:p w14:paraId="1CC4ECE2">
      <w:pPr>
        <w:pStyle w:val="23"/>
        <w:numPr>
          <w:ilvl w:val="0"/>
          <w:numId w:val="1"/>
        </w:numPr>
        <w:ind w:left="0" w:firstLine="0"/>
        <w:jc w:val="center"/>
        <w:outlineLvl w:val="0"/>
        <w:rPr>
          <w:rFonts w:cs="Times New Roman"/>
        </w:rPr>
      </w:pPr>
      <w:bookmarkStart w:id="4" w:name="_Toc13527"/>
      <w:r>
        <w:rPr>
          <w:rFonts w:eastAsia="黑体" w:cs="Times New Roman"/>
          <w:kern w:val="0"/>
          <w:sz w:val="36"/>
          <w:szCs w:val="20"/>
        </w:rPr>
        <w:t>评价原则</w:t>
      </w:r>
      <w:bookmarkEnd w:id="4"/>
    </w:p>
    <w:p w14:paraId="64C988EC">
      <w:pPr>
        <w:numPr>
          <w:ilvl w:val="0"/>
          <w:numId w:val="2"/>
        </w:numPr>
        <w:ind w:firstLine="640"/>
        <w:rPr>
          <w:rFonts w:cs="Times New Roman"/>
          <w:szCs w:val="32"/>
        </w:rPr>
      </w:pPr>
      <w:r>
        <w:rPr>
          <w:rFonts w:cs="Times New Roman"/>
          <w:szCs w:val="32"/>
        </w:rPr>
        <w:t>气候投融资项目评价应遵循科学、审慎、独立的原则。</w:t>
      </w:r>
    </w:p>
    <w:p w14:paraId="58360D3D">
      <w:pPr>
        <w:numPr>
          <w:ilvl w:val="0"/>
          <w:numId w:val="4"/>
        </w:numPr>
        <w:ind w:firstLine="640"/>
        <w:rPr>
          <w:rFonts w:cs="Times New Roman"/>
          <w:szCs w:val="32"/>
        </w:rPr>
      </w:pPr>
      <w:r>
        <w:rPr>
          <w:rFonts w:cs="Times New Roman"/>
          <w:szCs w:val="32"/>
        </w:rPr>
        <w:t>科学性。充分考虑气候变化应对领域的复杂性和多样性，依据科学的评价方法和标准，对项目的气候效益、经济效益及可持续发展影响进行全面、客观</w:t>
      </w:r>
      <w:r>
        <w:rPr>
          <w:rFonts w:hint="eastAsia" w:cs="Times New Roman"/>
          <w:szCs w:val="32"/>
        </w:rPr>
        <w:t>评价</w:t>
      </w:r>
      <w:r>
        <w:rPr>
          <w:rFonts w:cs="Times New Roman"/>
          <w:szCs w:val="32"/>
        </w:rPr>
        <w:t>。</w:t>
      </w:r>
    </w:p>
    <w:p w14:paraId="39C17375">
      <w:pPr>
        <w:numPr>
          <w:ilvl w:val="0"/>
          <w:numId w:val="4"/>
        </w:numPr>
        <w:ind w:firstLine="640"/>
        <w:rPr>
          <w:rFonts w:cs="Times New Roman"/>
          <w:szCs w:val="32"/>
        </w:rPr>
      </w:pPr>
      <w:r>
        <w:rPr>
          <w:rFonts w:cs="Times New Roman"/>
          <w:szCs w:val="32"/>
        </w:rPr>
        <w:t>审慎性。充分考虑项目实施可行性和潜在风险。对于基础数据不完整或存在不确定性的项目，应严格审查并说明无法作出认定结论。</w:t>
      </w:r>
    </w:p>
    <w:p w14:paraId="01A1B992">
      <w:pPr>
        <w:numPr>
          <w:ilvl w:val="0"/>
          <w:numId w:val="4"/>
        </w:numPr>
        <w:ind w:firstLine="640"/>
        <w:rPr>
          <w:rFonts w:cs="Times New Roman"/>
          <w:szCs w:val="32"/>
        </w:rPr>
      </w:pPr>
      <w:r>
        <w:rPr>
          <w:rFonts w:cs="Times New Roman"/>
          <w:szCs w:val="32"/>
        </w:rPr>
        <w:t>独立性。评价机构应具有</w:t>
      </w:r>
      <w:r>
        <w:rPr>
          <w:rFonts w:hint="eastAsia" w:cs="Times New Roman"/>
          <w:szCs w:val="32"/>
        </w:rPr>
        <w:t>评价</w:t>
      </w:r>
      <w:r>
        <w:rPr>
          <w:rFonts w:cs="Times New Roman"/>
          <w:szCs w:val="32"/>
        </w:rPr>
        <w:t>独立性，确保评价过程</w:t>
      </w:r>
      <w:r>
        <w:rPr>
          <w:rFonts w:hint="eastAsia" w:cs="Times New Roman"/>
          <w:szCs w:val="32"/>
        </w:rPr>
        <w:t>和结果</w:t>
      </w:r>
      <w:r>
        <w:rPr>
          <w:rFonts w:cs="Times New Roman"/>
          <w:szCs w:val="32"/>
        </w:rPr>
        <w:t>不受任何利益相关方干扰。</w:t>
      </w:r>
    </w:p>
    <w:p w14:paraId="20CE18D8">
      <w:pPr>
        <w:pStyle w:val="23"/>
        <w:numPr>
          <w:ilvl w:val="0"/>
          <w:numId w:val="1"/>
        </w:numPr>
        <w:ind w:left="0" w:firstLine="0"/>
        <w:jc w:val="center"/>
        <w:outlineLvl w:val="0"/>
        <w:rPr>
          <w:rFonts w:eastAsia="黑体" w:cs="Times New Roman"/>
          <w:szCs w:val="32"/>
        </w:rPr>
      </w:pPr>
      <w:bookmarkStart w:id="5" w:name="_Toc25343"/>
      <w:r>
        <w:rPr>
          <w:rFonts w:eastAsia="黑体" w:cs="Times New Roman"/>
          <w:sz w:val="36"/>
          <w:szCs w:val="36"/>
        </w:rPr>
        <w:t>评价</w:t>
      </w:r>
      <w:r>
        <w:rPr>
          <w:rFonts w:hint="eastAsia" w:eastAsia="黑体" w:cs="Times New Roman"/>
          <w:sz w:val="36"/>
          <w:szCs w:val="36"/>
        </w:rPr>
        <w:t>内容</w:t>
      </w:r>
      <w:bookmarkEnd w:id="5"/>
    </w:p>
    <w:p w14:paraId="07094602">
      <w:pPr>
        <w:numPr>
          <w:ilvl w:val="0"/>
          <w:numId w:val="2"/>
        </w:numPr>
        <w:ind w:firstLine="640"/>
        <w:rPr>
          <w:rFonts w:hint="eastAsia" w:ascii="仿宋_GB2312" w:hAnsi="仿宋_GB2312" w:eastAsia="仿宋_GB2312" w:cs="仿宋_GB2312"/>
          <w:szCs w:val="32"/>
        </w:rPr>
      </w:pPr>
      <w:r>
        <w:rPr>
          <w:rFonts w:hint="eastAsia" w:ascii="仿宋_GB2312" w:hAnsi="仿宋_GB2312" w:eastAsia="仿宋_GB2312" w:cs="仿宋_GB2312"/>
          <w:szCs w:val="32"/>
        </w:rPr>
        <w:t>气候投融资项目依据《密云区气候投融资项目评价指标体系》（详见附件2，以下简称《项目评价指标体系》）进行评价，评价内容包括：约束指标评价、等级评价和优秀案例评价。</w:t>
      </w:r>
    </w:p>
    <w:p w14:paraId="7826656F">
      <w:pPr>
        <w:numPr>
          <w:ilvl w:val="0"/>
          <w:numId w:val="2"/>
        </w:numPr>
        <w:ind w:firstLine="640"/>
        <w:rPr>
          <w:rFonts w:hint="eastAsia" w:ascii="仿宋_GB2312" w:hAnsi="仿宋_GB2312" w:eastAsia="仿宋_GB2312" w:cs="仿宋_GB2312"/>
        </w:rPr>
      </w:pPr>
      <w:r>
        <w:rPr>
          <w:rFonts w:hint="eastAsia" w:ascii="仿宋_GB2312" w:hAnsi="仿宋_GB2312" w:eastAsia="仿宋_GB2312" w:cs="仿宋_GB2312"/>
          <w:szCs w:val="32"/>
        </w:rPr>
        <w:t>约束指标评价。约束指标评价</w:t>
      </w:r>
      <w:r>
        <w:rPr>
          <w:rFonts w:hint="eastAsia" w:ascii="仿宋_GB2312" w:hAnsi="仿宋_GB2312" w:eastAsia="仿宋_GB2312" w:cs="仿宋_GB2312"/>
        </w:rPr>
        <w:t>依据约束指标</w:t>
      </w:r>
      <w:r>
        <w:rPr>
          <w:rFonts w:hint="eastAsia" w:ascii="仿宋_GB2312" w:hAnsi="仿宋_GB2312" w:eastAsia="仿宋_GB2312" w:cs="仿宋_GB2312"/>
          <w:szCs w:val="32"/>
        </w:rPr>
        <w:t>（详见附件2-1）开展</w:t>
      </w:r>
      <w:r>
        <w:rPr>
          <w:rFonts w:hint="eastAsia" w:ascii="仿宋_GB2312" w:hAnsi="仿宋_GB2312" w:eastAsia="仿宋_GB2312" w:cs="仿宋_GB2312"/>
        </w:rPr>
        <w:t>，</w:t>
      </w:r>
      <w:r>
        <w:rPr>
          <w:rFonts w:hint="eastAsia" w:ascii="仿宋_GB2312" w:hAnsi="仿宋_GB2312" w:eastAsia="仿宋_GB2312" w:cs="仿宋_GB2312"/>
          <w:szCs w:val="32"/>
        </w:rPr>
        <w:t>包括项目基本条件审核、</w:t>
      </w:r>
      <w:r>
        <w:rPr>
          <w:rFonts w:hint="eastAsia" w:ascii="仿宋_GB2312" w:hAnsi="仿宋_GB2312" w:eastAsia="仿宋_GB2312" w:cs="仿宋_GB2312"/>
        </w:rPr>
        <w:t>项目主体基本条件审核。</w:t>
      </w:r>
      <w:r>
        <w:rPr>
          <w:rFonts w:hint="eastAsia" w:ascii="仿宋_GB2312" w:hAnsi="仿宋_GB2312" w:eastAsia="仿宋_GB2312" w:cs="仿宋_GB2312"/>
          <w:szCs w:val="32"/>
        </w:rPr>
        <w:t>约束指标评价是等级评价的前置流程，实行一票否决制。</w:t>
      </w:r>
    </w:p>
    <w:p w14:paraId="134210D8">
      <w:pPr>
        <w:numPr>
          <w:ilvl w:val="0"/>
          <w:numId w:val="5"/>
        </w:numPr>
        <w:ind w:firstLineChars="0"/>
        <w:rPr>
          <w:rFonts w:hint="eastAsia" w:ascii="仿宋_GB2312" w:hAnsi="仿宋_GB2312" w:eastAsia="仿宋_GB2312" w:cs="仿宋_GB2312"/>
        </w:rPr>
      </w:pPr>
      <w:r>
        <w:rPr>
          <w:rFonts w:hint="eastAsia" w:ascii="仿宋_GB2312" w:hAnsi="仿宋_GB2312" w:eastAsia="仿宋_GB2312" w:cs="仿宋_GB2312"/>
        </w:rPr>
        <w:t>项目基本条件审核：依据申报条件对项目建设地点、项目类别符合性、项目合规性进行审核，如任一指标不符合，则终止评价。</w:t>
      </w:r>
    </w:p>
    <w:p w14:paraId="1179383C">
      <w:pPr>
        <w:numPr>
          <w:ilvl w:val="0"/>
          <w:numId w:val="5"/>
        </w:numPr>
        <w:ind w:firstLineChars="0"/>
        <w:rPr>
          <w:rFonts w:hint="eastAsia" w:ascii="仿宋_GB2312" w:hAnsi="仿宋_GB2312" w:eastAsia="仿宋_GB2312" w:cs="仿宋_GB2312"/>
        </w:rPr>
      </w:pPr>
      <w:r>
        <w:rPr>
          <w:rFonts w:hint="eastAsia" w:ascii="仿宋_GB2312" w:hAnsi="仿宋_GB2312" w:eastAsia="仿宋_GB2312" w:cs="仿宋_GB2312"/>
        </w:rPr>
        <w:t>项目主体基本条件审核：依据申报条件对项目主体证照及存续期，信用，环境、安全、质量管理合规性进行评价，如任一指标不符合，则终止评价。</w:t>
      </w:r>
    </w:p>
    <w:p w14:paraId="142DF161">
      <w:pPr>
        <w:numPr>
          <w:ilvl w:val="0"/>
          <w:numId w:val="2"/>
        </w:numPr>
        <w:ind w:firstLine="640"/>
        <w:rPr>
          <w:rFonts w:hint="eastAsia" w:ascii="仿宋_GB2312" w:hAnsi="仿宋_GB2312" w:eastAsia="仿宋_GB2312" w:cs="仿宋_GB2312"/>
        </w:rPr>
      </w:pPr>
      <w:r>
        <w:rPr>
          <w:rFonts w:hint="eastAsia" w:ascii="仿宋_GB2312" w:hAnsi="仿宋_GB2312" w:eastAsia="仿宋_GB2312" w:cs="仿宋_GB2312"/>
          <w:szCs w:val="32"/>
        </w:rPr>
        <w:t>等级评价。等级评价依据评分指标对项目进行综合评分，依据综合评分对项目进行入库判别及等级划分。等级评价对减缓气候变化项目（以下简称“减缓类项目”）和适应气候变化项目（以下简称“适应类项目”）进行分类评价，是项目纳入项目库的重要依据。</w:t>
      </w:r>
    </w:p>
    <w:p w14:paraId="5877B9DE">
      <w:pPr>
        <w:numPr>
          <w:ilvl w:val="0"/>
          <w:numId w:val="6"/>
        </w:numPr>
        <w:ind w:firstLineChars="0"/>
        <w:rPr>
          <w:rFonts w:hint="eastAsia" w:ascii="仿宋_GB2312" w:hAnsi="仿宋_GB2312" w:eastAsia="仿宋_GB2312" w:cs="仿宋_GB2312"/>
          <w:szCs w:val="32"/>
        </w:rPr>
      </w:pPr>
      <w:r>
        <w:rPr>
          <w:rFonts w:hint="eastAsia" w:ascii="仿宋_GB2312" w:hAnsi="仿宋_GB2312" w:eastAsia="仿宋_GB2312" w:cs="仿宋_GB2312"/>
          <w:szCs w:val="32"/>
        </w:rPr>
        <w:t>减缓类项目等级评价：包括约束性指标评分、气候效益评分、经济效益评分、可持续发展影响评分（具体评价指标和评分细则详见附件2-2）。</w:t>
      </w:r>
    </w:p>
    <w:p w14:paraId="4A0A0C62">
      <w:pPr>
        <w:numPr>
          <w:ilvl w:val="0"/>
          <w:numId w:val="6"/>
        </w:numPr>
        <w:ind w:firstLineChars="0"/>
        <w:rPr>
          <w:rFonts w:hint="eastAsia" w:ascii="仿宋_GB2312" w:hAnsi="仿宋_GB2312" w:eastAsia="仿宋_GB2312" w:cs="仿宋_GB2312"/>
        </w:rPr>
      </w:pPr>
      <w:r>
        <w:rPr>
          <w:rFonts w:hint="eastAsia" w:ascii="仿宋_GB2312" w:hAnsi="仿宋_GB2312" w:eastAsia="仿宋_GB2312" w:cs="仿宋_GB2312"/>
          <w:szCs w:val="32"/>
        </w:rPr>
        <w:t>适应类项目等级评价：包括约束性指标评分、气候效益评分、可持续发展影响评分（具体评价指标和评分细则详见附件2-3）。</w:t>
      </w:r>
    </w:p>
    <w:p w14:paraId="32ECA247">
      <w:pPr>
        <w:numPr>
          <w:ilvl w:val="0"/>
          <w:numId w:val="6"/>
        </w:numPr>
        <w:ind w:firstLineChars="0"/>
        <w:rPr>
          <w:rFonts w:hint="eastAsia" w:ascii="仿宋_GB2312" w:hAnsi="仿宋_GB2312" w:eastAsia="仿宋_GB2312" w:cs="仿宋_GB2312"/>
        </w:rPr>
      </w:pPr>
      <w:r>
        <w:rPr>
          <w:rFonts w:hint="eastAsia" w:ascii="仿宋_GB2312" w:hAnsi="仿宋_GB2312" w:eastAsia="仿宋_GB2312" w:cs="仿宋_GB2312"/>
          <w:szCs w:val="32"/>
        </w:rPr>
        <w:t>项目等级划分及入库标准。评分指标满分为100分，综合评分高于60分（含）的项目纳入项目库。项目等级包括A、B、C三个等级：</w:t>
      </w:r>
    </w:p>
    <w:p w14:paraId="500BA13C">
      <w:pPr>
        <w:numPr>
          <w:ilvl w:val="255"/>
          <w:numId w:val="0"/>
        </w:numPr>
        <w:ind w:firstLine="640"/>
        <w:rPr>
          <w:rFonts w:hint="eastAsia" w:ascii="仿宋_GB2312" w:hAnsi="仿宋_GB2312" w:eastAsia="仿宋_GB2312" w:cs="仿宋_GB2312"/>
          <w:szCs w:val="32"/>
        </w:rPr>
      </w:pPr>
      <w:r>
        <w:rPr>
          <w:rFonts w:hint="eastAsia" w:ascii="仿宋_GB2312" w:hAnsi="仿宋_GB2312" w:eastAsia="仿宋_GB2312" w:cs="仿宋_GB2312"/>
          <w:szCs w:val="32"/>
        </w:rPr>
        <w:t>A级项目：综合评分≥85分，指具有十分显著气候效益、经济效益、可持续发展影响的项目；</w:t>
      </w:r>
    </w:p>
    <w:p w14:paraId="388CB2F5">
      <w:pPr>
        <w:numPr>
          <w:ilvl w:val="255"/>
          <w:numId w:val="0"/>
        </w:numPr>
        <w:ind w:firstLine="640"/>
        <w:rPr>
          <w:rFonts w:hint="eastAsia" w:ascii="仿宋_GB2312" w:hAnsi="仿宋_GB2312" w:eastAsia="仿宋_GB2312" w:cs="仿宋_GB2312"/>
          <w:szCs w:val="32"/>
        </w:rPr>
      </w:pPr>
      <w:r>
        <w:rPr>
          <w:rFonts w:hint="eastAsia" w:ascii="仿宋_GB2312" w:hAnsi="仿宋_GB2312" w:eastAsia="仿宋_GB2312" w:cs="仿宋_GB2312"/>
          <w:szCs w:val="32"/>
        </w:rPr>
        <w:t>B级项目：70分≤综合评分＜85分，指具有较为显著气候效益、经济效益、可持续发展影响的项目；</w:t>
      </w:r>
    </w:p>
    <w:p w14:paraId="3EA0CD40">
      <w:pPr>
        <w:numPr>
          <w:ilvl w:val="255"/>
          <w:numId w:val="0"/>
        </w:numPr>
        <w:ind w:firstLine="640"/>
        <w:rPr>
          <w:rFonts w:hint="eastAsia" w:ascii="仿宋_GB2312" w:hAnsi="仿宋_GB2312" w:eastAsia="仿宋_GB2312" w:cs="仿宋_GB2312"/>
          <w:szCs w:val="32"/>
        </w:rPr>
      </w:pPr>
      <w:r>
        <w:rPr>
          <w:rFonts w:hint="eastAsia" w:ascii="仿宋_GB2312" w:hAnsi="仿宋_GB2312" w:eastAsia="仿宋_GB2312" w:cs="仿宋_GB2312"/>
          <w:szCs w:val="32"/>
        </w:rPr>
        <w:t>C级项目：60≤综合评分＜70分，指具有一定气候效益、经济效益、可持续发展影响的项目。</w:t>
      </w:r>
    </w:p>
    <w:p w14:paraId="0F12E937">
      <w:pPr>
        <w:pStyle w:val="23"/>
        <w:numPr>
          <w:ilvl w:val="0"/>
          <w:numId w:val="1"/>
        </w:numPr>
        <w:ind w:firstLine="0"/>
        <w:jc w:val="center"/>
        <w:outlineLvl w:val="0"/>
        <w:rPr>
          <w:rFonts w:eastAsia="黑体" w:cs="Times New Roman"/>
          <w:kern w:val="0"/>
          <w:sz w:val="36"/>
          <w:szCs w:val="20"/>
        </w:rPr>
      </w:pPr>
      <w:bookmarkStart w:id="6" w:name="_Toc30395"/>
      <w:r>
        <w:rPr>
          <w:rFonts w:eastAsia="黑体" w:cs="Times New Roman"/>
          <w:kern w:val="0"/>
          <w:sz w:val="36"/>
          <w:szCs w:val="20"/>
        </w:rPr>
        <w:t>入库程序</w:t>
      </w:r>
      <w:bookmarkEnd w:id="6"/>
    </w:p>
    <w:p w14:paraId="523D9758">
      <w:pPr>
        <w:numPr>
          <w:ilvl w:val="0"/>
          <w:numId w:val="2"/>
        </w:numPr>
        <w:ind w:firstLine="640"/>
        <w:rPr>
          <w:rFonts w:cs="Times New Roman"/>
          <w:szCs w:val="32"/>
        </w:rPr>
      </w:pPr>
      <w:r>
        <w:rPr>
          <w:rFonts w:hint="eastAsia" w:cs="Times New Roman"/>
          <w:szCs w:val="32"/>
        </w:rPr>
        <w:t>申报。</w:t>
      </w:r>
    </w:p>
    <w:p w14:paraId="2A62CF18">
      <w:pPr>
        <w:numPr>
          <w:ilvl w:val="0"/>
          <w:numId w:val="7"/>
        </w:numPr>
        <w:ind w:firstLineChars="0"/>
        <w:rPr>
          <w:rFonts w:hint="eastAsia" w:ascii="仿宋_GB2312" w:hAnsi="仿宋_GB2312" w:eastAsia="仿宋_GB2312" w:cs="仿宋_GB2312"/>
          <w:szCs w:val="32"/>
        </w:rPr>
      </w:pPr>
      <w:r>
        <w:rPr>
          <w:rFonts w:hint="eastAsia" w:ascii="仿宋_GB2312" w:hAnsi="仿宋_GB2312" w:eastAsia="仿宋_GB2312" w:cs="仿宋_GB2312"/>
          <w:szCs w:val="32"/>
        </w:rPr>
        <w:t>申报主体。申报主体涵盖项目主体、各级相关主管部门和金融机构三大类。项目主体可以自主申报。在获得项目主体授权前提下，各级相关主管部门和金融机构可代项目主体开展入库申报。</w:t>
      </w:r>
    </w:p>
    <w:p w14:paraId="11234FCF">
      <w:pPr>
        <w:numPr>
          <w:ilvl w:val="0"/>
          <w:numId w:val="7"/>
        </w:numPr>
        <w:ind w:firstLineChars="0"/>
        <w:jc w:val="left"/>
        <w:rPr>
          <w:rFonts w:hint="eastAsia" w:ascii="仿宋_GB2312" w:hAnsi="仿宋_GB2312" w:eastAsia="仿宋_GB2312" w:cs="仿宋_GB2312"/>
          <w:szCs w:val="32"/>
        </w:rPr>
      </w:pPr>
      <w:r>
        <w:rPr>
          <w:rFonts w:hint="eastAsia" w:ascii="仿宋_GB2312" w:hAnsi="仿宋_GB2312" w:eastAsia="仿宋_GB2312" w:cs="仿宋_GB2312"/>
          <w:szCs w:val="32"/>
        </w:rPr>
        <w:t>申报路径。申报主体通过“北京市密云区气候投融资平台”（以下简称“气候投融资平台”，网址：http://ptxt.bjmy.gov.cn/climate-invest/customizeIndex.html#/login）进行申报。申报窗口全年开放。区生态环境局按“随报随评”的方式组织评价入库工作。</w:t>
      </w:r>
    </w:p>
    <w:p w14:paraId="44A832B6">
      <w:pPr>
        <w:numPr>
          <w:ilvl w:val="0"/>
          <w:numId w:val="7"/>
        </w:numPr>
        <w:ind w:firstLineChars="0"/>
        <w:rPr>
          <w:rFonts w:hint="eastAsia" w:ascii="仿宋_GB2312" w:hAnsi="仿宋_GB2312" w:eastAsia="仿宋_GB2312" w:cs="仿宋_GB2312"/>
          <w:szCs w:val="32"/>
          <w:shd w:val="clear" w:color="auto" w:fill="FFFFFF"/>
        </w:rPr>
      </w:pPr>
      <w:r>
        <w:rPr>
          <w:rFonts w:hint="eastAsia" w:ascii="仿宋_GB2312" w:hAnsi="仿宋_GB2312" w:eastAsia="仿宋_GB2312" w:cs="仿宋_GB2312"/>
          <w:szCs w:val="32"/>
        </w:rPr>
        <w:t>申报材料。</w:t>
      </w:r>
    </w:p>
    <w:p w14:paraId="66C80C0A">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Cs w:val="32"/>
          <w:shd w:val="clear" w:color="auto" w:fill="FFFFFF"/>
        </w:rPr>
      </w:pPr>
      <w:r>
        <w:rPr>
          <w:rFonts w:hint="eastAsia" w:ascii="仿宋_GB2312" w:hAnsi="仿宋_GB2312" w:eastAsia="仿宋_GB2312" w:cs="仿宋_GB2312"/>
          <w:szCs w:val="32"/>
          <w:lang w:val="en-US" w:eastAsia="zh-CN"/>
        </w:rPr>
        <w:t>1.</w:t>
      </w:r>
      <w:r>
        <w:rPr>
          <w:rFonts w:hint="eastAsia" w:ascii="仿宋_GB2312" w:hAnsi="仿宋_GB2312" w:eastAsia="仿宋_GB2312" w:cs="仿宋_GB2312"/>
          <w:szCs w:val="32"/>
        </w:rPr>
        <w:t>申报主体</w:t>
      </w:r>
      <w:r>
        <w:rPr>
          <w:rFonts w:hint="eastAsia" w:ascii="仿宋_GB2312" w:hAnsi="仿宋_GB2312" w:eastAsia="仿宋_GB2312" w:cs="仿宋_GB2312"/>
          <w:color w:val="000000"/>
          <w:kern w:val="0"/>
          <w:szCs w:val="32"/>
        </w:rPr>
        <w:t>依据本办法在线</w:t>
      </w:r>
      <w:r>
        <w:rPr>
          <w:rFonts w:hint="eastAsia" w:ascii="仿宋_GB2312" w:hAnsi="仿宋_GB2312" w:eastAsia="仿宋_GB2312" w:cs="仿宋_GB2312"/>
          <w:szCs w:val="32"/>
          <w:shd w:val="clear" w:color="auto" w:fill="FFFFFF"/>
        </w:rPr>
        <w:t>填报《密云区气候投融资项目申报表》（附件4）并提交申报材料。</w:t>
      </w:r>
    </w:p>
    <w:p w14:paraId="7D27C770">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Cs w:val="32"/>
          <w:shd w:val="clear" w:color="auto" w:fill="FFFFFF"/>
        </w:rPr>
      </w:pPr>
      <w:r>
        <w:rPr>
          <w:rFonts w:hint="eastAsia" w:ascii="仿宋_GB2312" w:hAnsi="仿宋_GB2312" w:eastAsia="仿宋_GB2312" w:cs="仿宋_GB2312"/>
          <w:szCs w:val="32"/>
          <w:shd w:val="clear" w:color="auto" w:fill="FFFFFF"/>
          <w:lang w:val="en-US" w:eastAsia="zh-CN"/>
        </w:rPr>
        <w:t>2.</w:t>
      </w:r>
      <w:r>
        <w:rPr>
          <w:rFonts w:hint="eastAsia" w:ascii="仿宋_GB2312" w:hAnsi="仿宋_GB2312" w:eastAsia="仿宋_GB2312" w:cs="仿宋_GB2312"/>
          <w:szCs w:val="32"/>
          <w:shd w:val="clear" w:color="auto" w:fill="FFFFFF"/>
        </w:rPr>
        <w:t>申报材料为</w:t>
      </w:r>
      <w:r>
        <w:rPr>
          <w:rFonts w:hint="eastAsia" w:ascii="仿宋_GB2312" w:hAnsi="仿宋_GB2312" w:eastAsia="仿宋_GB2312" w:cs="仿宋_GB2312"/>
          <w:szCs w:val="32"/>
        </w:rPr>
        <w:t>在有效期内的各类文件复印件，</w:t>
      </w:r>
      <w:r>
        <w:rPr>
          <w:rFonts w:hint="eastAsia" w:ascii="仿宋_GB2312" w:hAnsi="仿宋_GB2312" w:eastAsia="仿宋_GB2312" w:cs="仿宋_GB2312"/>
          <w:szCs w:val="32"/>
          <w:shd w:val="clear" w:color="auto" w:fill="FFFFFF"/>
        </w:rPr>
        <w:t>参照</w:t>
      </w:r>
      <w:r>
        <w:rPr>
          <w:rFonts w:hint="eastAsia" w:ascii="仿宋_GB2312" w:hAnsi="仿宋_GB2312" w:eastAsia="仿宋_GB2312" w:cs="仿宋_GB2312"/>
          <w:szCs w:val="32"/>
        </w:rPr>
        <w:t>《项目评价指标体系》“评价参考资料”提交</w:t>
      </w:r>
      <w:r>
        <w:rPr>
          <w:rFonts w:hint="eastAsia" w:ascii="仿宋_GB2312" w:hAnsi="仿宋_GB2312" w:eastAsia="仿宋_GB2312" w:cs="仿宋_GB2312"/>
          <w:szCs w:val="32"/>
          <w:shd w:val="clear" w:color="auto" w:fill="FFFFFF"/>
        </w:rPr>
        <w:t>。</w:t>
      </w:r>
      <w:r>
        <w:rPr>
          <w:rFonts w:hint="eastAsia" w:ascii="仿宋_GB2312" w:hAnsi="仿宋_GB2312" w:eastAsia="仿宋_GB2312" w:cs="仿宋_GB2312"/>
        </w:rPr>
        <w:t>所有申报材料需逐页加盖公章。</w:t>
      </w:r>
    </w:p>
    <w:p w14:paraId="4C9894D5">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Cs w:val="32"/>
          <w:shd w:val="clear" w:color="auto" w:fill="FFFFFF"/>
        </w:rPr>
      </w:pPr>
      <w:r>
        <w:rPr>
          <w:rFonts w:hint="eastAsia" w:ascii="仿宋_GB2312" w:hAnsi="仿宋_GB2312" w:eastAsia="仿宋_GB2312" w:cs="仿宋_GB2312"/>
          <w:szCs w:val="32"/>
          <w:shd w:val="clear" w:color="auto" w:fill="FFFFFF"/>
          <w:lang w:val="en-US" w:eastAsia="zh-CN"/>
        </w:rPr>
        <w:t>3.</w:t>
      </w:r>
      <w:r>
        <w:rPr>
          <w:rFonts w:hint="eastAsia" w:ascii="仿宋_GB2312" w:hAnsi="仿宋_GB2312" w:eastAsia="仿宋_GB2312" w:cs="仿宋_GB2312"/>
          <w:szCs w:val="32"/>
          <w:shd w:val="clear" w:color="auto" w:fill="FFFFFF"/>
        </w:rPr>
        <w:t>申报材料是项目评分评级的重要依据，鼓励申报主体“能提供尽量提供”。申报主体应对申报材料信息的真实性、合法性和完整性负责。</w:t>
      </w:r>
    </w:p>
    <w:p w14:paraId="35A6BC12">
      <w:pPr>
        <w:numPr>
          <w:ilvl w:val="0"/>
          <w:numId w:val="2"/>
        </w:numPr>
        <w:ind w:firstLine="640"/>
        <w:rPr>
          <w:rFonts w:cs="Times New Roman"/>
          <w:szCs w:val="32"/>
        </w:rPr>
      </w:pPr>
      <w:r>
        <w:rPr>
          <w:rFonts w:hint="eastAsia" w:cs="Times New Roman"/>
          <w:szCs w:val="32"/>
        </w:rPr>
        <w:t>初审。</w:t>
      </w:r>
      <w:r>
        <w:rPr>
          <w:rFonts w:cs="Times New Roman"/>
          <w:szCs w:val="32"/>
        </w:rPr>
        <w:t>区生态环境局委托第三方</w:t>
      </w:r>
      <w:r>
        <w:rPr>
          <w:rFonts w:hint="eastAsia" w:cs="Times New Roman"/>
          <w:szCs w:val="32"/>
        </w:rPr>
        <w:t>服务</w:t>
      </w:r>
      <w:r>
        <w:rPr>
          <w:rFonts w:cs="Times New Roman"/>
          <w:szCs w:val="32"/>
        </w:rPr>
        <w:t>机构按照</w:t>
      </w:r>
      <w:r>
        <w:rPr>
          <w:rFonts w:cs="Times New Roman"/>
          <w:szCs w:val="32"/>
          <w:shd w:val="clear" w:color="auto" w:fill="FFFFFF"/>
        </w:rPr>
        <w:t>本办法</w:t>
      </w:r>
      <w:r>
        <w:rPr>
          <w:rFonts w:cs="Times New Roman"/>
          <w:szCs w:val="32"/>
        </w:rPr>
        <w:t>第</w:t>
      </w:r>
      <w:r>
        <w:rPr>
          <w:rFonts w:hint="eastAsia" w:cs="Times New Roman"/>
          <w:szCs w:val="32"/>
        </w:rPr>
        <w:t>五</w:t>
      </w:r>
      <w:r>
        <w:rPr>
          <w:rFonts w:cs="Times New Roman"/>
          <w:szCs w:val="32"/>
        </w:rPr>
        <w:t>章评价</w:t>
      </w:r>
      <w:r>
        <w:rPr>
          <w:rFonts w:hint="eastAsia" w:cs="Times New Roman"/>
          <w:szCs w:val="32"/>
        </w:rPr>
        <w:t>内容</w:t>
      </w:r>
      <w:r>
        <w:rPr>
          <w:rFonts w:cs="Times New Roman"/>
          <w:szCs w:val="32"/>
        </w:rPr>
        <w:t>对项目进行审核评价</w:t>
      </w:r>
      <w:r>
        <w:rPr>
          <w:rFonts w:hint="eastAsia" w:cs="Times New Roman"/>
          <w:szCs w:val="32"/>
        </w:rPr>
        <w:t>（</w:t>
      </w:r>
      <w:r>
        <w:rPr>
          <w:rFonts w:cs="Times New Roman"/>
          <w:szCs w:val="32"/>
        </w:rPr>
        <w:t>根据项目情况可开展现场审核</w:t>
      </w:r>
      <w:r>
        <w:rPr>
          <w:rFonts w:hint="eastAsia" w:cs="Times New Roman"/>
          <w:szCs w:val="32"/>
        </w:rPr>
        <w:t>）</w:t>
      </w:r>
      <w:r>
        <w:rPr>
          <w:rFonts w:cs="Times New Roman"/>
          <w:szCs w:val="32"/>
        </w:rPr>
        <w:t>。</w:t>
      </w:r>
    </w:p>
    <w:p w14:paraId="6A919B3B">
      <w:pPr>
        <w:numPr>
          <w:ilvl w:val="0"/>
          <w:numId w:val="2"/>
        </w:numPr>
        <w:ind w:firstLine="640"/>
        <w:rPr>
          <w:rFonts w:cs="Times New Roman"/>
          <w:szCs w:val="32"/>
        </w:rPr>
      </w:pPr>
      <w:r>
        <w:rPr>
          <w:rFonts w:cs="Times New Roman"/>
          <w:szCs w:val="32"/>
        </w:rPr>
        <w:t>复审。</w:t>
      </w:r>
      <w:r>
        <w:rPr>
          <w:rFonts w:hint="eastAsia" w:cs="Times New Roman"/>
          <w:szCs w:val="32"/>
        </w:rPr>
        <w:t>区生态环境局</w:t>
      </w:r>
      <w:r>
        <w:rPr>
          <w:rFonts w:cs="Times New Roman"/>
          <w:szCs w:val="32"/>
        </w:rPr>
        <w:t>对</w:t>
      </w:r>
      <w:r>
        <w:rPr>
          <w:rFonts w:hint="eastAsia" w:cs="Times New Roman"/>
          <w:szCs w:val="32"/>
        </w:rPr>
        <w:t>通过初审</w:t>
      </w:r>
      <w:r>
        <w:rPr>
          <w:rFonts w:cs="Times New Roman"/>
          <w:szCs w:val="32"/>
        </w:rPr>
        <w:t>的项目进行复</w:t>
      </w:r>
      <w:r>
        <w:rPr>
          <w:rFonts w:hint="eastAsia" w:cs="Times New Roman"/>
          <w:szCs w:val="32"/>
        </w:rPr>
        <w:t>审</w:t>
      </w:r>
      <w:r>
        <w:rPr>
          <w:rFonts w:cs="Times New Roman"/>
          <w:szCs w:val="32"/>
        </w:rPr>
        <w:t>。</w:t>
      </w:r>
    </w:p>
    <w:p w14:paraId="37B4FCA6">
      <w:pPr>
        <w:numPr>
          <w:ilvl w:val="0"/>
          <w:numId w:val="2"/>
        </w:numPr>
        <w:ind w:firstLine="640"/>
        <w:rPr>
          <w:rFonts w:hint="eastAsia" w:ascii="仿宋_GB2312" w:hAnsi="仿宋_GB2312" w:eastAsia="仿宋_GB2312" w:cs="仿宋_GB2312"/>
          <w:szCs w:val="32"/>
        </w:rPr>
      </w:pPr>
      <w:r>
        <w:rPr>
          <w:rFonts w:hint="eastAsia" w:ascii="仿宋_GB2312" w:hAnsi="仿宋_GB2312" w:eastAsia="仿宋_GB2312" w:cs="仿宋_GB2312"/>
          <w:szCs w:val="32"/>
          <w:shd w:val="clear" w:color="auto" w:fill="FFFFFF"/>
        </w:rPr>
        <w:t>公示及入库。通过复审的项目在</w:t>
      </w:r>
      <w:r>
        <w:rPr>
          <w:rFonts w:hint="eastAsia" w:ascii="仿宋_GB2312" w:hAnsi="仿宋_GB2312" w:eastAsia="仿宋_GB2312" w:cs="仿宋_GB2312"/>
          <w:szCs w:val="32"/>
        </w:rPr>
        <w:t>“气候投融资平台”进行</w:t>
      </w:r>
      <w:r>
        <w:rPr>
          <w:rFonts w:hint="eastAsia" w:ascii="仿宋_GB2312" w:hAnsi="仿宋_GB2312" w:eastAsia="仿宋_GB2312" w:cs="仿宋_GB2312"/>
          <w:szCs w:val="32"/>
          <w:shd w:val="clear" w:color="auto" w:fill="FFFFFF"/>
        </w:rPr>
        <w:t>公示，</w:t>
      </w:r>
      <w:r>
        <w:rPr>
          <w:rFonts w:hint="eastAsia" w:ascii="仿宋_GB2312" w:hAnsi="仿宋_GB2312" w:eastAsia="仿宋_GB2312" w:cs="仿宋_GB2312"/>
          <w:kern w:val="0"/>
          <w:szCs w:val="32"/>
        </w:rPr>
        <w:t>公示期为5个工作日</w:t>
      </w:r>
      <w:r>
        <w:rPr>
          <w:rFonts w:hint="eastAsia" w:ascii="仿宋_GB2312" w:hAnsi="仿宋_GB2312" w:eastAsia="仿宋_GB2312" w:cs="仿宋_GB2312"/>
          <w:szCs w:val="32"/>
          <w:shd w:val="clear" w:color="auto" w:fill="FFFFFF"/>
        </w:rPr>
        <w:t>。经公示无异议的项目即认定为</w:t>
      </w:r>
      <w:bookmarkStart w:id="7" w:name="_Hlk58924598"/>
      <w:r>
        <w:rPr>
          <w:rFonts w:hint="eastAsia" w:ascii="仿宋_GB2312" w:hAnsi="仿宋_GB2312" w:eastAsia="仿宋_GB2312" w:cs="仿宋_GB2312"/>
        </w:rPr>
        <w:t>密云区气候投融资项目</w:t>
      </w:r>
      <w:r>
        <w:rPr>
          <w:rFonts w:hint="eastAsia" w:ascii="仿宋_GB2312" w:hAnsi="仿宋_GB2312" w:eastAsia="仿宋_GB2312" w:cs="仿宋_GB2312"/>
          <w:szCs w:val="32"/>
          <w:shd w:val="clear" w:color="auto" w:fill="FFFFFF"/>
        </w:rPr>
        <w:t>并纳入项目库，出具</w:t>
      </w:r>
      <w:r>
        <w:rPr>
          <w:rFonts w:hint="eastAsia" w:ascii="仿宋_GB2312" w:hAnsi="仿宋_GB2312" w:eastAsia="仿宋_GB2312" w:cs="仿宋_GB2312"/>
          <w:szCs w:val="32"/>
        </w:rPr>
        <w:t>《密云区气候投融资项目评价报告》（附件5）和</w:t>
      </w:r>
      <w:r>
        <w:rPr>
          <w:rFonts w:hint="eastAsia" w:ascii="仿宋_GB2312" w:hAnsi="仿宋_GB2312" w:eastAsia="仿宋_GB2312" w:cs="仿宋_GB2312"/>
        </w:rPr>
        <w:t>气候投融资项目评价</w:t>
      </w:r>
      <w:r>
        <w:rPr>
          <w:rFonts w:hint="eastAsia" w:ascii="仿宋_GB2312" w:hAnsi="仿宋_GB2312" w:eastAsia="仿宋_GB2312" w:cs="仿宋_GB2312"/>
          <w:szCs w:val="32"/>
          <w:shd w:val="clear" w:color="auto" w:fill="FFFFFF"/>
        </w:rPr>
        <w:t>证书。</w:t>
      </w:r>
      <w:bookmarkEnd w:id="7"/>
      <w:bookmarkStart w:id="8" w:name="_Hlk118471201"/>
    </w:p>
    <w:p w14:paraId="779AD34B">
      <w:pPr>
        <w:numPr>
          <w:ilvl w:val="0"/>
          <w:numId w:val="2"/>
        </w:numPr>
        <w:ind w:firstLine="640"/>
        <w:rPr>
          <w:rFonts w:hint="eastAsia" w:ascii="仿宋_GB2312" w:hAnsi="仿宋_GB2312" w:eastAsia="仿宋_GB2312" w:cs="仿宋_GB2312"/>
        </w:rPr>
      </w:pPr>
      <w:r>
        <w:rPr>
          <w:rFonts w:hint="eastAsia" w:ascii="仿宋_GB2312" w:hAnsi="仿宋_GB2312" w:eastAsia="仿宋_GB2312" w:cs="仿宋_GB2312"/>
          <w:szCs w:val="32"/>
        </w:rPr>
        <w:t>优秀案例评价。区生态环境局组织专家进行优秀案例评价。优秀案例</w:t>
      </w:r>
      <w:r>
        <w:rPr>
          <w:rFonts w:hint="eastAsia" w:ascii="仿宋_GB2312" w:hAnsi="仿宋_GB2312" w:eastAsia="仿宋_GB2312" w:cs="仿宋_GB2312"/>
          <w:szCs w:val="32"/>
          <w:shd w:val="clear" w:color="auto" w:fill="FFFFFF"/>
        </w:rPr>
        <w:t>在</w:t>
      </w:r>
      <w:r>
        <w:rPr>
          <w:rFonts w:hint="eastAsia" w:ascii="仿宋_GB2312" w:hAnsi="仿宋_GB2312" w:eastAsia="仿宋_GB2312" w:cs="仿宋_GB2312"/>
          <w:szCs w:val="32"/>
        </w:rPr>
        <w:t>“气候投融资平台”</w:t>
      </w:r>
      <w:r>
        <w:rPr>
          <w:rFonts w:hint="eastAsia" w:ascii="仿宋_GB2312" w:hAnsi="仿宋_GB2312" w:eastAsia="仿宋_GB2312" w:cs="仿宋_GB2312"/>
          <w:szCs w:val="32"/>
          <w:shd w:val="clear" w:color="auto" w:fill="FFFFFF"/>
        </w:rPr>
        <w:t>公示</w:t>
      </w:r>
      <w:r>
        <w:rPr>
          <w:rFonts w:hint="eastAsia" w:ascii="仿宋_GB2312" w:hAnsi="仿宋_GB2312" w:eastAsia="仿宋_GB2312" w:cs="仿宋_GB2312"/>
          <w:szCs w:val="32"/>
        </w:rPr>
        <w:t>。</w:t>
      </w:r>
      <w:bookmarkEnd w:id="8"/>
    </w:p>
    <w:p w14:paraId="1A7546D7">
      <w:pPr>
        <w:numPr>
          <w:ilvl w:val="0"/>
          <w:numId w:val="2"/>
        </w:numPr>
        <w:ind w:firstLine="640"/>
        <w:rPr>
          <w:rFonts w:cs="Times New Roman"/>
        </w:rPr>
      </w:pPr>
      <w:r>
        <w:rPr>
          <w:rFonts w:hint="eastAsia" w:ascii="仿宋_GB2312" w:hAnsi="仿宋_GB2312" w:eastAsia="仿宋_GB2312" w:cs="仿宋_GB2312"/>
          <w:szCs w:val="32"/>
        </w:rPr>
        <w:t>气候投融资项目入库评价流程详见附件3。</w:t>
      </w:r>
    </w:p>
    <w:p w14:paraId="1320C427">
      <w:pPr>
        <w:pStyle w:val="23"/>
        <w:numPr>
          <w:ilvl w:val="0"/>
          <w:numId w:val="1"/>
        </w:numPr>
        <w:ind w:left="0" w:firstLine="0"/>
        <w:jc w:val="center"/>
        <w:outlineLvl w:val="0"/>
        <w:rPr>
          <w:rFonts w:eastAsia="黑体" w:cs="Times New Roman"/>
          <w:kern w:val="0"/>
          <w:sz w:val="36"/>
          <w:szCs w:val="20"/>
        </w:rPr>
      </w:pPr>
      <w:bookmarkStart w:id="9" w:name="_Toc13853"/>
      <w:r>
        <w:rPr>
          <w:rFonts w:eastAsia="黑体" w:cs="Times New Roman"/>
          <w:kern w:val="0"/>
          <w:sz w:val="36"/>
          <w:szCs w:val="20"/>
        </w:rPr>
        <w:t>跟踪管理</w:t>
      </w:r>
      <w:bookmarkEnd w:id="9"/>
    </w:p>
    <w:p w14:paraId="4A5F5215">
      <w:pPr>
        <w:numPr>
          <w:ilvl w:val="0"/>
          <w:numId w:val="2"/>
        </w:numPr>
        <w:ind w:firstLine="640"/>
        <w:rPr>
          <w:rFonts w:hint="eastAsia" w:ascii="仿宋_GB2312" w:hAnsi="仿宋_GB2312" w:eastAsia="仿宋_GB2312" w:cs="仿宋_GB2312"/>
          <w:kern w:val="0"/>
          <w:szCs w:val="32"/>
          <w:shd w:val="clear" w:color="auto" w:fill="FFFFFF"/>
        </w:rPr>
      </w:pPr>
      <w:r>
        <w:rPr>
          <w:rFonts w:hint="eastAsia" w:ascii="仿宋_GB2312" w:hAnsi="仿宋_GB2312" w:eastAsia="仿宋_GB2312" w:cs="仿宋_GB2312"/>
          <w:kern w:val="0"/>
          <w:szCs w:val="32"/>
          <w:shd w:val="clear" w:color="auto" w:fill="FFFFFF"/>
        </w:rPr>
        <w:t>项目变更。纳入项目库的项目，项目主体、项目内容、建设规模、项目地址发生变更的，应及时在“</w:t>
      </w:r>
      <w:r>
        <w:rPr>
          <w:rFonts w:hint="eastAsia" w:ascii="仿宋_GB2312" w:hAnsi="仿宋_GB2312" w:eastAsia="仿宋_GB2312" w:cs="仿宋_GB2312"/>
          <w:szCs w:val="32"/>
          <w:shd w:val="clear" w:color="auto" w:fill="FFFFFF"/>
        </w:rPr>
        <w:t>气候投融资平台</w:t>
      </w:r>
      <w:r>
        <w:rPr>
          <w:rFonts w:hint="eastAsia" w:ascii="仿宋_GB2312" w:hAnsi="仿宋_GB2312" w:eastAsia="仿宋_GB2312" w:cs="仿宋_GB2312"/>
          <w:kern w:val="0"/>
          <w:szCs w:val="32"/>
          <w:shd w:val="clear" w:color="auto" w:fill="FFFFFF"/>
        </w:rPr>
        <w:t>”进行信息更新。项目变更后仍符合认定条件的，项目库予以信息更新。未及时提交变更信息或变更后不符合入库条件的，从项目库移除。</w:t>
      </w:r>
    </w:p>
    <w:p w14:paraId="3983ADFE">
      <w:pPr>
        <w:keepNext w:val="0"/>
        <w:keepLines w:val="0"/>
        <w:pageBreakBefore w:val="0"/>
        <w:widowControl w:val="0"/>
        <w:numPr>
          <w:ilvl w:val="0"/>
          <w:numId w:val="2"/>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kern w:val="0"/>
          <w:szCs w:val="32"/>
          <w:shd w:val="clear" w:color="auto" w:fill="FFFFFF"/>
        </w:rPr>
      </w:pPr>
      <w:r>
        <w:rPr>
          <w:rFonts w:hint="eastAsia" w:ascii="仿宋_GB2312" w:hAnsi="仿宋_GB2312" w:eastAsia="仿宋_GB2312" w:cs="仿宋_GB2312"/>
          <w:kern w:val="0"/>
          <w:szCs w:val="32"/>
          <w:shd w:val="clear" w:color="auto" w:fill="FFFFFF"/>
        </w:rPr>
        <w:t>项目移除。项目出现以下任一负面事件的，</w:t>
      </w:r>
      <w:r>
        <w:rPr>
          <w:rFonts w:hint="eastAsia" w:ascii="仿宋_GB2312" w:hAnsi="仿宋_GB2312" w:eastAsia="仿宋_GB2312" w:cs="仿宋_GB2312"/>
          <w:color w:val="000000" w:themeColor="text1"/>
          <w:kern w:val="0"/>
          <w:szCs w:val="32"/>
          <w14:textFill>
            <w14:solidFill>
              <w14:schemeClr w14:val="tx1"/>
            </w14:solidFill>
          </w14:textFill>
        </w:rPr>
        <w:t>经核实后，予以</w:t>
      </w:r>
      <w:r>
        <w:rPr>
          <w:rFonts w:hint="eastAsia" w:ascii="仿宋_GB2312" w:hAnsi="仿宋_GB2312" w:eastAsia="仿宋_GB2312" w:cs="仿宋_GB2312"/>
          <w:kern w:val="0"/>
          <w:szCs w:val="32"/>
          <w:shd w:val="clear" w:color="auto" w:fill="FFFFFF"/>
        </w:rPr>
        <w:t>移除：</w:t>
      </w:r>
    </w:p>
    <w:p w14:paraId="2740750A">
      <w:pPr>
        <w:numPr>
          <w:ilvl w:val="255"/>
          <w:numId w:val="0"/>
        </w:numPr>
        <w:ind w:firstLine="640" w:firstLineChars="200"/>
        <w:rPr>
          <w:rFonts w:hint="eastAsia" w:ascii="仿宋_GB2312" w:hAnsi="仿宋_GB2312" w:eastAsia="仿宋_GB2312" w:cs="仿宋_GB2312"/>
          <w:kern w:val="0"/>
          <w:szCs w:val="32"/>
          <w:shd w:val="clear" w:color="auto" w:fill="FFFFFF"/>
        </w:rPr>
      </w:pPr>
      <w:r>
        <w:rPr>
          <w:rFonts w:hint="eastAsia" w:ascii="仿宋_GB2312" w:hAnsi="仿宋_GB2312" w:eastAsia="仿宋_GB2312" w:cs="仿宋_GB2312"/>
          <w:kern w:val="0"/>
          <w:szCs w:val="32"/>
          <w:shd w:val="clear" w:color="auto" w:fill="FFFFFF"/>
        </w:rPr>
        <w:t>（一）隐瞒有关情况或提供虚假资料和数据的；</w:t>
      </w:r>
    </w:p>
    <w:p w14:paraId="57DE4841">
      <w:pPr>
        <w:numPr>
          <w:ilvl w:val="255"/>
          <w:numId w:val="0"/>
        </w:numPr>
        <w:ind w:firstLine="640" w:firstLineChars="200"/>
        <w:rPr>
          <w:rFonts w:hint="eastAsia" w:ascii="仿宋_GB2312" w:hAnsi="仿宋_GB2312" w:eastAsia="仿宋_GB2312" w:cs="仿宋_GB2312"/>
          <w:kern w:val="0"/>
          <w:szCs w:val="32"/>
          <w:shd w:val="clear" w:color="auto" w:fill="FFFFFF"/>
        </w:rPr>
      </w:pPr>
      <w:r>
        <w:rPr>
          <w:rFonts w:hint="eastAsia" w:ascii="仿宋_GB2312" w:hAnsi="仿宋_GB2312" w:eastAsia="仿宋_GB2312" w:cs="仿宋_GB2312"/>
          <w:kern w:val="0"/>
          <w:szCs w:val="32"/>
          <w:shd w:val="clear" w:color="auto" w:fill="FFFFFF"/>
        </w:rPr>
        <w:t>（二）项目终止的；</w:t>
      </w:r>
    </w:p>
    <w:p w14:paraId="7F91770D">
      <w:pPr>
        <w:numPr>
          <w:ilvl w:val="255"/>
          <w:numId w:val="0"/>
        </w:numPr>
        <w:ind w:firstLine="640" w:firstLineChars="200"/>
        <w:rPr>
          <w:rFonts w:hint="eastAsia" w:ascii="仿宋_GB2312" w:hAnsi="仿宋_GB2312" w:eastAsia="仿宋_GB2312" w:cs="仿宋_GB2312"/>
          <w:kern w:val="0"/>
          <w:szCs w:val="32"/>
          <w:shd w:val="clear" w:color="auto" w:fill="FFFFFF"/>
        </w:rPr>
      </w:pPr>
      <w:r>
        <w:rPr>
          <w:rFonts w:hint="eastAsia" w:ascii="仿宋_GB2312" w:hAnsi="仿宋_GB2312" w:eastAsia="仿宋_GB2312" w:cs="仿宋_GB2312"/>
          <w:kern w:val="0"/>
          <w:szCs w:val="32"/>
          <w:shd w:val="clear" w:color="auto" w:fill="FFFFFF"/>
        </w:rPr>
        <w:t>（三）中央和省级生态环境保护督察及“回头看”发现重大问题的；</w:t>
      </w:r>
    </w:p>
    <w:p w14:paraId="4D248E08">
      <w:pPr>
        <w:numPr>
          <w:ilvl w:val="255"/>
          <w:numId w:val="0"/>
        </w:numPr>
        <w:ind w:firstLine="640" w:firstLineChars="200"/>
        <w:rPr>
          <w:rFonts w:hint="eastAsia" w:ascii="仿宋_GB2312" w:hAnsi="仿宋_GB2312" w:eastAsia="仿宋_GB2312" w:cs="仿宋_GB2312"/>
          <w:kern w:val="0"/>
          <w:szCs w:val="32"/>
          <w:shd w:val="clear" w:color="auto" w:fill="FFFFFF"/>
        </w:rPr>
      </w:pPr>
      <w:r>
        <w:rPr>
          <w:rFonts w:hint="eastAsia" w:ascii="仿宋_GB2312" w:hAnsi="仿宋_GB2312" w:eastAsia="仿宋_GB2312" w:cs="仿宋_GB2312"/>
          <w:kern w:val="0"/>
          <w:szCs w:val="32"/>
          <w:shd w:val="clear" w:color="auto" w:fill="FFFFFF"/>
        </w:rPr>
        <w:t>（四）因项目主体发生重大生态环境问题，被地方政府、生态环境部门约谈、挂牌督办的；</w:t>
      </w:r>
    </w:p>
    <w:p w14:paraId="268D1742">
      <w:pPr>
        <w:numPr>
          <w:ilvl w:val="255"/>
          <w:numId w:val="0"/>
        </w:numPr>
        <w:ind w:firstLine="640" w:firstLineChars="200"/>
        <w:rPr>
          <w:rFonts w:hint="eastAsia" w:ascii="仿宋_GB2312" w:hAnsi="仿宋_GB2312" w:eastAsia="仿宋_GB2312" w:cs="仿宋_GB2312"/>
          <w:kern w:val="0"/>
          <w:szCs w:val="32"/>
          <w:shd w:val="clear" w:color="auto" w:fill="FFFFFF"/>
        </w:rPr>
      </w:pPr>
      <w:r>
        <w:rPr>
          <w:rFonts w:hint="eastAsia" w:ascii="仿宋_GB2312" w:hAnsi="仿宋_GB2312" w:eastAsia="仿宋_GB2312" w:cs="仿宋_GB2312"/>
          <w:kern w:val="0"/>
          <w:szCs w:val="32"/>
          <w:shd w:val="clear" w:color="auto" w:fill="FFFFFF"/>
        </w:rPr>
        <w:t>（五）发生较严重及以上程度的生态环境失信行为的；</w:t>
      </w:r>
    </w:p>
    <w:p w14:paraId="26CFB3F0">
      <w:pPr>
        <w:numPr>
          <w:ilvl w:val="255"/>
          <w:numId w:val="0"/>
        </w:numPr>
        <w:ind w:firstLine="640" w:firstLineChars="200"/>
        <w:rPr>
          <w:rFonts w:hint="eastAsia" w:ascii="仿宋_GB2312" w:hAnsi="仿宋_GB2312" w:eastAsia="仿宋_GB2312" w:cs="仿宋_GB2312"/>
          <w:kern w:val="0"/>
          <w:szCs w:val="32"/>
          <w:shd w:val="clear" w:color="auto" w:fill="FFFFFF"/>
        </w:rPr>
      </w:pPr>
      <w:r>
        <w:rPr>
          <w:rFonts w:hint="eastAsia" w:ascii="仿宋_GB2312" w:hAnsi="仿宋_GB2312" w:eastAsia="仿宋_GB2312" w:cs="仿宋_GB2312"/>
          <w:kern w:val="0"/>
          <w:szCs w:val="32"/>
          <w:shd w:val="clear" w:color="auto" w:fill="FFFFFF"/>
        </w:rPr>
        <w:t>（六）发生一般及以上安全生产、公共卫生、突发环境等事件的。</w:t>
      </w:r>
    </w:p>
    <w:p w14:paraId="6F343DFA">
      <w:pPr>
        <w:numPr>
          <w:ilvl w:val="255"/>
          <w:numId w:val="0"/>
        </w:numPr>
        <w:ind w:firstLine="640" w:firstLineChars="200"/>
        <w:rPr>
          <w:rFonts w:hint="eastAsia" w:ascii="仿宋_GB2312" w:hAnsi="仿宋_GB2312" w:eastAsia="仿宋_GB2312" w:cs="仿宋_GB2312"/>
          <w:kern w:val="0"/>
          <w:szCs w:val="32"/>
          <w:shd w:val="clear" w:color="auto" w:fill="FFFFFF"/>
        </w:rPr>
      </w:pPr>
      <w:r>
        <w:rPr>
          <w:rFonts w:hint="eastAsia" w:ascii="仿宋_GB2312" w:hAnsi="仿宋_GB2312" w:eastAsia="仿宋_GB2312" w:cs="仿宋_GB2312"/>
          <w:kern w:val="0"/>
          <w:szCs w:val="32"/>
          <w:shd w:val="clear" w:color="auto" w:fill="FFFFFF"/>
        </w:rPr>
        <w:t>对于因负面事项移出项目库的项目，原则上2年内不得重新申请气候投融资项目。</w:t>
      </w:r>
    </w:p>
    <w:p w14:paraId="62678D1F">
      <w:pPr>
        <w:numPr>
          <w:ilvl w:val="0"/>
          <w:numId w:val="2"/>
        </w:numPr>
        <w:ind w:firstLine="640"/>
        <w:rPr>
          <w:rFonts w:hint="eastAsia" w:ascii="仿宋_GB2312" w:hAnsi="仿宋_GB2312" w:eastAsia="仿宋_GB2312" w:cs="仿宋_GB2312"/>
          <w:szCs w:val="32"/>
        </w:rPr>
      </w:pPr>
      <w:r>
        <w:rPr>
          <w:rFonts w:hint="eastAsia" w:ascii="仿宋_GB2312" w:hAnsi="仿宋_GB2312" w:eastAsia="仿宋_GB2312" w:cs="仿宋_GB2312"/>
          <w:szCs w:val="32"/>
        </w:rPr>
        <w:t>黑名单。出现负面事件的项目，区生态环境局依据实际情况决定是否将项目主体或项目代建单位列入企业黑名单。被列入黑名单的企业，其所投资项目原则上2年内不得申报密云区</w:t>
      </w:r>
      <w:r>
        <w:rPr>
          <w:rFonts w:hint="eastAsia" w:ascii="仿宋_GB2312" w:hAnsi="仿宋_GB2312" w:eastAsia="仿宋_GB2312" w:cs="仿宋_GB2312"/>
          <w:bCs/>
          <w:szCs w:val="32"/>
        </w:rPr>
        <w:t>气候投融资</w:t>
      </w:r>
      <w:r>
        <w:rPr>
          <w:rFonts w:hint="eastAsia" w:ascii="仿宋_GB2312" w:hAnsi="仿宋_GB2312" w:eastAsia="仿宋_GB2312" w:cs="仿宋_GB2312"/>
          <w:szCs w:val="32"/>
        </w:rPr>
        <w:t>项目。</w:t>
      </w:r>
    </w:p>
    <w:p w14:paraId="16EA25DA">
      <w:pPr>
        <w:pStyle w:val="23"/>
        <w:numPr>
          <w:ilvl w:val="0"/>
          <w:numId w:val="1"/>
        </w:numPr>
        <w:ind w:left="0" w:firstLine="0"/>
        <w:jc w:val="center"/>
        <w:outlineLvl w:val="0"/>
        <w:rPr>
          <w:rFonts w:eastAsia="黑体" w:cs="Times New Roman"/>
          <w:kern w:val="0"/>
          <w:sz w:val="36"/>
          <w:szCs w:val="20"/>
        </w:rPr>
      </w:pPr>
      <w:bookmarkStart w:id="10" w:name="_Toc18597"/>
      <w:r>
        <w:rPr>
          <w:rFonts w:eastAsia="黑体" w:cs="Times New Roman"/>
          <w:kern w:val="0"/>
          <w:sz w:val="36"/>
          <w:szCs w:val="20"/>
        </w:rPr>
        <w:t>附则</w:t>
      </w:r>
      <w:bookmarkEnd w:id="10"/>
    </w:p>
    <w:p w14:paraId="5748FE13">
      <w:pPr>
        <w:numPr>
          <w:ilvl w:val="0"/>
          <w:numId w:val="2"/>
        </w:numPr>
        <w:ind w:firstLine="640"/>
        <w:rPr>
          <w:rFonts w:hint="eastAsia" w:ascii="仿宋_GB2312" w:hAnsi="仿宋_GB2312" w:eastAsia="仿宋_GB2312" w:cs="仿宋_GB2312"/>
          <w:szCs w:val="32"/>
        </w:rPr>
      </w:pPr>
      <w:r>
        <w:rPr>
          <w:rFonts w:hint="eastAsia" w:ascii="仿宋_GB2312" w:hAnsi="仿宋_GB2312" w:eastAsia="仿宋_GB2312" w:cs="仿宋_GB2312"/>
          <w:szCs w:val="32"/>
        </w:rPr>
        <w:t>本办法由北京市密云区生态环境局负责解释。</w:t>
      </w:r>
    </w:p>
    <w:p w14:paraId="32BF9165">
      <w:pPr>
        <w:numPr>
          <w:ilvl w:val="0"/>
          <w:numId w:val="2"/>
        </w:numPr>
        <w:ind w:firstLine="640"/>
        <w:rPr>
          <w:rFonts w:hint="eastAsia" w:ascii="仿宋_GB2312" w:hAnsi="仿宋_GB2312" w:eastAsia="仿宋_GB2312" w:cs="仿宋_GB2312"/>
        </w:rPr>
      </w:pPr>
      <w:r>
        <w:rPr>
          <w:rFonts w:hint="eastAsia" w:ascii="仿宋_GB2312" w:hAnsi="仿宋_GB2312" w:eastAsia="仿宋_GB2312" w:cs="仿宋_GB2312"/>
          <w:szCs w:val="32"/>
        </w:rPr>
        <w:t>本办法自印发之日起实施，有效期</w:t>
      </w:r>
      <w:r>
        <w:rPr>
          <w:rFonts w:hint="eastAsia" w:ascii="仿宋_GB2312" w:hAnsi="仿宋_GB2312" w:eastAsia="仿宋_GB2312" w:cs="仿宋_GB2312"/>
          <w:szCs w:val="32"/>
          <w:lang w:val="en-US" w:eastAsia="zh-CN"/>
        </w:rPr>
        <w:t>1</w:t>
      </w:r>
      <w:r>
        <w:rPr>
          <w:rFonts w:hint="eastAsia" w:ascii="仿宋_GB2312" w:hAnsi="仿宋_GB2312" w:eastAsia="仿宋_GB2312" w:cs="仿宋_GB2312"/>
          <w:szCs w:val="32"/>
        </w:rPr>
        <w:t>年。相关法律法规、政策依据变化或有效期届满或更新时，以最新版本为准。</w:t>
      </w:r>
    </w:p>
    <w:p w14:paraId="1929A2C5">
      <w:pPr>
        <w:widowControl/>
        <w:numPr>
          <w:ilvl w:val="255"/>
          <w:numId w:val="0"/>
        </w:numPr>
        <w:ind w:firstLine="640" w:firstLineChars="200"/>
        <w:jc w:val="left"/>
        <w:rPr>
          <w:rFonts w:cs="Times New Roman"/>
          <w:kern w:val="0"/>
          <w:szCs w:val="18"/>
        </w:rPr>
      </w:pPr>
    </w:p>
    <w:p w14:paraId="7BEE2704">
      <w:pPr>
        <w:widowControl/>
        <w:numPr>
          <w:ilvl w:val="255"/>
          <w:numId w:val="0"/>
        </w:numPr>
        <w:ind w:firstLine="640" w:firstLineChars="200"/>
        <w:jc w:val="left"/>
        <w:rPr>
          <w:rFonts w:hint="eastAsia" w:ascii="仿宋_GB2312" w:hAnsi="仿宋_GB2312" w:eastAsia="仿宋_GB2312" w:cs="仿宋_GB2312"/>
          <w:kern w:val="0"/>
          <w:szCs w:val="18"/>
        </w:rPr>
      </w:pPr>
      <w:r>
        <w:rPr>
          <w:rFonts w:hint="eastAsia" w:ascii="仿宋_GB2312" w:hAnsi="仿宋_GB2312" w:eastAsia="仿宋_GB2312" w:cs="仿宋_GB2312"/>
          <w:kern w:val="0"/>
          <w:szCs w:val="18"/>
        </w:rPr>
        <w:t>附件1：密云区气候投融资项目分类目录（生态涵养区）</w:t>
      </w:r>
    </w:p>
    <w:p w14:paraId="494D5C5F">
      <w:pPr>
        <w:widowControl/>
        <w:numPr>
          <w:ilvl w:val="255"/>
          <w:numId w:val="0"/>
        </w:numPr>
        <w:ind w:firstLine="640" w:firstLineChars="200"/>
        <w:jc w:val="left"/>
        <w:rPr>
          <w:rFonts w:hint="eastAsia" w:ascii="仿宋_GB2312" w:hAnsi="仿宋_GB2312" w:eastAsia="仿宋_GB2312" w:cs="仿宋_GB2312"/>
          <w:kern w:val="0"/>
          <w:szCs w:val="18"/>
        </w:rPr>
      </w:pPr>
      <w:r>
        <w:rPr>
          <w:rFonts w:hint="eastAsia" w:ascii="仿宋_GB2312" w:hAnsi="仿宋_GB2312" w:eastAsia="仿宋_GB2312" w:cs="仿宋_GB2312"/>
          <w:kern w:val="0"/>
          <w:szCs w:val="18"/>
        </w:rPr>
        <w:t>附件2：密云区气候投融资项目评价指标体系</w:t>
      </w:r>
    </w:p>
    <w:p w14:paraId="066611C0">
      <w:pPr>
        <w:widowControl/>
        <w:numPr>
          <w:ilvl w:val="255"/>
          <w:numId w:val="0"/>
        </w:numPr>
        <w:ind w:firstLine="640" w:firstLineChars="200"/>
        <w:jc w:val="left"/>
        <w:rPr>
          <w:rFonts w:hint="eastAsia" w:ascii="仿宋_GB2312" w:hAnsi="仿宋_GB2312" w:eastAsia="仿宋_GB2312" w:cs="仿宋_GB2312"/>
        </w:rPr>
      </w:pPr>
      <w:r>
        <w:rPr>
          <w:rFonts w:hint="eastAsia" w:ascii="仿宋_GB2312" w:hAnsi="仿宋_GB2312" w:eastAsia="仿宋_GB2312" w:cs="仿宋_GB2312"/>
          <w:kern w:val="0"/>
          <w:szCs w:val="18"/>
        </w:rPr>
        <w:t>附件3：密云区气候投融资项目评价流程</w:t>
      </w:r>
    </w:p>
    <w:p w14:paraId="525450EB">
      <w:pPr>
        <w:widowControl/>
        <w:numPr>
          <w:ilvl w:val="255"/>
          <w:numId w:val="0"/>
        </w:numPr>
        <w:ind w:firstLine="640" w:firstLineChars="200"/>
        <w:jc w:val="left"/>
        <w:rPr>
          <w:rFonts w:hint="eastAsia" w:ascii="仿宋_GB2312" w:hAnsi="仿宋_GB2312" w:eastAsia="仿宋_GB2312" w:cs="仿宋_GB2312"/>
          <w:kern w:val="0"/>
          <w:szCs w:val="18"/>
        </w:rPr>
      </w:pPr>
      <w:r>
        <w:rPr>
          <w:rFonts w:hint="eastAsia" w:ascii="仿宋_GB2312" w:hAnsi="仿宋_GB2312" w:eastAsia="仿宋_GB2312" w:cs="仿宋_GB2312"/>
          <w:kern w:val="0"/>
          <w:szCs w:val="18"/>
        </w:rPr>
        <w:t>附件4：密云区气候投融资项目申报表</w:t>
      </w:r>
    </w:p>
    <w:p w14:paraId="795DA1B9">
      <w:pPr>
        <w:widowControl/>
        <w:numPr>
          <w:ilvl w:val="255"/>
          <w:numId w:val="0"/>
        </w:numPr>
        <w:ind w:firstLine="640" w:firstLineChars="200"/>
        <w:jc w:val="left"/>
        <w:rPr>
          <w:rFonts w:hint="eastAsia" w:ascii="仿宋_GB2312" w:hAnsi="仿宋_GB2312" w:eastAsia="仿宋_GB2312" w:cs="仿宋_GB2312"/>
          <w:kern w:val="0"/>
          <w:szCs w:val="18"/>
        </w:rPr>
      </w:pPr>
      <w:r>
        <w:rPr>
          <w:rFonts w:hint="eastAsia" w:ascii="仿宋_GB2312" w:hAnsi="仿宋_GB2312" w:eastAsia="仿宋_GB2312" w:cs="仿宋_GB2312"/>
          <w:kern w:val="0"/>
          <w:szCs w:val="18"/>
        </w:rPr>
        <w:t>附件5：</w:t>
      </w:r>
      <w:r>
        <w:rPr>
          <w:rFonts w:hint="eastAsia" w:ascii="仿宋_GB2312" w:hAnsi="仿宋_GB2312" w:eastAsia="仿宋_GB2312" w:cs="仿宋_GB2312"/>
          <w:szCs w:val="32"/>
        </w:rPr>
        <w:t>密云区气候投融资项目评价报告</w:t>
      </w:r>
    </w:p>
    <w:p w14:paraId="14EA3C31">
      <w:pPr>
        <w:rPr>
          <w:rFonts w:cs="Times New Roman"/>
        </w:rPr>
        <w:sectPr>
          <w:footerReference r:id="rId12" w:type="default"/>
          <w:pgSz w:w="11906" w:h="16838"/>
          <w:pgMar w:top="2098" w:right="1474" w:bottom="1984" w:left="1588" w:header="851" w:footer="992" w:gutter="0"/>
          <w:pgNumType w:fmt="numberInDash" w:start="1"/>
          <w:cols w:space="0" w:num="1"/>
          <w:docGrid w:type="lines" w:linePitch="436" w:charSpace="0"/>
        </w:sectPr>
      </w:pPr>
    </w:p>
    <w:p w14:paraId="28AE0F56">
      <w:pPr>
        <w:ind w:left="0" w:leftChars="0" w:firstLine="0" w:firstLineChars="0"/>
        <w:jc w:val="left"/>
        <w:outlineLvl w:val="0"/>
        <w:rPr>
          <w:rFonts w:hint="eastAsia" w:ascii="黑体" w:hAnsi="黑体" w:eastAsia="黑体" w:cs="黑体"/>
          <w:kern w:val="44"/>
          <w:szCs w:val="44"/>
        </w:rPr>
      </w:pPr>
      <w:bookmarkStart w:id="11" w:name="_Toc7598"/>
      <w:bookmarkStart w:id="12" w:name="OLE_LINK4"/>
      <w:r>
        <w:rPr>
          <w:rFonts w:hint="eastAsia" w:ascii="黑体" w:hAnsi="黑体" w:eastAsia="黑体" w:cs="黑体"/>
          <w:kern w:val="44"/>
          <w:szCs w:val="44"/>
        </w:rPr>
        <w:t>附件1</w:t>
      </w:r>
      <w:bookmarkEnd w:id="11"/>
    </w:p>
    <w:p w14:paraId="03DB9919">
      <w:pPr>
        <w:spacing w:line="360" w:lineRule="auto"/>
        <w:jc w:val="right"/>
        <w:rPr>
          <w:rFonts w:eastAsia="黑体" w:cs="Times New Roman"/>
          <w:bCs/>
          <w:szCs w:val="32"/>
        </w:rPr>
      </w:pPr>
    </w:p>
    <w:p w14:paraId="3AF1BC33">
      <w:pPr>
        <w:ind w:firstLine="0" w:firstLineChars="0"/>
        <w:jc w:val="center"/>
        <w:outlineLvl w:val="0"/>
        <w:rPr>
          <w:rFonts w:eastAsia="方正小标宋简体" w:cs="Times New Roman"/>
          <w:sz w:val="36"/>
          <w:szCs w:val="36"/>
        </w:rPr>
      </w:pPr>
      <w:bookmarkStart w:id="13" w:name="_Hlk121408099"/>
      <w:r>
        <w:rPr>
          <w:rFonts w:hint="eastAsia" w:eastAsia="方正小标宋简体" w:cs="Times New Roman"/>
          <w:sz w:val="36"/>
          <w:szCs w:val="36"/>
          <w:lang w:eastAsia="zh-CN"/>
        </w:rPr>
        <w:t>北京市</w:t>
      </w:r>
      <w:r>
        <w:rPr>
          <w:rFonts w:eastAsia="方正小标宋简体" w:cs="Times New Roman"/>
          <w:sz w:val="36"/>
          <w:szCs w:val="36"/>
        </w:rPr>
        <w:t>密云区气候投融资</w:t>
      </w:r>
      <w:bookmarkEnd w:id="13"/>
      <w:r>
        <w:rPr>
          <w:rFonts w:eastAsia="方正小标宋简体" w:cs="Times New Roman"/>
          <w:sz w:val="36"/>
          <w:szCs w:val="36"/>
        </w:rPr>
        <w:t>项目分类目录（生态涵养区</w:t>
      </w:r>
      <w:r>
        <w:rPr>
          <w:rFonts w:hint="eastAsia" w:eastAsia="方正小标宋简体" w:cs="Times New Roman"/>
          <w:sz w:val="36"/>
          <w:szCs w:val="36"/>
          <w:lang w:val="en-US" w:eastAsia="zh-CN"/>
        </w:rPr>
        <w:t xml:space="preserve"> </w:t>
      </w:r>
      <w:r>
        <w:rPr>
          <w:rFonts w:hint="eastAsia" w:eastAsia="方正小标宋简体" w:cs="Times New Roman"/>
          <w:sz w:val="36"/>
          <w:szCs w:val="36"/>
          <w:lang w:eastAsia="zh-CN"/>
        </w:rPr>
        <w:t>试行</w:t>
      </w:r>
      <w:r>
        <w:rPr>
          <w:rFonts w:eastAsia="方正小标宋简体" w:cs="Times New Roman"/>
          <w:sz w:val="36"/>
          <w:szCs w:val="36"/>
        </w:rPr>
        <w:t>）</w:t>
      </w:r>
    </w:p>
    <w:p w14:paraId="6441C20E">
      <w:pPr>
        <w:ind w:firstLine="643"/>
        <w:rPr>
          <w:rFonts w:hint="eastAsia" w:ascii="仿宋_GB2312" w:hAnsi="仿宋_GB2312" w:eastAsia="仿宋_GB2312" w:cs="仿宋_GB2312"/>
          <w:b/>
          <w:bCs/>
        </w:rPr>
      </w:pPr>
      <w:r>
        <w:rPr>
          <w:rFonts w:hint="eastAsia" w:ascii="仿宋_GB2312" w:hAnsi="仿宋_GB2312" w:eastAsia="仿宋_GB2312" w:cs="仿宋_GB2312"/>
          <w:b/>
          <w:bCs/>
        </w:rPr>
        <w:t>附件1-1减缓气候变化类项目</w:t>
      </w:r>
    </w:p>
    <w:tbl>
      <w:tblPr>
        <w:tblStyle w:val="15"/>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8"/>
        <w:gridCol w:w="1456"/>
        <w:gridCol w:w="2006"/>
        <w:gridCol w:w="4883"/>
        <w:gridCol w:w="635"/>
        <w:gridCol w:w="1547"/>
        <w:gridCol w:w="1583"/>
        <w:gridCol w:w="1105"/>
      </w:tblGrid>
      <w:tr w14:paraId="21AB4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tblHeader/>
        </w:trPr>
        <w:tc>
          <w:tcPr>
            <w:tcW w:w="335" w:type="pct"/>
            <w:shd w:val="clear" w:color="auto" w:fill="auto"/>
            <w:vAlign w:val="center"/>
          </w:tcPr>
          <w:p w14:paraId="710CBD7C">
            <w:pPr>
              <w:widowControl/>
              <w:spacing w:line="240" w:lineRule="auto"/>
              <w:ind w:firstLine="0" w:firstLineChars="0"/>
              <w:jc w:val="center"/>
              <w:textAlignment w:val="center"/>
              <w:rPr>
                <w:rFonts w:eastAsia="仿宋" w:cs="Times New Roman"/>
                <w:b/>
                <w:bCs/>
                <w:kern w:val="0"/>
                <w:sz w:val="20"/>
                <w:szCs w:val="20"/>
                <w:lang w:bidi="ar"/>
              </w:rPr>
            </w:pPr>
            <w:r>
              <w:rPr>
                <w:rFonts w:eastAsia="仿宋" w:cs="Times New Roman"/>
                <w:b/>
                <w:bCs/>
                <w:kern w:val="0"/>
                <w:sz w:val="20"/>
                <w:szCs w:val="20"/>
                <w:lang w:bidi="ar"/>
              </w:rPr>
              <w:t>一级</w:t>
            </w:r>
          </w:p>
          <w:p w14:paraId="78E805BD">
            <w:pPr>
              <w:widowControl/>
              <w:spacing w:line="240" w:lineRule="auto"/>
              <w:ind w:firstLine="0" w:firstLineChars="0"/>
              <w:jc w:val="center"/>
              <w:textAlignment w:val="center"/>
              <w:rPr>
                <w:rFonts w:eastAsia="仿宋" w:cs="Times New Roman"/>
                <w:b/>
                <w:bCs/>
                <w:sz w:val="20"/>
                <w:szCs w:val="20"/>
              </w:rPr>
            </w:pPr>
            <w:r>
              <w:rPr>
                <w:rFonts w:eastAsia="仿宋" w:cs="Times New Roman"/>
                <w:b/>
                <w:bCs/>
                <w:kern w:val="0"/>
                <w:sz w:val="20"/>
                <w:szCs w:val="20"/>
                <w:lang w:bidi="ar"/>
              </w:rPr>
              <w:t>分类</w:t>
            </w:r>
          </w:p>
        </w:tc>
        <w:tc>
          <w:tcPr>
            <w:tcW w:w="514" w:type="pct"/>
            <w:shd w:val="clear" w:color="auto" w:fill="auto"/>
            <w:vAlign w:val="center"/>
          </w:tcPr>
          <w:p w14:paraId="4E42AD7C">
            <w:pPr>
              <w:widowControl/>
              <w:spacing w:line="240" w:lineRule="auto"/>
              <w:ind w:firstLine="0" w:firstLineChars="0"/>
              <w:jc w:val="center"/>
              <w:textAlignment w:val="center"/>
              <w:rPr>
                <w:rFonts w:eastAsia="仿宋" w:cs="Times New Roman"/>
                <w:b/>
                <w:bCs/>
                <w:sz w:val="20"/>
                <w:szCs w:val="20"/>
              </w:rPr>
            </w:pPr>
            <w:r>
              <w:rPr>
                <w:rFonts w:eastAsia="仿宋" w:cs="Times New Roman"/>
                <w:b/>
                <w:bCs/>
                <w:kern w:val="0"/>
                <w:sz w:val="20"/>
                <w:szCs w:val="20"/>
                <w:lang w:bidi="ar"/>
              </w:rPr>
              <w:t>二级分类</w:t>
            </w:r>
          </w:p>
        </w:tc>
        <w:tc>
          <w:tcPr>
            <w:tcW w:w="708" w:type="pct"/>
            <w:shd w:val="clear" w:color="auto" w:fill="auto"/>
            <w:vAlign w:val="center"/>
          </w:tcPr>
          <w:p w14:paraId="422C510A">
            <w:pPr>
              <w:widowControl/>
              <w:spacing w:line="240" w:lineRule="auto"/>
              <w:ind w:firstLine="0" w:firstLineChars="0"/>
              <w:jc w:val="center"/>
              <w:textAlignment w:val="center"/>
              <w:rPr>
                <w:rFonts w:eastAsia="仿宋" w:cs="Times New Roman"/>
                <w:b/>
                <w:bCs/>
                <w:sz w:val="20"/>
                <w:szCs w:val="20"/>
              </w:rPr>
            </w:pPr>
            <w:r>
              <w:rPr>
                <w:rFonts w:eastAsia="仿宋" w:cs="Times New Roman"/>
                <w:b/>
                <w:bCs/>
                <w:kern w:val="0"/>
                <w:sz w:val="20"/>
                <w:szCs w:val="20"/>
                <w:lang w:bidi="ar"/>
              </w:rPr>
              <w:t>三级分类</w:t>
            </w:r>
          </w:p>
        </w:tc>
        <w:tc>
          <w:tcPr>
            <w:tcW w:w="1723" w:type="pct"/>
            <w:shd w:val="clear" w:color="auto" w:fill="auto"/>
            <w:vAlign w:val="center"/>
          </w:tcPr>
          <w:p w14:paraId="0CA8F7A8">
            <w:pPr>
              <w:widowControl/>
              <w:spacing w:line="240" w:lineRule="auto"/>
              <w:ind w:firstLine="0" w:firstLineChars="0"/>
              <w:jc w:val="center"/>
              <w:textAlignment w:val="center"/>
              <w:rPr>
                <w:rFonts w:eastAsia="仿宋" w:cs="Times New Roman"/>
                <w:b/>
                <w:bCs/>
                <w:sz w:val="20"/>
                <w:szCs w:val="20"/>
              </w:rPr>
            </w:pPr>
            <w:r>
              <w:rPr>
                <w:rFonts w:eastAsia="仿宋" w:cs="Times New Roman"/>
                <w:b/>
                <w:bCs/>
                <w:kern w:val="0"/>
                <w:sz w:val="20"/>
                <w:szCs w:val="20"/>
                <w:lang w:bidi="ar"/>
              </w:rPr>
              <w:t>解释说明</w:t>
            </w:r>
          </w:p>
        </w:tc>
        <w:tc>
          <w:tcPr>
            <w:tcW w:w="224" w:type="pct"/>
            <w:shd w:val="clear" w:color="auto" w:fill="auto"/>
            <w:vAlign w:val="center"/>
          </w:tcPr>
          <w:p w14:paraId="562B97B5">
            <w:pPr>
              <w:widowControl/>
              <w:spacing w:line="240" w:lineRule="auto"/>
              <w:ind w:firstLine="0" w:firstLineChars="0"/>
              <w:jc w:val="center"/>
              <w:textAlignment w:val="center"/>
              <w:rPr>
                <w:rFonts w:eastAsia="仿宋" w:cs="Times New Roman"/>
                <w:b/>
                <w:bCs/>
                <w:sz w:val="20"/>
                <w:szCs w:val="20"/>
              </w:rPr>
            </w:pPr>
            <w:r>
              <w:rPr>
                <w:rFonts w:eastAsia="仿宋" w:cs="Times New Roman"/>
                <w:b/>
                <w:bCs/>
                <w:kern w:val="0"/>
                <w:sz w:val="20"/>
                <w:szCs w:val="20"/>
                <w:lang w:bidi="ar"/>
              </w:rPr>
              <w:t>项目类型</w:t>
            </w:r>
          </w:p>
        </w:tc>
        <w:tc>
          <w:tcPr>
            <w:tcW w:w="546" w:type="pct"/>
            <w:shd w:val="clear" w:color="auto" w:fill="auto"/>
            <w:vAlign w:val="center"/>
          </w:tcPr>
          <w:p w14:paraId="5818D4DD">
            <w:pPr>
              <w:widowControl/>
              <w:spacing w:line="240" w:lineRule="auto"/>
              <w:ind w:firstLine="0" w:firstLineChars="0"/>
              <w:jc w:val="center"/>
              <w:textAlignment w:val="center"/>
              <w:rPr>
                <w:rFonts w:eastAsia="仿宋" w:cs="Times New Roman"/>
                <w:b/>
                <w:bCs/>
                <w:kern w:val="0"/>
                <w:sz w:val="20"/>
                <w:szCs w:val="20"/>
                <w:lang w:bidi="ar"/>
              </w:rPr>
            </w:pPr>
            <w:r>
              <w:rPr>
                <w:rFonts w:eastAsia="仿宋" w:cs="Times New Roman"/>
                <w:b/>
                <w:bCs/>
                <w:kern w:val="0"/>
                <w:sz w:val="20"/>
                <w:szCs w:val="20"/>
                <w:lang w:bidi="ar"/>
              </w:rPr>
              <w:t>绿色低碳转型产业指导目录</w:t>
            </w:r>
          </w:p>
          <w:p w14:paraId="71752020">
            <w:pPr>
              <w:widowControl/>
              <w:spacing w:line="240" w:lineRule="auto"/>
              <w:ind w:firstLine="0" w:firstLineChars="0"/>
              <w:jc w:val="center"/>
              <w:textAlignment w:val="center"/>
              <w:rPr>
                <w:rFonts w:eastAsia="仿宋" w:cs="Times New Roman"/>
                <w:b/>
                <w:bCs/>
                <w:sz w:val="20"/>
                <w:szCs w:val="20"/>
              </w:rPr>
            </w:pPr>
            <w:r>
              <w:rPr>
                <w:rFonts w:eastAsia="仿宋" w:cs="Times New Roman"/>
                <w:b/>
                <w:bCs/>
                <w:kern w:val="0"/>
                <w:sz w:val="20"/>
                <w:szCs w:val="20"/>
                <w:lang w:bidi="ar"/>
              </w:rPr>
              <w:t>（2024年版）</w:t>
            </w:r>
          </w:p>
        </w:tc>
        <w:tc>
          <w:tcPr>
            <w:tcW w:w="558" w:type="pct"/>
            <w:shd w:val="clear" w:color="auto" w:fill="auto"/>
            <w:vAlign w:val="center"/>
          </w:tcPr>
          <w:p w14:paraId="1433DC3C">
            <w:pPr>
              <w:widowControl/>
              <w:spacing w:line="240" w:lineRule="auto"/>
              <w:ind w:firstLine="0" w:firstLineChars="0"/>
              <w:jc w:val="center"/>
              <w:textAlignment w:val="center"/>
              <w:rPr>
                <w:rFonts w:eastAsia="仿宋" w:cs="Times New Roman"/>
                <w:b/>
                <w:bCs/>
                <w:kern w:val="0"/>
                <w:sz w:val="20"/>
                <w:szCs w:val="20"/>
                <w:lang w:bidi="ar"/>
              </w:rPr>
            </w:pPr>
            <w:r>
              <w:rPr>
                <w:rFonts w:eastAsia="仿宋" w:cs="Times New Roman"/>
                <w:b/>
                <w:bCs/>
                <w:kern w:val="0"/>
                <w:sz w:val="20"/>
                <w:szCs w:val="20"/>
                <w:lang w:bidi="ar"/>
              </w:rPr>
              <w:t>绿色债券支持项目目录</w:t>
            </w:r>
          </w:p>
          <w:p w14:paraId="2F809D3F">
            <w:pPr>
              <w:widowControl/>
              <w:spacing w:line="240" w:lineRule="auto"/>
              <w:ind w:firstLine="0" w:firstLineChars="0"/>
              <w:jc w:val="center"/>
              <w:textAlignment w:val="center"/>
              <w:rPr>
                <w:rFonts w:eastAsia="宋体" w:cs="Times New Roman"/>
                <w:b/>
                <w:bCs/>
                <w:sz w:val="20"/>
                <w:szCs w:val="20"/>
              </w:rPr>
            </w:pPr>
            <w:r>
              <w:rPr>
                <w:rFonts w:eastAsia="仿宋" w:cs="Times New Roman"/>
                <w:b/>
                <w:bCs/>
                <w:kern w:val="0"/>
                <w:sz w:val="20"/>
                <w:szCs w:val="20"/>
                <w:lang w:bidi="ar"/>
              </w:rPr>
              <w:t>（</w:t>
            </w:r>
            <w:r>
              <w:rPr>
                <w:rFonts w:eastAsia="宋体" w:cs="Times New Roman"/>
                <w:b/>
                <w:bCs/>
                <w:kern w:val="0"/>
                <w:sz w:val="20"/>
                <w:szCs w:val="20"/>
                <w:lang w:bidi="ar"/>
              </w:rPr>
              <w:t>2021</w:t>
            </w:r>
            <w:r>
              <w:rPr>
                <w:rFonts w:eastAsia="仿宋" w:cs="Times New Roman"/>
                <w:b/>
                <w:bCs/>
                <w:kern w:val="0"/>
                <w:sz w:val="20"/>
                <w:szCs w:val="20"/>
                <w:lang w:bidi="ar"/>
              </w:rPr>
              <w:t>年版）</w:t>
            </w:r>
          </w:p>
        </w:tc>
        <w:tc>
          <w:tcPr>
            <w:tcW w:w="390" w:type="pct"/>
            <w:shd w:val="clear" w:color="auto" w:fill="auto"/>
            <w:vAlign w:val="center"/>
          </w:tcPr>
          <w:p w14:paraId="2AF2E76E">
            <w:pPr>
              <w:widowControl/>
              <w:spacing w:line="240" w:lineRule="auto"/>
              <w:ind w:firstLine="0" w:firstLineChars="0"/>
              <w:jc w:val="center"/>
              <w:textAlignment w:val="center"/>
              <w:rPr>
                <w:rFonts w:eastAsia="宋体" w:cs="Times New Roman"/>
                <w:b/>
                <w:bCs/>
                <w:sz w:val="20"/>
                <w:szCs w:val="20"/>
              </w:rPr>
            </w:pPr>
            <w:r>
              <w:rPr>
                <w:rFonts w:eastAsia="仿宋" w:cs="Times New Roman"/>
                <w:b/>
                <w:bCs/>
                <w:kern w:val="0"/>
                <w:sz w:val="20"/>
                <w:szCs w:val="20"/>
                <w:lang w:bidi="ar"/>
              </w:rPr>
              <w:t>绿色融资统计</w:t>
            </w:r>
            <w:r>
              <w:rPr>
                <w:rFonts w:eastAsia="宋体" w:cs="Times New Roman"/>
                <w:b/>
                <w:bCs/>
                <w:kern w:val="0"/>
                <w:sz w:val="20"/>
                <w:szCs w:val="20"/>
                <w:lang w:bidi="ar"/>
              </w:rPr>
              <w:t>(2020</w:t>
            </w:r>
            <w:r>
              <w:rPr>
                <w:rFonts w:eastAsia="仿宋" w:cs="Times New Roman"/>
                <w:b/>
                <w:bCs/>
                <w:kern w:val="0"/>
                <w:sz w:val="20"/>
                <w:szCs w:val="20"/>
                <w:lang w:bidi="ar"/>
              </w:rPr>
              <w:t>年版</w:t>
            </w:r>
            <w:r>
              <w:rPr>
                <w:rFonts w:eastAsia="宋体" w:cs="Times New Roman"/>
                <w:b/>
                <w:bCs/>
                <w:kern w:val="0"/>
                <w:sz w:val="20"/>
                <w:szCs w:val="20"/>
                <w:lang w:bidi="ar"/>
              </w:rPr>
              <w:t>)</w:t>
            </w:r>
          </w:p>
        </w:tc>
      </w:tr>
      <w:tr w14:paraId="6301A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335" w:type="pct"/>
            <w:vMerge w:val="restart"/>
            <w:shd w:val="clear" w:color="auto" w:fill="auto"/>
            <w:vAlign w:val="center"/>
          </w:tcPr>
          <w:p w14:paraId="2B4AE1AB">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M.1低碳工业体系</w:t>
            </w:r>
          </w:p>
        </w:tc>
        <w:tc>
          <w:tcPr>
            <w:tcW w:w="514" w:type="pct"/>
            <w:vMerge w:val="restart"/>
            <w:shd w:val="clear" w:color="auto" w:fill="auto"/>
            <w:vAlign w:val="center"/>
          </w:tcPr>
          <w:p w14:paraId="6056554B">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M.1.1 工业低碳转型</w:t>
            </w:r>
          </w:p>
        </w:tc>
        <w:tc>
          <w:tcPr>
            <w:tcW w:w="708" w:type="pct"/>
            <w:shd w:val="clear" w:color="auto" w:fill="auto"/>
            <w:vAlign w:val="center"/>
          </w:tcPr>
          <w:p w14:paraId="780A84ED">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M.1.1.1 工艺改进和能量系统优化</w:t>
            </w:r>
          </w:p>
        </w:tc>
        <w:tc>
          <w:tcPr>
            <w:tcW w:w="1723" w:type="pct"/>
            <w:shd w:val="clear" w:color="auto" w:fill="auto"/>
            <w:vAlign w:val="center"/>
          </w:tcPr>
          <w:p w14:paraId="38033CB9">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包括通过工艺改进和流程优化、清洁生产措施、系统技术集成应用、能量系统设计与控制优化等技术手段，对工业生产过程能源流、物质流、信息流实施协同优化，提高生产效率、提高能源梯级利用成效，使生产系统整体能效提升、降低资源消耗、减少污染物和温室气体排放。</w:t>
            </w:r>
          </w:p>
        </w:tc>
        <w:tc>
          <w:tcPr>
            <w:tcW w:w="224" w:type="pct"/>
            <w:shd w:val="clear" w:color="auto" w:fill="auto"/>
            <w:vAlign w:val="center"/>
          </w:tcPr>
          <w:p w14:paraId="7AE006DB">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II</w:t>
            </w:r>
          </w:p>
        </w:tc>
        <w:tc>
          <w:tcPr>
            <w:tcW w:w="546" w:type="pct"/>
            <w:shd w:val="clear" w:color="auto" w:fill="auto"/>
            <w:vAlign w:val="center"/>
          </w:tcPr>
          <w:p w14:paraId="217249B4">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1.3.6；1.4.2；1.5.3；2.5.6</w:t>
            </w:r>
          </w:p>
        </w:tc>
        <w:tc>
          <w:tcPr>
            <w:tcW w:w="558" w:type="pct"/>
            <w:shd w:val="clear" w:color="auto" w:fill="auto"/>
            <w:vAlign w:val="center"/>
          </w:tcPr>
          <w:p w14:paraId="1374F54B">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1.1.2.4</w:t>
            </w:r>
          </w:p>
        </w:tc>
        <w:tc>
          <w:tcPr>
            <w:tcW w:w="390" w:type="pct"/>
            <w:shd w:val="clear" w:color="auto" w:fill="auto"/>
            <w:vAlign w:val="center"/>
          </w:tcPr>
          <w:p w14:paraId="2BE2731C">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1.5</w:t>
            </w:r>
          </w:p>
        </w:tc>
      </w:tr>
      <w:tr w14:paraId="7BA96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335" w:type="pct"/>
            <w:vMerge w:val="continue"/>
            <w:shd w:val="clear" w:color="auto" w:fill="auto"/>
            <w:vAlign w:val="center"/>
          </w:tcPr>
          <w:p w14:paraId="7A772C05">
            <w:pPr>
              <w:widowControl/>
              <w:spacing w:line="240" w:lineRule="auto"/>
              <w:ind w:firstLine="0" w:firstLineChars="0"/>
              <w:jc w:val="left"/>
              <w:rPr>
                <w:rFonts w:eastAsia="仿宋" w:cs="Times New Roman"/>
                <w:sz w:val="20"/>
                <w:szCs w:val="20"/>
              </w:rPr>
            </w:pPr>
          </w:p>
        </w:tc>
        <w:tc>
          <w:tcPr>
            <w:tcW w:w="514" w:type="pct"/>
            <w:vMerge w:val="continue"/>
            <w:shd w:val="clear" w:color="auto" w:fill="auto"/>
            <w:vAlign w:val="center"/>
          </w:tcPr>
          <w:p w14:paraId="0EF4E842">
            <w:pPr>
              <w:widowControl/>
              <w:spacing w:line="240" w:lineRule="auto"/>
              <w:ind w:firstLine="0" w:firstLineChars="0"/>
              <w:jc w:val="left"/>
              <w:rPr>
                <w:rFonts w:eastAsia="仿宋" w:cs="Times New Roman"/>
                <w:sz w:val="20"/>
                <w:szCs w:val="20"/>
              </w:rPr>
            </w:pPr>
          </w:p>
        </w:tc>
        <w:tc>
          <w:tcPr>
            <w:tcW w:w="708" w:type="pct"/>
            <w:shd w:val="clear" w:color="auto" w:fill="auto"/>
            <w:vAlign w:val="center"/>
          </w:tcPr>
          <w:p w14:paraId="1536D8F8">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M.1.1.2 节能降碳改造和能效提升</w:t>
            </w:r>
          </w:p>
        </w:tc>
        <w:tc>
          <w:tcPr>
            <w:tcW w:w="1723" w:type="pct"/>
            <w:shd w:val="clear" w:color="auto" w:fill="auto"/>
            <w:vAlign w:val="center"/>
          </w:tcPr>
          <w:p w14:paraId="70E0CF06">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包括锅炉（窑炉）节能改造和能效提升；汽轮发电机组系统能效提升；电机系统能效提升；余热余压利用；绿色照明改造；汽车及零部件生产制造</w:t>
            </w:r>
            <w:r>
              <w:rPr>
                <w:rStyle w:val="49"/>
                <w:rFonts w:hint="default" w:ascii="Times New Roman" w:hAnsi="Times New Roman" w:cs="Times New Roman"/>
                <w:color w:val="auto"/>
                <w:lang w:bidi="ar"/>
              </w:rPr>
              <w:t>等重点工业行业节能降碳改造和能效提升等。</w:t>
            </w:r>
          </w:p>
        </w:tc>
        <w:tc>
          <w:tcPr>
            <w:tcW w:w="224" w:type="pct"/>
            <w:shd w:val="clear" w:color="auto" w:fill="auto"/>
            <w:vAlign w:val="center"/>
          </w:tcPr>
          <w:p w14:paraId="56779FF3">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II</w:t>
            </w:r>
          </w:p>
        </w:tc>
        <w:tc>
          <w:tcPr>
            <w:tcW w:w="546" w:type="pct"/>
            <w:shd w:val="clear" w:color="auto" w:fill="auto"/>
            <w:vAlign w:val="center"/>
          </w:tcPr>
          <w:p w14:paraId="168D3154">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1.3.1-1.3.3；1.3.5；1.3.7；1.4.1</w:t>
            </w:r>
          </w:p>
        </w:tc>
        <w:tc>
          <w:tcPr>
            <w:tcW w:w="558" w:type="pct"/>
            <w:shd w:val="clear" w:color="auto" w:fill="auto"/>
            <w:vAlign w:val="center"/>
          </w:tcPr>
          <w:p w14:paraId="1A113014">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1.1.2.1；1.1.2.2；1.1.2.3；1.1.3.1；1.1.2.5</w:t>
            </w:r>
          </w:p>
        </w:tc>
        <w:tc>
          <w:tcPr>
            <w:tcW w:w="390" w:type="pct"/>
            <w:shd w:val="clear" w:color="auto" w:fill="auto"/>
            <w:vAlign w:val="center"/>
          </w:tcPr>
          <w:p w14:paraId="767C2B52">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1.5</w:t>
            </w:r>
          </w:p>
        </w:tc>
      </w:tr>
      <w:tr w14:paraId="202C5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335" w:type="pct"/>
            <w:vMerge w:val="continue"/>
            <w:shd w:val="clear" w:color="auto" w:fill="auto"/>
            <w:vAlign w:val="center"/>
          </w:tcPr>
          <w:p w14:paraId="01894E01">
            <w:pPr>
              <w:widowControl/>
              <w:spacing w:line="240" w:lineRule="auto"/>
              <w:ind w:firstLine="0" w:firstLineChars="0"/>
              <w:jc w:val="left"/>
              <w:rPr>
                <w:rFonts w:eastAsia="仿宋" w:cs="Times New Roman"/>
                <w:sz w:val="20"/>
                <w:szCs w:val="20"/>
              </w:rPr>
            </w:pPr>
          </w:p>
        </w:tc>
        <w:tc>
          <w:tcPr>
            <w:tcW w:w="514" w:type="pct"/>
            <w:vMerge w:val="continue"/>
            <w:shd w:val="clear" w:color="auto" w:fill="auto"/>
            <w:vAlign w:val="center"/>
          </w:tcPr>
          <w:p w14:paraId="3078A7E0">
            <w:pPr>
              <w:widowControl/>
              <w:spacing w:line="240" w:lineRule="auto"/>
              <w:ind w:firstLine="0" w:firstLineChars="0"/>
              <w:jc w:val="left"/>
              <w:rPr>
                <w:rFonts w:eastAsia="仿宋" w:cs="Times New Roman"/>
                <w:sz w:val="20"/>
                <w:szCs w:val="20"/>
              </w:rPr>
            </w:pPr>
          </w:p>
        </w:tc>
        <w:tc>
          <w:tcPr>
            <w:tcW w:w="708" w:type="pct"/>
            <w:shd w:val="clear" w:color="auto" w:fill="auto"/>
            <w:vAlign w:val="center"/>
          </w:tcPr>
          <w:p w14:paraId="1718DE07">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M.1.1.3 数字化、智能化升级</w:t>
            </w:r>
          </w:p>
        </w:tc>
        <w:tc>
          <w:tcPr>
            <w:tcW w:w="1723" w:type="pct"/>
            <w:shd w:val="clear" w:color="auto" w:fill="auto"/>
            <w:vAlign w:val="center"/>
          </w:tcPr>
          <w:p w14:paraId="281C3E3B">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以提升工业生产管理数字化、智能化水平为目的，开展的数字化、智能化升级活动，如能源、碳排放、污染物排放和重要物料等监测、管控系统及数据库建设，重点生产流程、环节及重要设备、系统等监测、分析、调度系统建设，数字化、远程化、无人化生产管理系统建设，生产线智能装备应用和智能化改造等。</w:t>
            </w:r>
          </w:p>
        </w:tc>
        <w:tc>
          <w:tcPr>
            <w:tcW w:w="224" w:type="pct"/>
            <w:shd w:val="clear" w:color="auto" w:fill="auto"/>
            <w:vAlign w:val="center"/>
          </w:tcPr>
          <w:p w14:paraId="58BFC4ED">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II</w:t>
            </w:r>
          </w:p>
        </w:tc>
        <w:tc>
          <w:tcPr>
            <w:tcW w:w="546" w:type="pct"/>
            <w:shd w:val="clear" w:color="auto" w:fill="auto"/>
            <w:vAlign w:val="center"/>
          </w:tcPr>
          <w:p w14:paraId="0E82DE51">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1.4.3</w:t>
            </w:r>
          </w:p>
        </w:tc>
        <w:tc>
          <w:tcPr>
            <w:tcW w:w="558" w:type="pct"/>
            <w:shd w:val="clear" w:color="auto" w:fill="auto"/>
            <w:vAlign w:val="center"/>
          </w:tcPr>
          <w:p w14:paraId="59D07E5D">
            <w:pPr>
              <w:widowControl/>
              <w:spacing w:line="240" w:lineRule="auto"/>
              <w:ind w:firstLine="0" w:firstLineChars="0"/>
              <w:jc w:val="center"/>
              <w:rPr>
                <w:rFonts w:eastAsia="宋体" w:cs="Times New Roman"/>
                <w:sz w:val="20"/>
                <w:szCs w:val="20"/>
              </w:rPr>
            </w:pPr>
          </w:p>
        </w:tc>
        <w:tc>
          <w:tcPr>
            <w:tcW w:w="390" w:type="pct"/>
            <w:shd w:val="clear" w:color="auto" w:fill="auto"/>
            <w:vAlign w:val="center"/>
          </w:tcPr>
          <w:p w14:paraId="506BF2C1">
            <w:pPr>
              <w:widowControl/>
              <w:spacing w:line="240" w:lineRule="auto"/>
              <w:ind w:firstLine="0" w:firstLineChars="0"/>
              <w:jc w:val="center"/>
              <w:rPr>
                <w:rFonts w:eastAsia="宋体" w:cs="Times New Roman"/>
                <w:sz w:val="20"/>
                <w:szCs w:val="20"/>
              </w:rPr>
            </w:pPr>
          </w:p>
        </w:tc>
      </w:tr>
      <w:tr w14:paraId="1097F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335" w:type="pct"/>
            <w:vMerge w:val="continue"/>
            <w:shd w:val="clear" w:color="auto" w:fill="auto"/>
            <w:vAlign w:val="center"/>
          </w:tcPr>
          <w:p w14:paraId="439B3231">
            <w:pPr>
              <w:widowControl/>
              <w:spacing w:line="240" w:lineRule="auto"/>
              <w:ind w:firstLine="0" w:firstLineChars="0"/>
              <w:jc w:val="left"/>
              <w:rPr>
                <w:rFonts w:eastAsia="仿宋" w:cs="Times New Roman"/>
                <w:sz w:val="20"/>
                <w:szCs w:val="20"/>
              </w:rPr>
            </w:pPr>
          </w:p>
        </w:tc>
        <w:tc>
          <w:tcPr>
            <w:tcW w:w="514" w:type="pct"/>
            <w:vMerge w:val="continue"/>
            <w:shd w:val="clear" w:color="auto" w:fill="auto"/>
            <w:vAlign w:val="center"/>
          </w:tcPr>
          <w:p w14:paraId="20C57154">
            <w:pPr>
              <w:widowControl/>
              <w:spacing w:line="240" w:lineRule="auto"/>
              <w:ind w:firstLine="0" w:firstLineChars="0"/>
              <w:jc w:val="left"/>
              <w:rPr>
                <w:rFonts w:eastAsia="仿宋" w:cs="Times New Roman"/>
                <w:sz w:val="20"/>
                <w:szCs w:val="20"/>
              </w:rPr>
            </w:pPr>
          </w:p>
        </w:tc>
        <w:tc>
          <w:tcPr>
            <w:tcW w:w="708" w:type="pct"/>
            <w:shd w:val="clear" w:color="auto" w:fill="auto"/>
            <w:vAlign w:val="center"/>
          </w:tcPr>
          <w:p w14:paraId="240237C2">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M.1.1.4 产业园区绿色升级</w:t>
            </w:r>
          </w:p>
        </w:tc>
        <w:tc>
          <w:tcPr>
            <w:tcW w:w="1723" w:type="pct"/>
            <w:shd w:val="clear" w:color="auto" w:fill="auto"/>
            <w:vAlign w:val="center"/>
          </w:tcPr>
          <w:p w14:paraId="0B2B06DA">
            <w:pPr>
              <w:widowControl/>
              <w:spacing w:line="240" w:lineRule="auto"/>
              <w:ind w:firstLine="0" w:firstLineChars="0"/>
              <w:jc w:val="left"/>
              <w:textAlignment w:val="center"/>
              <w:rPr>
                <w:rFonts w:eastAsia="仿宋" w:cs="Times New Roman"/>
                <w:sz w:val="20"/>
                <w:szCs w:val="20"/>
              </w:rPr>
            </w:pPr>
            <w:r>
              <w:rPr>
                <w:rStyle w:val="49"/>
                <w:rFonts w:hint="default" w:ascii="Times New Roman" w:hAnsi="Times New Roman" w:cs="Times New Roman"/>
                <w:color w:val="auto"/>
                <w:lang w:bidi="ar"/>
              </w:rPr>
              <w:t>包括园区污染治理集中化改造；</w:t>
            </w:r>
            <w:r>
              <w:rPr>
                <w:rFonts w:eastAsia="仿宋" w:cs="Times New Roman"/>
                <w:kern w:val="0"/>
                <w:sz w:val="20"/>
                <w:szCs w:val="20"/>
                <w:lang w:bidi="ar"/>
              </w:rPr>
              <w:t>园区循环化改造</w:t>
            </w:r>
            <w:r>
              <w:rPr>
                <w:rStyle w:val="49"/>
                <w:rFonts w:hint="default" w:ascii="Times New Roman" w:hAnsi="Times New Roman" w:cs="Times New Roman"/>
                <w:color w:val="auto"/>
                <w:lang w:bidi="ar"/>
              </w:rPr>
              <w:t>等。</w:t>
            </w:r>
          </w:p>
        </w:tc>
        <w:tc>
          <w:tcPr>
            <w:tcW w:w="224" w:type="pct"/>
            <w:shd w:val="clear" w:color="auto" w:fill="auto"/>
            <w:vAlign w:val="center"/>
          </w:tcPr>
          <w:p w14:paraId="7758DCAC">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II</w:t>
            </w:r>
          </w:p>
        </w:tc>
        <w:tc>
          <w:tcPr>
            <w:tcW w:w="546" w:type="pct"/>
            <w:shd w:val="clear" w:color="auto" w:fill="auto"/>
            <w:vAlign w:val="center"/>
          </w:tcPr>
          <w:p w14:paraId="049F27AE">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2.5.7；3.2.8</w:t>
            </w:r>
          </w:p>
        </w:tc>
        <w:tc>
          <w:tcPr>
            <w:tcW w:w="558" w:type="pct"/>
            <w:shd w:val="clear" w:color="auto" w:fill="auto"/>
            <w:vAlign w:val="center"/>
          </w:tcPr>
          <w:p w14:paraId="39D96891">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2.3.2.1；2.3.2.3</w:t>
            </w:r>
          </w:p>
        </w:tc>
        <w:tc>
          <w:tcPr>
            <w:tcW w:w="390" w:type="pct"/>
            <w:shd w:val="clear" w:color="auto" w:fill="auto"/>
            <w:vAlign w:val="center"/>
          </w:tcPr>
          <w:p w14:paraId="29F6DD4C">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2.1.1；2.1.2</w:t>
            </w:r>
          </w:p>
        </w:tc>
      </w:tr>
      <w:tr w14:paraId="33E26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35" w:type="pct"/>
            <w:vMerge w:val="continue"/>
            <w:shd w:val="clear" w:color="auto" w:fill="auto"/>
            <w:vAlign w:val="center"/>
          </w:tcPr>
          <w:p w14:paraId="123C21A8">
            <w:pPr>
              <w:widowControl/>
              <w:spacing w:line="240" w:lineRule="auto"/>
              <w:ind w:firstLine="0" w:firstLineChars="0"/>
              <w:jc w:val="left"/>
              <w:rPr>
                <w:rFonts w:eastAsia="仿宋" w:cs="Times New Roman"/>
                <w:sz w:val="20"/>
                <w:szCs w:val="20"/>
              </w:rPr>
            </w:pPr>
          </w:p>
        </w:tc>
        <w:tc>
          <w:tcPr>
            <w:tcW w:w="514" w:type="pct"/>
            <w:vMerge w:val="restart"/>
            <w:shd w:val="clear" w:color="auto" w:fill="auto"/>
            <w:vAlign w:val="center"/>
          </w:tcPr>
          <w:p w14:paraId="49ED37A9">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M.1.2 低碳技术装备与材料制造</w:t>
            </w:r>
          </w:p>
        </w:tc>
        <w:tc>
          <w:tcPr>
            <w:tcW w:w="708" w:type="pct"/>
            <w:shd w:val="clear" w:color="auto" w:fill="auto"/>
            <w:vAlign w:val="center"/>
          </w:tcPr>
          <w:p w14:paraId="3D7F0419">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M.1.2.1 新能源与清洁能源装备制造</w:t>
            </w:r>
          </w:p>
        </w:tc>
        <w:tc>
          <w:tcPr>
            <w:tcW w:w="1723" w:type="pct"/>
            <w:shd w:val="clear" w:color="auto" w:fill="auto"/>
            <w:vAlign w:val="center"/>
          </w:tcPr>
          <w:p w14:paraId="13458FC3">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包括太阳能发电装备制造；生物质能利用装备制造；水力发电和抽水蓄能装备制造；燃气轮机装备制造；地热能开发利用装备制造；新型储能装备制造；燃料电池装备制造、氢能“制储输用”全链条装备制造；智能电网产品和装备制造等。</w:t>
            </w:r>
          </w:p>
        </w:tc>
        <w:tc>
          <w:tcPr>
            <w:tcW w:w="224" w:type="pct"/>
            <w:shd w:val="clear" w:color="auto" w:fill="auto"/>
            <w:vAlign w:val="center"/>
          </w:tcPr>
          <w:p w14:paraId="58C849DC">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I</w:t>
            </w:r>
          </w:p>
        </w:tc>
        <w:tc>
          <w:tcPr>
            <w:tcW w:w="546" w:type="pct"/>
            <w:shd w:val="clear" w:color="auto" w:fill="auto"/>
            <w:vAlign w:val="center"/>
          </w:tcPr>
          <w:p w14:paraId="79E711A0">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4.1.2-4.1.4；4.1.6-4.1.7；4.1.11-4.1.13</w:t>
            </w:r>
          </w:p>
        </w:tc>
        <w:tc>
          <w:tcPr>
            <w:tcW w:w="558" w:type="pct"/>
            <w:shd w:val="clear" w:color="auto" w:fill="auto"/>
            <w:vAlign w:val="center"/>
          </w:tcPr>
          <w:p w14:paraId="77C6AA93">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3.1.1.1；3.2.1.1-3.2.1.8</w:t>
            </w:r>
          </w:p>
        </w:tc>
        <w:tc>
          <w:tcPr>
            <w:tcW w:w="390" w:type="pct"/>
            <w:shd w:val="clear" w:color="auto" w:fill="auto"/>
            <w:vAlign w:val="center"/>
          </w:tcPr>
          <w:p w14:paraId="1FF48062">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3.1</w:t>
            </w:r>
          </w:p>
        </w:tc>
      </w:tr>
      <w:tr w14:paraId="7B9F4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35" w:type="pct"/>
            <w:vMerge w:val="continue"/>
            <w:shd w:val="clear" w:color="auto" w:fill="auto"/>
            <w:vAlign w:val="center"/>
          </w:tcPr>
          <w:p w14:paraId="397A269D">
            <w:pPr>
              <w:widowControl/>
              <w:spacing w:line="240" w:lineRule="auto"/>
              <w:ind w:firstLine="0" w:firstLineChars="0"/>
              <w:jc w:val="left"/>
              <w:rPr>
                <w:rFonts w:eastAsia="仿宋" w:cs="Times New Roman"/>
                <w:sz w:val="20"/>
                <w:szCs w:val="20"/>
              </w:rPr>
            </w:pPr>
          </w:p>
        </w:tc>
        <w:tc>
          <w:tcPr>
            <w:tcW w:w="514" w:type="pct"/>
            <w:vMerge w:val="continue"/>
            <w:shd w:val="clear" w:color="auto" w:fill="auto"/>
            <w:vAlign w:val="center"/>
          </w:tcPr>
          <w:p w14:paraId="1A57F794">
            <w:pPr>
              <w:widowControl/>
              <w:spacing w:line="240" w:lineRule="auto"/>
              <w:ind w:firstLine="0" w:firstLineChars="0"/>
              <w:jc w:val="left"/>
              <w:rPr>
                <w:rFonts w:eastAsia="仿宋" w:cs="Times New Roman"/>
                <w:sz w:val="20"/>
                <w:szCs w:val="20"/>
              </w:rPr>
            </w:pPr>
          </w:p>
        </w:tc>
        <w:tc>
          <w:tcPr>
            <w:tcW w:w="708" w:type="pct"/>
            <w:shd w:val="clear" w:color="auto" w:fill="auto"/>
            <w:vAlign w:val="center"/>
          </w:tcPr>
          <w:p w14:paraId="318B4EDA">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M.1.2.2 高效节能装备制造</w:t>
            </w:r>
          </w:p>
        </w:tc>
        <w:tc>
          <w:tcPr>
            <w:tcW w:w="1723" w:type="pct"/>
            <w:shd w:val="clear" w:color="auto" w:fill="auto"/>
            <w:vAlign w:val="center"/>
          </w:tcPr>
          <w:p w14:paraId="4C12457C">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包括节能锅炉制造；节能窑炉制造；节能内燃机制造；高效发电机及发电机组制造；节能型泵及真空设备制造；节能型气体压缩设备制造；节能电动机、微特电机制造；节能风机风扇制造；节能型变压器、整流器、电感器和电焊机制造；高效节能磁悬浮动力装备制造；节能农资制造；节能采矿、建筑材料生产专用设备制造；高效节能低碳商用设备制造；高效节能低碳家用电器制造；高效照明产品及系统制造；高效节能炉具灶具设备制造；余热余压余气利用设备制造；能源计量、检测、监测、控制设备制造等节能装备及零件制造。</w:t>
            </w:r>
          </w:p>
        </w:tc>
        <w:tc>
          <w:tcPr>
            <w:tcW w:w="224" w:type="pct"/>
            <w:shd w:val="clear" w:color="auto" w:fill="auto"/>
            <w:vAlign w:val="center"/>
          </w:tcPr>
          <w:p w14:paraId="2D0B2A31">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I</w:t>
            </w:r>
          </w:p>
        </w:tc>
        <w:tc>
          <w:tcPr>
            <w:tcW w:w="546" w:type="pct"/>
            <w:shd w:val="clear" w:color="auto" w:fill="auto"/>
            <w:vAlign w:val="center"/>
          </w:tcPr>
          <w:p w14:paraId="15D618C4">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1.1.1-1.1.17；1.1.19</w:t>
            </w:r>
          </w:p>
        </w:tc>
        <w:tc>
          <w:tcPr>
            <w:tcW w:w="558" w:type="pct"/>
            <w:shd w:val="clear" w:color="auto" w:fill="auto"/>
            <w:vAlign w:val="center"/>
          </w:tcPr>
          <w:p w14:paraId="7CE95393">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1.1.1.1-1.1.1.14</w:t>
            </w:r>
          </w:p>
        </w:tc>
        <w:tc>
          <w:tcPr>
            <w:tcW w:w="390" w:type="pct"/>
            <w:shd w:val="clear" w:color="auto" w:fill="auto"/>
            <w:vAlign w:val="center"/>
          </w:tcPr>
          <w:p w14:paraId="432CC2A8">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1.1</w:t>
            </w:r>
          </w:p>
        </w:tc>
      </w:tr>
      <w:tr w14:paraId="4A5BB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35" w:type="pct"/>
            <w:vMerge w:val="continue"/>
            <w:shd w:val="clear" w:color="auto" w:fill="auto"/>
            <w:vAlign w:val="center"/>
          </w:tcPr>
          <w:p w14:paraId="4274B107">
            <w:pPr>
              <w:widowControl/>
              <w:spacing w:line="240" w:lineRule="auto"/>
              <w:ind w:firstLine="0" w:firstLineChars="0"/>
              <w:jc w:val="left"/>
              <w:rPr>
                <w:rFonts w:eastAsia="仿宋" w:cs="Times New Roman"/>
                <w:sz w:val="20"/>
                <w:szCs w:val="20"/>
              </w:rPr>
            </w:pPr>
          </w:p>
        </w:tc>
        <w:tc>
          <w:tcPr>
            <w:tcW w:w="514" w:type="pct"/>
            <w:vMerge w:val="continue"/>
            <w:shd w:val="clear" w:color="auto" w:fill="auto"/>
            <w:vAlign w:val="center"/>
          </w:tcPr>
          <w:p w14:paraId="10D2BC96">
            <w:pPr>
              <w:widowControl/>
              <w:spacing w:line="240" w:lineRule="auto"/>
              <w:ind w:firstLine="0" w:firstLineChars="0"/>
              <w:jc w:val="left"/>
              <w:rPr>
                <w:rFonts w:eastAsia="仿宋" w:cs="Times New Roman"/>
                <w:sz w:val="20"/>
                <w:szCs w:val="20"/>
              </w:rPr>
            </w:pPr>
          </w:p>
        </w:tc>
        <w:tc>
          <w:tcPr>
            <w:tcW w:w="708" w:type="pct"/>
            <w:shd w:val="clear" w:color="auto" w:fill="auto"/>
            <w:vAlign w:val="center"/>
          </w:tcPr>
          <w:p w14:paraId="1F2A5CAC">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M.1.2.3 先进交通装备制造</w:t>
            </w:r>
          </w:p>
        </w:tc>
        <w:tc>
          <w:tcPr>
            <w:tcW w:w="1723" w:type="pct"/>
            <w:shd w:val="clear" w:color="auto" w:fill="auto"/>
            <w:vAlign w:val="center"/>
          </w:tcPr>
          <w:p w14:paraId="5500F44A">
            <w:pPr>
              <w:widowControl/>
              <w:spacing w:line="240" w:lineRule="auto"/>
              <w:ind w:firstLine="0" w:firstLineChars="0"/>
              <w:jc w:val="left"/>
              <w:textAlignment w:val="center"/>
              <w:rPr>
                <w:rFonts w:eastAsia="仿宋" w:cs="Times New Roman"/>
                <w:sz w:val="20"/>
                <w:szCs w:val="20"/>
              </w:rPr>
            </w:pPr>
            <w:r>
              <w:rPr>
                <w:rStyle w:val="49"/>
                <w:rFonts w:hint="default" w:ascii="Times New Roman" w:hAnsi="Times New Roman" w:cs="Times New Roman"/>
                <w:color w:val="auto"/>
                <w:lang w:bidi="ar"/>
              </w:rPr>
              <w:t>包括</w:t>
            </w:r>
            <w:r>
              <w:rPr>
                <w:rFonts w:eastAsia="仿宋" w:cs="Times New Roman"/>
                <w:kern w:val="0"/>
                <w:sz w:val="20"/>
                <w:szCs w:val="20"/>
                <w:lang w:bidi="ar"/>
              </w:rPr>
              <w:t>新能源汽车关键零部件制造</w:t>
            </w:r>
            <w:r>
              <w:rPr>
                <w:rStyle w:val="49"/>
                <w:rFonts w:hint="default" w:ascii="Times New Roman" w:hAnsi="Times New Roman" w:cs="Times New Roman"/>
                <w:color w:val="auto"/>
                <w:lang w:bidi="ar"/>
              </w:rPr>
              <w:t>；绿色船舶制造；先进轨道交通装备制造；先进高效航空装备制造等。</w:t>
            </w:r>
          </w:p>
        </w:tc>
        <w:tc>
          <w:tcPr>
            <w:tcW w:w="224" w:type="pct"/>
            <w:shd w:val="clear" w:color="auto" w:fill="auto"/>
            <w:vAlign w:val="center"/>
          </w:tcPr>
          <w:p w14:paraId="1ECF693B">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I</w:t>
            </w:r>
          </w:p>
        </w:tc>
        <w:tc>
          <w:tcPr>
            <w:tcW w:w="546" w:type="pct"/>
            <w:shd w:val="clear" w:color="auto" w:fill="auto"/>
            <w:vAlign w:val="center"/>
          </w:tcPr>
          <w:p w14:paraId="6CE0FD21">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1.2.1-1.2.4</w:t>
            </w:r>
          </w:p>
        </w:tc>
        <w:tc>
          <w:tcPr>
            <w:tcW w:w="558" w:type="pct"/>
            <w:shd w:val="clear" w:color="auto" w:fill="auto"/>
            <w:vAlign w:val="center"/>
          </w:tcPr>
          <w:p w14:paraId="659D667C">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1.6.1.1-1.6.1.3</w:t>
            </w:r>
          </w:p>
        </w:tc>
        <w:tc>
          <w:tcPr>
            <w:tcW w:w="390" w:type="pct"/>
            <w:shd w:val="clear" w:color="auto" w:fill="auto"/>
            <w:vAlign w:val="center"/>
          </w:tcPr>
          <w:p w14:paraId="50DE9989">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1.4</w:t>
            </w:r>
          </w:p>
        </w:tc>
      </w:tr>
      <w:tr w14:paraId="3DAB6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335" w:type="pct"/>
            <w:vMerge w:val="continue"/>
            <w:shd w:val="clear" w:color="auto" w:fill="auto"/>
            <w:vAlign w:val="center"/>
          </w:tcPr>
          <w:p w14:paraId="214B98E9">
            <w:pPr>
              <w:widowControl/>
              <w:spacing w:line="240" w:lineRule="auto"/>
              <w:ind w:firstLine="0" w:firstLineChars="0"/>
              <w:jc w:val="left"/>
              <w:rPr>
                <w:rFonts w:eastAsia="仿宋" w:cs="Times New Roman"/>
                <w:sz w:val="20"/>
                <w:szCs w:val="20"/>
              </w:rPr>
            </w:pPr>
          </w:p>
        </w:tc>
        <w:tc>
          <w:tcPr>
            <w:tcW w:w="514" w:type="pct"/>
            <w:vMerge w:val="continue"/>
            <w:shd w:val="clear" w:color="auto" w:fill="auto"/>
            <w:vAlign w:val="center"/>
          </w:tcPr>
          <w:p w14:paraId="3A45A690">
            <w:pPr>
              <w:widowControl/>
              <w:spacing w:line="240" w:lineRule="auto"/>
              <w:ind w:firstLine="0" w:firstLineChars="0"/>
              <w:jc w:val="left"/>
              <w:rPr>
                <w:rFonts w:eastAsia="仿宋" w:cs="Times New Roman"/>
                <w:sz w:val="20"/>
                <w:szCs w:val="20"/>
              </w:rPr>
            </w:pPr>
          </w:p>
        </w:tc>
        <w:tc>
          <w:tcPr>
            <w:tcW w:w="708" w:type="pct"/>
            <w:shd w:val="clear" w:color="auto" w:fill="auto"/>
            <w:vAlign w:val="center"/>
          </w:tcPr>
          <w:p w14:paraId="36C5D3FB">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M.1.2.4 资源循环利用装备制造</w:t>
            </w:r>
          </w:p>
        </w:tc>
        <w:tc>
          <w:tcPr>
            <w:tcW w:w="1723" w:type="pct"/>
            <w:shd w:val="clear" w:color="auto" w:fill="auto"/>
            <w:vAlign w:val="center"/>
          </w:tcPr>
          <w:p w14:paraId="1FA11461">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包括矿产资源综合利用装备制造；水资源高效及循环利用装备制造；工业固体废物综合利用装备制造；农林废弃物综合利用装备制造；废旧物资循环利用装备制造；垃圾资源化利用装备制造；废气回收利用装备制造等。</w:t>
            </w:r>
          </w:p>
        </w:tc>
        <w:tc>
          <w:tcPr>
            <w:tcW w:w="224" w:type="pct"/>
            <w:shd w:val="clear" w:color="auto" w:fill="auto"/>
            <w:vAlign w:val="center"/>
          </w:tcPr>
          <w:p w14:paraId="486EE9B9">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I</w:t>
            </w:r>
          </w:p>
        </w:tc>
        <w:tc>
          <w:tcPr>
            <w:tcW w:w="546" w:type="pct"/>
            <w:shd w:val="clear" w:color="auto" w:fill="auto"/>
            <w:vAlign w:val="center"/>
          </w:tcPr>
          <w:p w14:paraId="1F6F6CF2">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3.1</w:t>
            </w:r>
          </w:p>
        </w:tc>
        <w:tc>
          <w:tcPr>
            <w:tcW w:w="558" w:type="pct"/>
            <w:shd w:val="clear" w:color="auto" w:fill="auto"/>
            <w:vAlign w:val="center"/>
          </w:tcPr>
          <w:p w14:paraId="622B199D">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1.5.1.1-1.5.1.8</w:t>
            </w:r>
          </w:p>
        </w:tc>
        <w:tc>
          <w:tcPr>
            <w:tcW w:w="390" w:type="pct"/>
            <w:shd w:val="clear" w:color="auto" w:fill="auto"/>
            <w:vAlign w:val="center"/>
          </w:tcPr>
          <w:p w14:paraId="4E3D3201">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1.3</w:t>
            </w:r>
          </w:p>
        </w:tc>
      </w:tr>
      <w:tr w14:paraId="1943D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35" w:type="pct"/>
            <w:vMerge w:val="continue"/>
            <w:shd w:val="clear" w:color="auto" w:fill="auto"/>
            <w:vAlign w:val="center"/>
          </w:tcPr>
          <w:p w14:paraId="169B0B0C">
            <w:pPr>
              <w:widowControl/>
              <w:spacing w:line="240" w:lineRule="auto"/>
              <w:ind w:firstLine="0" w:firstLineChars="0"/>
              <w:jc w:val="left"/>
              <w:rPr>
                <w:rFonts w:eastAsia="仿宋" w:cs="Times New Roman"/>
                <w:sz w:val="20"/>
                <w:szCs w:val="20"/>
              </w:rPr>
            </w:pPr>
          </w:p>
        </w:tc>
        <w:tc>
          <w:tcPr>
            <w:tcW w:w="514" w:type="pct"/>
            <w:vMerge w:val="continue"/>
            <w:shd w:val="clear" w:color="auto" w:fill="auto"/>
            <w:vAlign w:val="center"/>
          </w:tcPr>
          <w:p w14:paraId="2773E93B">
            <w:pPr>
              <w:widowControl/>
              <w:spacing w:line="240" w:lineRule="auto"/>
              <w:ind w:firstLine="0" w:firstLineChars="0"/>
              <w:jc w:val="left"/>
              <w:rPr>
                <w:rFonts w:eastAsia="仿宋" w:cs="Times New Roman"/>
                <w:sz w:val="20"/>
                <w:szCs w:val="20"/>
              </w:rPr>
            </w:pPr>
          </w:p>
        </w:tc>
        <w:tc>
          <w:tcPr>
            <w:tcW w:w="708" w:type="pct"/>
            <w:shd w:val="clear" w:color="auto" w:fill="auto"/>
            <w:vAlign w:val="center"/>
          </w:tcPr>
          <w:p w14:paraId="468737A0">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M.1.2.5 其他绿色产品标识产品制造</w:t>
            </w:r>
          </w:p>
        </w:tc>
        <w:tc>
          <w:tcPr>
            <w:tcW w:w="1723" w:type="pct"/>
            <w:shd w:val="clear" w:color="auto" w:fill="auto"/>
            <w:vAlign w:val="center"/>
          </w:tcPr>
          <w:p w14:paraId="5538D5B0">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指具有国家绿色产品标识或具有节能、低碳、环保及循环、再生、节水属性的绿色标识产品生产，包括“节能产品认证”“低碳产品认证”“节水产品认证”“电器电子产品有害物质限制使用合格评定制度（RoHS）”“中国环境标志”等产品生产。</w:t>
            </w:r>
          </w:p>
        </w:tc>
        <w:tc>
          <w:tcPr>
            <w:tcW w:w="224" w:type="pct"/>
            <w:shd w:val="clear" w:color="auto" w:fill="auto"/>
            <w:vAlign w:val="center"/>
          </w:tcPr>
          <w:p w14:paraId="0F28AF7B">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I</w:t>
            </w:r>
          </w:p>
        </w:tc>
        <w:tc>
          <w:tcPr>
            <w:tcW w:w="546" w:type="pct"/>
            <w:shd w:val="clear" w:color="auto" w:fill="auto"/>
            <w:vAlign w:val="center"/>
          </w:tcPr>
          <w:p w14:paraId="53C36444">
            <w:pPr>
              <w:widowControl/>
              <w:spacing w:line="240" w:lineRule="auto"/>
              <w:ind w:firstLine="0" w:firstLineChars="0"/>
              <w:jc w:val="center"/>
              <w:rPr>
                <w:rFonts w:eastAsia="宋体" w:cs="Times New Roman"/>
                <w:sz w:val="20"/>
                <w:szCs w:val="20"/>
              </w:rPr>
            </w:pPr>
          </w:p>
        </w:tc>
        <w:tc>
          <w:tcPr>
            <w:tcW w:w="558" w:type="pct"/>
            <w:shd w:val="clear" w:color="auto" w:fill="auto"/>
            <w:noWrap/>
            <w:vAlign w:val="center"/>
          </w:tcPr>
          <w:p w14:paraId="0DDD5974">
            <w:pPr>
              <w:widowControl/>
              <w:spacing w:line="240" w:lineRule="auto"/>
              <w:ind w:firstLine="0" w:firstLineChars="0"/>
              <w:rPr>
                <w:rFonts w:eastAsia="宋体" w:cs="Times New Roman"/>
                <w:sz w:val="20"/>
                <w:szCs w:val="20"/>
              </w:rPr>
            </w:pPr>
          </w:p>
        </w:tc>
        <w:tc>
          <w:tcPr>
            <w:tcW w:w="390" w:type="pct"/>
            <w:shd w:val="clear" w:color="auto" w:fill="auto"/>
            <w:noWrap/>
            <w:vAlign w:val="center"/>
          </w:tcPr>
          <w:p w14:paraId="618968B3">
            <w:pPr>
              <w:widowControl/>
              <w:spacing w:line="240" w:lineRule="auto"/>
              <w:ind w:firstLine="0" w:firstLineChars="0"/>
              <w:rPr>
                <w:rFonts w:eastAsia="宋体" w:cs="Times New Roman"/>
                <w:sz w:val="20"/>
                <w:szCs w:val="20"/>
              </w:rPr>
            </w:pPr>
          </w:p>
        </w:tc>
      </w:tr>
      <w:tr w14:paraId="3E026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35" w:type="pct"/>
            <w:vMerge w:val="restart"/>
            <w:shd w:val="clear" w:color="auto" w:fill="auto"/>
            <w:vAlign w:val="center"/>
          </w:tcPr>
          <w:p w14:paraId="6CE723F6">
            <w:pPr>
              <w:widowControl/>
              <w:spacing w:line="240" w:lineRule="auto"/>
              <w:ind w:firstLine="0" w:firstLineChars="0"/>
              <w:jc w:val="center"/>
              <w:textAlignment w:val="center"/>
              <w:rPr>
                <w:rFonts w:eastAsia="仿宋" w:cs="Times New Roman"/>
                <w:sz w:val="20"/>
                <w:szCs w:val="20"/>
              </w:rPr>
            </w:pPr>
            <w:r>
              <w:rPr>
                <w:rFonts w:eastAsia="仿宋" w:cs="Times New Roman"/>
                <w:kern w:val="0"/>
                <w:sz w:val="20"/>
                <w:szCs w:val="20"/>
                <w:lang w:bidi="ar"/>
              </w:rPr>
              <w:t>M.2 低碳农业</w:t>
            </w:r>
          </w:p>
        </w:tc>
        <w:tc>
          <w:tcPr>
            <w:tcW w:w="514" w:type="pct"/>
            <w:vMerge w:val="restart"/>
            <w:shd w:val="clear" w:color="auto" w:fill="auto"/>
            <w:vAlign w:val="center"/>
          </w:tcPr>
          <w:p w14:paraId="3FF97912">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M.2.1 绿色农产品供给</w:t>
            </w:r>
          </w:p>
        </w:tc>
        <w:tc>
          <w:tcPr>
            <w:tcW w:w="708" w:type="pct"/>
            <w:shd w:val="clear" w:color="auto" w:fill="auto"/>
            <w:vAlign w:val="center"/>
          </w:tcPr>
          <w:p w14:paraId="4B3B01EF">
            <w:pPr>
              <w:widowControl/>
              <w:spacing w:line="240" w:lineRule="auto"/>
              <w:ind w:firstLine="0" w:firstLineChars="0"/>
              <w:jc w:val="left"/>
              <w:textAlignment w:val="center"/>
              <w:rPr>
                <w:rFonts w:eastAsia="仿宋" w:cs="Times New Roman"/>
                <w:sz w:val="20"/>
                <w:szCs w:val="20"/>
              </w:rPr>
            </w:pPr>
            <w:r>
              <w:rPr>
                <w:rFonts w:eastAsia="仿宋" w:cs="Times New Roman"/>
                <w:b/>
                <w:bCs/>
                <w:kern w:val="0"/>
                <w:sz w:val="20"/>
                <w:szCs w:val="20"/>
                <w:lang w:bidi="ar"/>
              </w:rPr>
              <w:t>M.2.1.1 绿色农业生产（*）</w:t>
            </w:r>
          </w:p>
        </w:tc>
        <w:tc>
          <w:tcPr>
            <w:tcW w:w="1723" w:type="pct"/>
            <w:shd w:val="clear" w:color="auto" w:fill="auto"/>
            <w:vAlign w:val="center"/>
          </w:tcPr>
          <w:p w14:paraId="7DCB0309">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包括推进农业生产“三品一标”（品种培优、品质提升、品牌打造和标准化生产）、</w:t>
            </w:r>
            <w:r>
              <w:rPr>
                <w:rFonts w:eastAsia="仿宋" w:cs="Times New Roman"/>
                <w:b/>
                <w:bCs/>
                <w:kern w:val="0"/>
                <w:sz w:val="20"/>
                <w:szCs w:val="20"/>
                <w:lang w:bidi="ar"/>
              </w:rPr>
              <w:t>农产品“三品一标”（绿色、有机、地理标志和达标合格农产品）</w:t>
            </w:r>
            <w:r>
              <w:rPr>
                <w:rFonts w:eastAsia="仿宋" w:cs="Times New Roman"/>
                <w:kern w:val="0"/>
                <w:sz w:val="20"/>
                <w:szCs w:val="20"/>
                <w:lang w:bidi="ar"/>
              </w:rPr>
              <w:t>、选育推广高产优质多抗新品种、农业绿色发展监测评价等活动，</w:t>
            </w:r>
            <w:r>
              <w:rPr>
                <w:rFonts w:eastAsia="仿宋" w:cs="Times New Roman"/>
                <w:b/>
                <w:bCs/>
                <w:kern w:val="0"/>
                <w:sz w:val="20"/>
                <w:szCs w:val="20"/>
                <w:lang w:bidi="ar"/>
              </w:rPr>
              <w:t>标准地膜制造和环境友好生物可降解地膜制造</w:t>
            </w:r>
            <w:r>
              <w:rPr>
                <w:rFonts w:eastAsia="仿宋" w:cs="Times New Roman"/>
                <w:kern w:val="0"/>
                <w:sz w:val="20"/>
                <w:szCs w:val="20"/>
                <w:lang w:bidi="ar"/>
              </w:rPr>
              <w:t>，稻田甲烷减排、农田氧化亚氮减排、秸秆还田固碳，农业机械节能减排，采用加工减损、循环利用、梯次利用、节能低碳等技术推进农产品加工业绿色转型的活动，以及优质农产品生产基地、</w:t>
            </w:r>
            <w:r>
              <w:rPr>
                <w:rFonts w:eastAsia="仿宋" w:cs="Times New Roman"/>
                <w:b/>
                <w:bCs/>
                <w:kern w:val="0"/>
                <w:sz w:val="20"/>
                <w:szCs w:val="20"/>
                <w:lang w:bidi="ar"/>
              </w:rPr>
              <w:t>地理标志农产品核心生产基地</w:t>
            </w:r>
            <w:r>
              <w:rPr>
                <w:rFonts w:eastAsia="仿宋" w:cs="Times New Roman"/>
                <w:kern w:val="0"/>
                <w:sz w:val="20"/>
                <w:szCs w:val="20"/>
                <w:lang w:bidi="ar"/>
              </w:rPr>
              <w:t>、生态农场、农业绿色发展先行区、现代农业全产业链标准化示范基地、绿色标准化农产品生产基地、畜禽养殖标准化示范场、水产健康养殖和生态养殖示范区的建设。</w:t>
            </w:r>
          </w:p>
        </w:tc>
        <w:tc>
          <w:tcPr>
            <w:tcW w:w="224" w:type="pct"/>
            <w:shd w:val="clear" w:color="auto" w:fill="auto"/>
            <w:vAlign w:val="center"/>
          </w:tcPr>
          <w:p w14:paraId="2105B4D4">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I</w:t>
            </w:r>
          </w:p>
        </w:tc>
        <w:tc>
          <w:tcPr>
            <w:tcW w:w="546" w:type="pct"/>
            <w:shd w:val="clear" w:color="auto" w:fill="auto"/>
            <w:vAlign w:val="center"/>
          </w:tcPr>
          <w:p w14:paraId="43B28246">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5.1.3；5.1.4</w:t>
            </w:r>
          </w:p>
        </w:tc>
        <w:tc>
          <w:tcPr>
            <w:tcW w:w="558" w:type="pct"/>
            <w:shd w:val="clear" w:color="auto" w:fill="auto"/>
            <w:vAlign w:val="center"/>
          </w:tcPr>
          <w:p w14:paraId="5772A1A3">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4.1.3.1</w:t>
            </w:r>
          </w:p>
        </w:tc>
        <w:tc>
          <w:tcPr>
            <w:tcW w:w="390" w:type="pct"/>
            <w:shd w:val="clear" w:color="auto" w:fill="auto"/>
            <w:vAlign w:val="center"/>
          </w:tcPr>
          <w:p w14:paraId="282B1AAA">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4.1.1</w:t>
            </w:r>
          </w:p>
        </w:tc>
      </w:tr>
      <w:tr w14:paraId="66FDC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35" w:type="pct"/>
            <w:vMerge w:val="continue"/>
            <w:shd w:val="clear" w:color="auto" w:fill="auto"/>
            <w:vAlign w:val="center"/>
          </w:tcPr>
          <w:p w14:paraId="73AF6DC3">
            <w:pPr>
              <w:widowControl/>
              <w:spacing w:line="240" w:lineRule="auto"/>
              <w:ind w:firstLine="0" w:firstLineChars="0"/>
              <w:jc w:val="center"/>
              <w:rPr>
                <w:rFonts w:eastAsia="仿宋" w:cs="Times New Roman"/>
                <w:sz w:val="20"/>
                <w:szCs w:val="20"/>
              </w:rPr>
            </w:pPr>
          </w:p>
        </w:tc>
        <w:tc>
          <w:tcPr>
            <w:tcW w:w="514" w:type="pct"/>
            <w:vMerge w:val="continue"/>
            <w:shd w:val="clear" w:color="auto" w:fill="auto"/>
            <w:vAlign w:val="center"/>
          </w:tcPr>
          <w:p w14:paraId="559EE28A">
            <w:pPr>
              <w:widowControl/>
              <w:spacing w:line="240" w:lineRule="auto"/>
              <w:ind w:firstLine="0" w:firstLineChars="0"/>
              <w:jc w:val="left"/>
              <w:rPr>
                <w:rFonts w:eastAsia="仿宋" w:cs="Times New Roman"/>
                <w:sz w:val="20"/>
                <w:szCs w:val="20"/>
              </w:rPr>
            </w:pPr>
          </w:p>
        </w:tc>
        <w:tc>
          <w:tcPr>
            <w:tcW w:w="708" w:type="pct"/>
            <w:shd w:val="clear" w:color="auto" w:fill="auto"/>
            <w:vAlign w:val="center"/>
          </w:tcPr>
          <w:p w14:paraId="06311FDE">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M.2.1.2 绿色畜牧业</w:t>
            </w:r>
          </w:p>
        </w:tc>
        <w:tc>
          <w:tcPr>
            <w:tcW w:w="1723" w:type="pct"/>
            <w:shd w:val="clear" w:color="auto" w:fill="auto"/>
            <w:vAlign w:val="center"/>
          </w:tcPr>
          <w:p w14:paraId="097C67EC">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包括畜禽规模养殖场标准化、设施化建设，畜禽屠宰厂标准化建设，新型兽药和饲料添加剂生产，优质饲草产业发展，动物肠道甲烷减排，种养结合型家庭农牧场、合作社、龙头企业，科学合理利用天然草原的家庭牧场等。</w:t>
            </w:r>
          </w:p>
        </w:tc>
        <w:tc>
          <w:tcPr>
            <w:tcW w:w="224" w:type="pct"/>
            <w:shd w:val="clear" w:color="auto" w:fill="auto"/>
            <w:vAlign w:val="center"/>
          </w:tcPr>
          <w:p w14:paraId="2A754A70">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Ⅰ / Ⅱ</w:t>
            </w:r>
          </w:p>
        </w:tc>
        <w:tc>
          <w:tcPr>
            <w:tcW w:w="546" w:type="pct"/>
            <w:shd w:val="clear" w:color="auto" w:fill="auto"/>
            <w:vAlign w:val="center"/>
          </w:tcPr>
          <w:p w14:paraId="776F5976">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5.1.14</w:t>
            </w:r>
          </w:p>
        </w:tc>
        <w:tc>
          <w:tcPr>
            <w:tcW w:w="558" w:type="pct"/>
            <w:shd w:val="clear" w:color="auto" w:fill="auto"/>
            <w:vAlign w:val="center"/>
          </w:tcPr>
          <w:p w14:paraId="5551AF77">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4.1.3.2</w:t>
            </w:r>
          </w:p>
        </w:tc>
        <w:tc>
          <w:tcPr>
            <w:tcW w:w="390" w:type="pct"/>
            <w:shd w:val="clear" w:color="auto" w:fill="auto"/>
            <w:vAlign w:val="center"/>
          </w:tcPr>
          <w:p w14:paraId="28EE502C">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4.1.4</w:t>
            </w:r>
          </w:p>
        </w:tc>
      </w:tr>
      <w:tr w14:paraId="63852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35" w:type="pct"/>
            <w:vMerge w:val="continue"/>
            <w:shd w:val="clear" w:color="auto" w:fill="auto"/>
            <w:vAlign w:val="center"/>
          </w:tcPr>
          <w:p w14:paraId="469CE484">
            <w:pPr>
              <w:widowControl/>
              <w:spacing w:line="240" w:lineRule="auto"/>
              <w:ind w:firstLine="0" w:firstLineChars="0"/>
              <w:jc w:val="center"/>
              <w:rPr>
                <w:rFonts w:eastAsia="仿宋" w:cs="Times New Roman"/>
                <w:sz w:val="20"/>
                <w:szCs w:val="20"/>
              </w:rPr>
            </w:pPr>
          </w:p>
        </w:tc>
        <w:tc>
          <w:tcPr>
            <w:tcW w:w="514" w:type="pct"/>
            <w:vMerge w:val="continue"/>
            <w:shd w:val="clear" w:color="auto" w:fill="auto"/>
            <w:vAlign w:val="center"/>
          </w:tcPr>
          <w:p w14:paraId="1ABB0AA0">
            <w:pPr>
              <w:widowControl/>
              <w:spacing w:line="240" w:lineRule="auto"/>
              <w:ind w:firstLine="0" w:firstLineChars="0"/>
              <w:jc w:val="left"/>
              <w:rPr>
                <w:rFonts w:eastAsia="仿宋" w:cs="Times New Roman"/>
                <w:sz w:val="20"/>
                <w:szCs w:val="20"/>
              </w:rPr>
            </w:pPr>
          </w:p>
        </w:tc>
        <w:tc>
          <w:tcPr>
            <w:tcW w:w="708" w:type="pct"/>
            <w:shd w:val="clear" w:color="auto" w:fill="auto"/>
            <w:vAlign w:val="center"/>
          </w:tcPr>
          <w:p w14:paraId="52C4FDD7">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M.2.1.3 绿色渔业</w:t>
            </w:r>
          </w:p>
        </w:tc>
        <w:tc>
          <w:tcPr>
            <w:tcW w:w="1723" w:type="pct"/>
            <w:shd w:val="clear" w:color="auto" w:fill="auto"/>
            <w:vAlign w:val="center"/>
          </w:tcPr>
          <w:p w14:paraId="05CA8D0E">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包括碳汇渔业及净水渔业、稻渔综合种养及盐碱地水产养殖、池塘及工厂化循环水养殖、内陆生态环保网箱养殖、水产品加工及副产物综合利用，水产饲料减排，渔业智能机械化，生态健康养殖有关模式，推进捕捞、养殖、加工、渔港等各领域设施装备节能降碳更新改造等。</w:t>
            </w:r>
          </w:p>
        </w:tc>
        <w:tc>
          <w:tcPr>
            <w:tcW w:w="224" w:type="pct"/>
            <w:shd w:val="clear" w:color="auto" w:fill="auto"/>
            <w:vAlign w:val="center"/>
          </w:tcPr>
          <w:p w14:paraId="658C117F">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Ⅱ</w:t>
            </w:r>
          </w:p>
        </w:tc>
        <w:tc>
          <w:tcPr>
            <w:tcW w:w="546" w:type="pct"/>
            <w:shd w:val="clear" w:color="auto" w:fill="auto"/>
            <w:vAlign w:val="center"/>
          </w:tcPr>
          <w:p w14:paraId="44AF72FF">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5.1.15</w:t>
            </w:r>
          </w:p>
        </w:tc>
        <w:tc>
          <w:tcPr>
            <w:tcW w:w="558" w:type="pct"/>
            <w:shd w:val="clear" w:color="auto" w:fill="auto"/>
            <w:vAlign w:val="center"/>
          </w:tcPr>
          <w:p w14:paraId="0ECD0632">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4.1.3.3</w:t>
            </w:r>
          </w:p>
        </w:tc>
        <w:tc>
          <w:tcPr>
            <w:tcW w:w="390" w:type="pct"/>
            <w:shd w:val="clear" w:color="auto" w:fill="auto"/>
            <w:vAlign w:val="center"/>
          </w:tcPr>
          <w:p w14:paraId="40828C18">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4.1.4</w:t>
            </w:r>
          </w:p>
        </w:tc>
      </w:tr>
      <w:tr w14:paraId="3B51F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35" w:type="pct"/>
            <w:vMerge w:val="restart"/>
            <w:shd w:val="clear" w:color="auto" w:fill="auto"/>
            <w:vAlign w:val="center"/>
          </w:tcPr>
          <w:p w14:paraId="1BC391D4">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M.3 低碳建筑及建筑节能</w:t>
            </w:r>
          </w:p>
        </w:tc>
        <w:tc>
          <w:tcPr>
            <w:tcW w:w="514" w:type="pct"/>
            <w:vMerge w:val="restart"/>
            <w:shd w:val="clear" w:color="auto" w:fill="auto"/>
            <w:vAlign w:val="center"/>
          </w:tcPr>
          <w:p w14:paraId="486361AC">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M.3.1 建筑节能与绿色建筑</w:t>
            </w:r>
          </w:p>
        </w:tc>
        <w:tc>
          <w:tcPr>
            <w:tcW w:w="708" w:type="pct"/>
            <w:shd w:val="clear" w:color="auto" w:fill="auto"/>
            <w:vAlign w:val="center"/>
          </w:tcPr>
          <w:p w14:paraId="6460E1D2">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M.3.1.1 低碳建筑建设与运营</w:t>
            </w:r>
          </w:p>
        </w:tc>
        <w:tc>
          <w:tcPr>
            <w:tcW w:w="1723" w:type="pct"/>
            <w:shd w:val="clear" w:color="auto" w:fill="auto"/>
            <w:vAlign w:val="center"/>
          </w:tcPr>
          <w:p w14:paraId="0CDF02F5">
            <w:pPr>
              <w:widowControl/>
              <w:spacing w:line="240" w:lineRule="auto"/>
              <w:ind w:firstLine="0" w:firstLineChars="0"/>
              <w:jc w:val="left"/>
              <w:textAlignment w:val="center"/>
              <w:rPr>
                <w:rFonts w:eastAsia="仿宋" w:cs="Times New Roman"/>
                <w:sz w:val="20"/>
                <w:szCs w:val="20"/>
              </w:rPr>
            </w:pPr>
            <w:r>
              <w:rPr>
                <w:rStyle w:val="49"/>
                <w:rFonts w:hint="default" w:ascii="Times New Roman" w:hAnsi="Times New Roman" w:cs="Times New Roman"/>
                <w:color w:val="auto"/>
                <w:lang w:bidi="ar"/>
              </w:rPr>
              <w:t>包括绿色建筑建设与运营；</w:t>
            </w:r>
            <w:r>
              <w:rPr>
                <w:rFonts w:eastAsia="仿宋" w:cs="Times New Roman"/>
                <w:kern w:val="0"/>
                <w:sz w:val="20"/>
                <w:szCs w:val="20"/>
                <w:lang w:bidi="ar"/>
              </w:rPr>
              <w:t>超低能耗和低碳建筑建设和运营；</w:t>
            </w:r>
            <w:r>
              <w:rPr>
                <w:rStyle w:val="49"/>
                <w:rFonts w:hint="default" w:ascii="Times New Roman" w:hAnsi="Times New Roman" w:cs="Times New Roman"/>
                <w:color w:val="auto"/>
                <w:lang w:bidi="ar"/>
              </w:rPr>
              <w:t>绿色农房建设、改造和运维；建筑可再生能源应用</w:t>
            </w:r>
            <w:r>
              <w:rPr>
                <w:rFonts w:eastAsia="仿宋" w:cs="Times New Roman"/>
                <w:kern w:val="0"/>
                <w:sz w:val="20"/>
                <w:szCs w:val="20"/>
                <w:lang w:bidi="ar"/>
              </w:rPr>
              <w:t>；绿色物流枢纽、绿色物流园区建设和运营、绿色仓储设施（含冷库）建设</w:t>
            </w:r>
            <w:r>
              <w:rPr>
                <w:rStyle w:val="49"/>
                <w:rFonts w:hint="default" w:ascii="Times New Roman" w:hAnsi="Times New Roman" w:cs="Times New Roman"/>
                <w:color w:val="auto"/>
                <w:lang w:bidi="ar"/>
              </w:rPr>
              <w:t>等。</w:t>
            </w:r>
          </w:p>
        </w:tc>
        <w:tc>
          <w:tcPr>
            <w:tcW w:w="224" w:type="pct"/>
            <w:shd w:val="clear" w:color="auto" w:fill="auto"/>
            <w:vAlign w:val="center"/>
          </w:tcPr>
          <w:p w14:paraId="6FFFDAF5">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II</w:t>
            </w:r>
          </w:p>
        </w:tc>
        <w:tc>
          <w:tcPr>
            <w:tcW w:w="546" w:type="pct"/>
            <w:shd w:val="clear" w:color="auto" w:fill="auto"/>
            <w:vAlign w:val="center"/>
          </w:tcPr>
          <w:p w14:paraId="2F1B85E5">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6.1.1-6.1.2；6.1.4-6.1.5；6.3.1-6.3.3</w:t>
            </w:r>
          </w:p>
        </w:tc>
        <w:tc>
          <w:tcPr>
            <w:tcW w:w="558" w:type="pct"/>
            <w:shd w:val="clear" w:color="auto" w:fill="auto"/>
            <w:vAlign w:val="center"/>
          </w:tcPr>
          <w:p w14:paraId="166E3DF1">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5.2.1.1-5.2.1.3</w:t>
            </w:r>
            <w:r>
              <w:rPr>
                <w:rStyle w:val="49"/>
                <w:rFonts w:hint="default" w:ascii="Times New Roman" w:hAnsi="Times New Roman" w:cs="Times New Roman"/>
                <w:color w:val="auto"/>
                <w:lang w:bidi="ar"/>
              </w:rPr>
              <w:t>；</w:t>
            </w:r>
            <w:r>
              <w:rPr>
                <w:rFonts w:eastAsia="宋体" w:cs="Times New Roman"/>
                <w:kern w:val="0"/>
                <w:sz w:val="20"/>
                <w:szCs w:val="20"/>
                <w:lang w:bidi="ar"/>
              </w:rPr>
              <w:t>5.2.1.6</w:t>
            </w:r>
          </w:p>
        </w:tc>
        <w:tc>
          <w:tcPr>
            <w:tcW w:w="390" w:type="pct"/>
            <w:shd w:val="clear" w:color="auto" w:fill="auto"/>
            <w:vAlign w:val="center"/>
          </w:tcPr>
          <w:p w14:paraId="1DA0598B">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5.1.1</w:t>
            </w:r>
            <w:r>
              <w:rPr>
                <w:rStyle w:val="49"/>
                <w:rFonts w:hint="default" w:ascii="Times New Roman" w:hAnsi="Times New Roman" w:cs="Times New Roman"/>
                <w:color w:val="auto"/>
                <w:lang w:bidi="ar"/>
              </w:rPr>
              <w:t>；</w:t>
            </w:r>
            <w:r>
              <w:rPr>
                <w:rFonts w:eastAsia="宋体" w:cs="Times New Roman"/>
                <w:kern w:val="0"/>
                <w:sz w:val="20"/>
                <w:szCs w:val="20"/>
                <w:lang w:bidi="ar"/>
              </w:rPr>
              <w:t>5.1.2</w:t>
            </w:r>
          </w:p>
        </w:tc>
      </w:tr>
      <w:tr w14:paraId="28437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35" w:type="pct"/>
            <w:vMerge w:val="continue"/>
            <w:shd w:val="clear" w:color="auto" w:fill="auto"/>
            <w:vAlign w:val="center"/>
          </w:tcPr>
          <w:p w14:paraId="65C3280F">
            <w:pPr>
              <w:widowControl/>
              <w:spacing w:line="240" w:lineRule="auto"/>
              <w:ind w:firstLine="0" w:firstLineChars="0"/>
              <w:jc w:val="left"/>
              <w:rPr>
                <w:rFonts w:eastAsia="仿宋" w:cs="Times New Roman"/>
                <w:sz w:val="20"/>
                <w:szCs w:val="20"/>
              </w:rPr>
            </w:pPr>
          </w:p>
        </w:tc>
        <w:tc>
          <w:tcPr>
            <w:tcW w:w="514" w:type="pct"/>
            <w:vMerge w:val="continue"/>
            <w:shd w:val="clear" w:color="auto" w:fill="auto"/>
            <w:vAlign w:val="center"/>
          </w:tcPr>
          <w:p w14:paraId="129CA985">
            <w:pPr>
              <w:widowControl/>
              <w:spacing w:line="240" w:lineRule="auto"/>
              <w:ind w:firstLine="0" w:firstLineChars="0"/>
              <w:jc w:val="left"/>
              <w:rPr>
                <w:rFonts w:eastAsia="仿宋" w:cs="Times New Roman"/>
                <w:sz w:val="20"/>
                <w:szCs w:val="20"/>
              </w:rPr>
            </w:pPr>
          </w:p>
        </w:tc>
        <w:tc>
          <w:tcPr>
            <w:tcW w:w="708" w:type="pct"/>
            <w:shd w:val="clear" w:color="auto" w:fill="auto"/>
            <w:vAlign w:val="center"/>
          </w:tcPr>
          <w:p w14:paraId="76F93A57">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M.3.1.2 既有建筑绿色化改造和运营</w:t>
            </w:r>
          </w:p>
        </w:tc>
        <w:tc>
          <w:tcPr>
            <w:tcW w:w="1723" w:type="pct"/>
            <w:shd w:val="clear" w:color="auto" w:fill="auto"/>
            <w:vAlign w:val="center"/>
          </w:tcPr>
          <w:p w14:paraId="31555BE3">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包括提高建筑外墙、屋顶、门窗等围护结构热工性能的改造活动，提高采暖、照明、通风等建筑用能系统效率的改造活动，以建筑中央空调系统、商务产业园区、冷链物流等为重点开展的绿色高效制冷改造活动，提高采暖、生活热水、炊事等建筑终端用能电气化水平的改造活动，提高建筑智能化运行水平的改造活动，采用综合性能调适、能耗监测、设备设施精细化管理等措施实现建筑高效低碳运营的活动等。</w:t>
            </w:r>
          </w:p>
        </w:tc>
        <w:tc>
          <w:tcPr>
            <w:tcW w:w="224" w:type="pct"/>
            <w:shd w:val="clear" w:color="auto" w:fill="auto"/>
            <w:vAlign w:val="center"/>
          </w:tcPr>
          <w:p w14:paraId="152F11A9">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II</w:t>
            </w:r>
          </w:p>
        </w:tc>
        <w:tc>
          <w:tcPr>
            <w:tcW w:w="546" w:type="pct"/>
            <w:shd w:val="clear" w:color="auto" w:fill="auto"/>
            <w:vAlign w:val="center"/>
          </w:tcPr>
          <w:p w14:paraId="7D316601">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6.1.3</w:t>
            </w:r>
          </w:p>
        </w:tc>
        <w:tc>
          <w:tcPr>
            <w:tcW w:w="558" w:type="pct"/>
            <w:shd w:val="clear" w:color="auto" w:fill="auto"/>
            <w:noWrap/>
            <w:vAlign w:val="center"/>
          </w:tcPr>
          <w:p w14:paraId="4FAC2C5B">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5.2.1.5</w:t>
            </w:r>
          </w:p>
        </w:tc>
        <w:tc>
          <w:tcPr>
            <w:tcW w:w="390" w:type="pct"/>
            <w:shd w:val="clear" w:color="auto" w:fill="auto"/>
            <w:noWrap/>
            <w:vAlign w:val="center"/>
          </w:tcPr>
          <w:p w14:paraId="3BF452E2">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5.1.4</w:t>
            </w:r>
          </w:p>
        </w:tc>
      </w:tr>
      <w:tr w14:paraId="66458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35" w:type="pct"/>
            <w:vMerge w:val="continue"/>
            <w:shd w:val="clear" w:color="auto" w:fill="auto"/>
            <w:vAlign w:val="center"/>
          </w:tcPr>
          <w:p w14:paraId="4ED89CED">
            <w:pPr>
              <w:widowControl/>
              <w:spacing w:line="240" w:lineRule="auto"/>
              <w:ind w:firstLine="0" w:firstLineChars="0"/>
              <w:jc w:val="left"/>
              <w:rPr>
                <w:rFonts w:eastAsia="仿宋" w:cs="Times New Roman"/>
                <w:sz w:val="20"/>
                <w:szCs w:val="20"/>
              </w:rPr>
            </w:pPr>
          </w:p>
        </w:tc>
        <w:tc>
          <w:tcPr>
            <w:tcW w:w="514" w:type="pct"/>
            <w:vMerge w:val="continue"/>
            <w:shd w:val="clear" w:color="auto" w:fill="auto"/>
            <w:vAlign w:val="center"/>
          </w:tcPr>
          <w:p w14:paraId="14807B11">
            <w:pPr>
              <w:widowControl/>
              <w:spacing w:line="240" w:lineRule="auto"/>
              <w:ind w:firstLine="0" w:firstLineChars="0"/>
              <w:jc w:val="left"/>
              <w:rPr>
                <w:rFonts w:eastAsia="仿宋" w:cs="Times New Roman"/>
                <w:sz w:val="20"/>
                <w:szCs w:val="20"/>
              </w:rPr>
            </w:pPr>
          </w:p>
        </w:tc>
        <w:tc>
          <w:tcPr>
            <w:tcW w:w="708" w:type="pct"/>
            <w:shd w:val="clear" w:color="auto" w:fill="auto"/>
            <w:vAlign w:val="center"/>
          </w:tcPr>
          <w:p w14:paraId="5D53A60D">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M.3.1.3 绿色建造施工</w:t>
            </w:r>
          </w:p>
        </w:tc>
        <w:tc>
          <w:tcPr>
            <w:tcW w:w="1723" w:type="pct"/>
            <w:shd w:val="clear" w:color="auto" w:fill="auto"/>
            <w:vAlign w:val="center"/>
          </w:tcPr>
          <w:p w14:paraId="05AA05F3">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包括装配式建筑设计和建造；建筑工程智能建造等。</w:t>
            </w:r>
          </w:p>
        </w:tc>
        <w:tc>
          <w:tcPr>
            <w:tcW w:w="224" w:type="pct"/>
            <w:shd w:val="clear" w:color="auto" w:fill="auto"/>
            <w:vAlign w:val="center"/>
          </w:tcPr>
          <w:p w14:paraId="373C6FA9">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I</w:t>
            </w:r>
          </w:p>
        </w:tc>
        <w:tc>
          <w:tcPr>
            <w:tcW w:w="546" w:type="pct"/>
            <w:shd w:val="clear" w:color="auto" w:fill="auto"/>
            <w:vAlign w:val="center"/>
          </w:tcPr>
          <w:p w14:paraId="77415FBF">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6.1.6；6.1.7</w:t>
            </w:r>
          </w:p>
        </w:tc>
        <w:tc>
          <w:tcPr>
            <w:tcW w:w="558" w:type="pct"/>
            <w:shd w:val="clear" w:color="auto" w:fill="auto"/>
            <w:noWrap/>
            <w:vAlign w:val="center"/>
          </w:tcPr>
          <w:p w14:paraId="4842ECC6">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5.2.1.4</w:t>
            </w:r>
          </w:p>
        </w:tc>
        <w:tc>
          <w:tcPr>
            <w:tcW w:w="390" w:type="pct"/>
            <w:shd w:val="clear" w:color="auto" w:fill="auto"/>
            <w:noWrap/>
            <w:vAlign w:val="center"/>
          </w:tcPr>
          <w:p w14:paraId="39DB11EB">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5.1.3</w:t>
            </w:r>
          </w:p>
        </w:tc>
      </w:tr>
      <w:tr w14:paraId="60E9A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35" w:type="pct"/>
            <w:vMerge w:val="continue"/>
            <w:shd w:val="clear" w:color="auto" w:fill="auto"/>
            <w:vAlign w:val="center"/>
          </w:tcPr>
          <w:p w14:paraId="23E7E54F">
            <w:pPr>
              <w:widowControl/>
              <w:spacing w:line="240" w:lineRule="auto"/>
              <w:ind w:firstLine="0" w:firstLineChars="0"/>
              <w:jc w:val="left"/>
              <w:rPr>
                <w:rFonts w:eastAsia="仿宋" w:cs="Times New Roman"/>
                <w:sz w:val="20"/>
                <w:szCs w:val="20"/>
              </w:rPr>
            </w:pPr>
          </w:p>
        </w:tc>
        <w:tc>
          <w:tcPr>
            <w:tcW w:w="514" w:type="pct"/>
            <w:shd w:val="clear" w:color="auto" w:fill="auto"/>
            <w:vAlign w:val="center"/>
          </w:tcPr>
          <w:p w14:paraId="7E423C14">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M.3.2 绿色建筑材料</w:t>
            </w:r>
          </w:p>
        </w:tc>
        <w:tc>
          <w:tcPr>
            <w:tcW w:w="708" w:type="pct"/>
            <w:shd w:val="clear" w:color="auto" w:fill="auto"/>
            <w:vAlign w:val="center"/>
          </w:tcPr>
          <w:p w14:paraId="2236F211">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M.3.2.1绿色建筑材料制造</w:t>
            </w:r>
          </w:p>
        </w:tc>
        <w:tc>
          <w:tcPr>
            <w:tcW w:w="1723" w:type="pct"/>
            <w:shd w:val="clear" w:color="auto" w:fill="auto"/>
            <w:vAlign w:val="center"/>
          </w:tcPr>
          <w:p w14:paraId="79B311B5">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包括节能墙体材料、外墙保温材料、节能玻璃、装配式建筑部品部件、预拌混凝土、预拌砂浆、绿色工业化定制家装等绿色建材产品制造。建筑玻璃、墙体材料、绝热材料、防水与密封材料、陶瓷砖（板）等产品需符合《绿色产品评价 建筑玻璃》（GB/T 35604）、《绿色产品评价 墙体材料》（GB/T 35605）、《绿色产品评价 绝热材料》（GB/T 35608）、《绿色产品评价 防水与密封材料》（GB/T 35609）、《绿色产品评价 陶瓷砖（板）》（GB/T 35610）等标准规范要求。预拌混凝土需符合《环境标志产品技术要求 预拌混凝土》（HJ/T 412）等标准规范要求。建筑绝热材料需符合《建筑用绝热制品 六溴环十二烷的限值》（GB/T 41077）等标准规范要求。</w:t>
            </w:r>
          </w:p>
        </w:tc>
        <w:tc>
          <w:tcPr>
            <w:tcW w:w="224" w:type="pct"/>
            <w:shd w:val="clear" w:color="auto" w:fill="auto"/>
            <w:vAlign w:val="center"/>
          </w:tcPr>
          <w:p w14:paraId="29F146FB">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I</w:t>
            </w:r>
          </w:p>
        </w:tc>
        <w:tc>
          <w:tcPr>
            <w:tcW w:w="546" w:type="pct"/>
            <w:shd w:val="clear" w:color="auto" w:fill="auto"/>
            <w:vAlign w:val="center"/>
          </w:tcPr>
          <w:p w14:paraId="70698407">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1.1.18</w:t>
            </w:r>
          </w:p>
        </w:tc>
        <w:tc>
          <w:tcPr>
            <w:tcW w:w="558" w:type="pct"/>
            <w:shd w:val="clear" w:color="auto" w:fill="auto"/>
            <w:noWrap/>
            <w:vAlign w:val="center"/>
          </w:tcPr>
          <w:p w14:paraId="71B9F5BE">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1.2.1.1</w:t>
            </w:r>
          </w:p>
        </w:tc>
        <w:tc>
          <w:tcPr>
            <w:tcW w:w="390" w:type="pct"/>
            <w:shd w:val="clear" w:color="auto" w:fill="auto"/>
            <w:noWrap/>
            <w:vAlign w:val="center"/>
          </w:tcPr>
          <w:p w14:paraId="58E4777E">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1.1</w:t>
            </w:r>
          </w:p>
        </w:tc>
      </w:tr>
      <w:tr w14:paraId="4FBCB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35" w:type="pct"/>
            <w:vMerge w:val="restart"/>
            <w:shd w:val="clear" w:color="auto" w:fill="auto"/>
            <w:vAlign w:val="center"/>
          </w:tcPr>
          <w:p w14:paraId="7F60B112">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M.4 低碳交通</w:t>
            </w:r>
          </w:p>
        </w:tc>
        <w:tc>
          <w:tcPr>
            <w:tcW w:w="514" w:type="pct"/>
            <w:vMerge w:val="restart"/>
            <w:shd w:val="clear" w:color="auto" w:fill="auto"/>
            <w:vAlign w:val="center"/>
          </w:tcPr>
          <w:p w14:paraId="69738203">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M.4.1 低碳交通设施建设与运营</w:t>
            </w:r>
          </w:p>
        </w:tc>
        <w:tc>
          <w:tcPr>
            <w:tcW w:w="708" w:type="pct"/>
            <w:shd w:val="clear" w:color="auto" w:fill="auto"/>
            <w:vAlign w:val="center"/>
          </w:tcPr>
          <w:p w14:paraId="4B6B8ACC">
            <w:pPr>
              <w:widowControl/>
              <w:spacing w:line="240" w:lineRule="auto"/>
              <w:ind w:firstLine="0" w:firstLineChars="0"/>
              <w:jc w:val="left"/>
              <w:textAlignment w:val="center"/>
              <w:rPr>
                <w:rFonts w:eastAsia="仿宋" w:cs="Times New Roman"/>
                <w:sz w:val="20"/>
                <w:szCs w:val="20"/>
              </w:rPr>
            </w:pPr>
            <w:r>
              <w:rPr>
                <w:rFonts w:eastAsia="仿宋" w:cs="Times New Roman"/>
                <w:b/>
                <w:bCs/>
                <w:kern w:val="0"/>
                <w:sz w:val="20"/>
                <w:szCs w:val="20"/>
                <w:lang w:bidi="ar"/>
              </w:rPr>
              <w:t>M.4.1.1 环境友好型铁路建设运营和铁路绿色化改造（*）</w:t>
            </w:r>
          </w:p>
        </w:tc>
        <w:tc>
          <w:tcPr>
            <w:tcW w:w="1723" w:type="pct"/>
            <w:shd w:val="clear" w:color="auto" w:fill="auto"/>
            <w:vAlign w:val="center"/>
          </w:tcPr>
          <w:p w14:paraId="2E4DF5EF">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环境友好型铁路是指符合国家环保标准规范，考虑对生物重要栖息地的影响，在项目建设和运营过程中切实保护自然生态、尽量减少生态影响的客运、货运和客货两用铁路。包括环境友好型铁路及相关场所建设和运营，以及既有铁路电气化改造、铁路场站和铁路设备绿色化改造、废弃铁路复垦等。铁路客运站、货运站建设或改造后需达到《绿色铁路客站评价标准》（TB/T10429）、《绿色交通设施评估技术要求 第4部分：绿色客运站》（JT/T 1199.4）、《绿色交通设施评估技术要求 第5部分：绿色货运站》（JT/T 1199.5）等标准规范要求。</w:t>
            </w:r>
          </w:p>
        </w:tc>
        <w:tc>
          <w:tcPr>
            <w:tcW w:w="224" w:type="pct"/>
            <w:shd w:val="clear" w:color="auto" w:fill="auto"/>
            <w:vAlign w:val="center"/>
          </w:tcPr>
          <w:p w14:paraId="00879A23">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II</w:t>
            </w:r>
          </w:p>
        </w:tc>
        <w:tc>
          <w:tcPr>
            <w:tcW w:w="546" w:type="pct"/>
            <w:shd w:val="clear" w:color="auto" w:fill="auto"/>
            <w:vAlign w:val="center"/>
          </w:tcPr>
          <w:p w14:paraId="7D456D91">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6.2.8</w:t>
            </w:r>
          </w:p>
        </w:tc>
        <w:tc>
          <w:tcPr>
            <w:tcW w:w="558" w:type="pct"/>
            <w:shd w:val="clear" w:color="auto" w:fill="auto"/>
            <w:noWrap/>
            <w:vAlign w:val="center"/>
          </w:tcPr>
          <w:p w14:paraId="26A6E831">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5.5.2.1</w:t>
            </w:r>
          </w:p>
        </w:tc>
        <w:tc>
          <w:tcPr>
            <w:tcW w:w="390" w:type="pct"/>
            <w:shd w:val="clear" w:color="auto" w:fill="auto"/>
            <w:noWrap/>
            <w:vAlign w:val="center"/>
          </w:tcPr>
          <w:p w14:paraId="2137EA92">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5.2.1</w:t>
            </w:r>
          </w:p>
        </w:tc>
      </w:tr>
      <w:tr w14:paraId="752F4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35" w:type="pct"/>
            <w:vMerge w:val="continue"/>
            <w:shd w:val="clear" w:color="auto" w:fill="auto"/>
            <w:vAlign w:val="center"/>
          </w:tcPr>
          <w:p w14:paraId="7281DB3E">
            <w:pPr>
              <w:widowControl/>
              <w:spacing w:line="240" w:lineRule="auto"/>
              <w:ind w:firstLine="0" w:firstLineChars="0"/>
              <w:jc w:val="left"/>
              <w:rPr>
                <w:rFonts w:eastAsia="仿宋" w:cs="Times New Roman"/>
                <w:sz w:val="20"/>
                <w:szCs w:val="20"/>
              </w:rPr>
            </w:pPr>
          </w:p>
        </w:tc>
        <w:tc>
          <w:tcPr>
            <w:tcW w:w="514" w:type="pct"/>
            <w:vMerge w:val="continue"/>
            <w:shd w:val="clear" w:color="auto" w:fill="auto"/>
            <w:vAlign w:val="center"/>
          </w:tcPr>
          <w:p w14:paraId="6F35992E">
            <w:pPr>
              <w:widowControl/>
              <w:spacing w:line="240" w:lineRule="auto"/>
              <w:ind w:firstLine="0" w:firstLineChars="0"/>
              <w:jc w:val="left"/>
              <w:rPr>
                <w:rFonts w:eastAsia="仿宋" w:cs="Times New Roman"/>
                <w:sz w:val="20"/>
                <w:szCs w:val="20"/>
              </w:rPr>
            </w:pPr>
          </w:p>
        </w:tc>
        <w:tc>
          <w:tcPr>
            <w:tcW w:w="708" w:type="pct"/>
            <w:shd w:val="clear" w:color="auto" w:fill="auto"/>
            <w:vAlign w:val="center"/>
          </w:tcPr>
          <w:p w14:paraId="318622F9">
            <w:pPr>
              <w:widowControl/>
              <w:spacing w:line="240" w:lineRule="auto"/>
              <w:ind w:firstLine="0" w:firstLineChars="0"/>
              <w:jc w:val="left"/>
              <w:textAlignment w:val="center"/>
              <w:rPr>
                <w:rFonts w:eastAsia="仿宋" w:cs="Times New Roman"/>
                <w:sz w:val="20"/>
                <w:szCs w:val="20"/>
              </w:rPr>
            </w:pPr>
            <w:r>
              <w:rPr>
                <w:rFonts w:eastAsia="仿宋" w:cs="Times New Roman"/>
                <w:b/>
                <w:bCs/>
                <w:kern w:val="0"/>
                <w:sz w:val="20"/>
                <w:szCs w:val="20"/>
                <w:lang w:bidi="ar"/>
              </w:rPr>
              <w:t>M.4.1.2 城乡公共交通系统建设和运营（*）</w:t>
            </w:r>
          </w:p>
        </w:tc>
        <w:tc>
          <w:tcPr>
            <w:tcW w:w="1723" w:type="pct"/>
            <w:shd w:val="clear" w:color="auto" w:fill="auto"/>
            <w:vAlign w:val="center"/>
          </w:tcPr>
          <w:p w14:paraId="5A8A99C7">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包括绿色公路建设和公路交通基础设施绿色低碳化改造；城乡客运系统建设和运营等。</w:t>
            </w:r>
          </w:p>
        </w:tc>
        <w:tc>
          <w:tcPr>
            <w:tcW w:w="224" w:type="pct"/>
            <w:shd w:val="clear" w:color="auto" w:fill="auto"/>
            <w:vAlign w:val="center"/>
          </w:tcPr>
          <w:p w14:paraId="644F64B4">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Ⅱ</w:t>
            </w:r>
          </w:p>
        </w:tc>
        <w:tc>
          <w:tcPr>
            <w:tcW w:w="546" w:type="pct"/>
            <w:shd w:val="clear" w:color="auto" w:fill="auto"/>
            <w:vAlign w:val="center"/>
          </w:tcPr>
          <w:p w14:paraId="7D99D1C4">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6.2.1；6.2.6</w:t>
            </w:r>
          </w:p>
        </w:tc>
        <w:tc>
          <w:tcPr>
            <w:tcW w:w="558" w:type="pct"/>
            <w:shd w:val="clear" w:color="auto" w:fill="auto"/>
            <w:noWrap/>
            <w:vAlign w:val="center"/>
          </w:tcPr>
          <w:p w14:paraId="3311DF76">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5.5.1.5</w:t>
            </w:r>
          </w:p>
        </w:tc>
        <w:tc>
          <w:tcPr>
            <w:tcW w:w="390" w:type="pct"/>
            <w:shd w:val="clear" w:color="auto" w:fill="auto"/>
            <w:noWrap/>
            <w:vAlign w:val="center"/>
          </w:tcPr>
          <w:p w14:paraId="3FB7429E">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5.2.3</w:t>
            </w:r>
          </w:p>
        </w:tc>
      </w:tr>
      <w:tr w14:paraId="282D2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35" w:type="pct"/>
            <w:vMerge w:val="continue"/>
            <w:shd w:val="clear" w:color="auto" w:fill="auto"/>
            <w:vAlign w:val="center"/>
          </w:tcPr>
          <w:p w14:paraId="53385D10">
            <w:pPr>
              <w:widowControl/>
              <w:spacing w:line="240" w:lineRule="auto"/>
              <w:ind w:firstLine="0" w:firstLineChars="0"/>
              <w:jc w:val="left"/>
              <w:rPr>
                <w:rFonts w:eastAsia="仿宋" w:cs="Times New Roman"/>
                <w:sz w:val="20"/>
                <w:szCs w:val="20"/>
              </w:rPr>
            </w:pPr>
          </w:p>
        </w:tc>
        <w:tc>
          <w:tcPr>
            <w:tcW w:w="514" w:type="pct"/>
            <w:vMerge w:val="continue"/>
            <w:shd w:val="clear" w:color="auto" w:fill="auto"/>
            <w:vAlign w:val="center"/>
          </w:tcPr>
          <w:p w14:paraId="32F8F056">
            <w:pPr>
              <w:widowControl/>
              <w:spacing w:line="240" w:lineRule="auto"/>
              <w:ind w:firstLine="0" w:firstLineChars="0"/>
              <w:jc w:val="left"/>
              <w:rPr>
                <w:rFonts w:eastAsia="仿宋" w:cs="Times New Roman"/>
                <w:sz w:val="20"/>
                <w:szCs w:val="20"/>
              </w:rPr>
            </w:pPr>
          </w:p>
        </w:tc>
        <w:tc>
          <w:tcPr>
            <w:tcW w:w="708" w:type="pct"/>
            <w:shd w:val="clear" w:color="auto" w:fill="auto"/>
            <w:vAlign w:val="center"/>
          </w:tcPr>
          <w:p w14:paraId="1E3E6A8B">
            <w:pPr>
              <w:widowControl/>
              <w:spacing w:line="240" w:lineRule="auto"/>
              <w:ind w:firstLine="0" w:firstLineChars="0"/>
              <w:jc w:val="left"/>
              <w:textAlignment w:val="center"/>
              <w:rPr>
                <w:rFonts w:eastAsia="仿宋" w:cs="Times New Roman"/>
                <w:sz w:val="20"/>
                <w:szCs w:val="20"/>
              </w:rPr>
            </w:pPr>
            <w:r>
              <w:rPr>
                <w:rFonts w:eastAsia="仿宋" w:cs="Times New Roman"/>
                <w:b/>
                <w:bCs/>
                <w:kern w:val="0"/>
                <w:sz w:val="20"/>
                <w:szCs w:val="20"/>
                <w:lang w:bidi="ar"/>
              </w:rPr>
              <w:t>M.4.1.3 城市慢行系统建设和运营（*）</w:t>
            </w:r>
          </w:p>
        </w:tc>
        <w:tc>
          <w:tcPr>
            <w:tcW w:w="1723" w:type="pct"/>
            <w:shd w:val="clear" w:color="auto" w:fill="auto"/>
            <w:vAlign w:val="center"/>
          </w:tcPr>
          <w:p w14:paraId="4679E640">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包括步行交通系统建设、自行车交通系统建设、非机动车停车设施建设、都市绿道建设、道路交叉口路灯优化、路段过街设施建设、慢行系统优化等。</w:t>
            </w:r>
          </w:p>
        </w:tc>
        <w:tc>
          <w:tcPr>
            <w:tcW w:w="224" w:type="pct"/>
            <w:shd w:val="clear" w:color="auto" w:fill="auto"/>
            <w:vAlign w:val="center"/>
          </w:tcPr>
          <w:p w14:paraId="663B374F">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Ⅰ</w:t>
            </w:r>
          </w:p>
        </w:tc>
        <w:tc>
          <w:tcPr>
            <w:tcW w:w="546" w:type="pct"/>
            <w:shd w:val="clear" w:color="auto" w:fill="auto"/>
            <w:vAlign w:val="center"/>
          </w:tcPr>
          <w:p w14:paraId="04D1DA2B">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6.2.7</w:t>
            </w:r>
          </w:p>
        </w:tc>
        <w:tc>
          <w:tcPr>
            <w:tcW w:w="558" w:type="pct"/>
            <w:shd w:val="clear" w:color="auto" w:fill="auto"/>
            <w:noWrap/>
            <w:vAlign w:val="center"/>
          </w:tcPr>
          <w:p w14:paraId="73E33E56">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5.5.1.4</w:t>
            </w:r>
          </w:p>
        </w:tc>
        <w:tc>
          <w:tcPr>
            <w:tcW w:w="390" w:type="pct"/>
            <w:shd w:val="clear" w:color="auto" w:fill="auto"/>
            <w:noWrap/>
            <w:vAlign w:val="center"/>
          </w:tcPr>
          <w:p w14:paraId="6F9B0781">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5.2.3</w:t>
            </w:r>
          </w:p>
        </w:tc>
      </w:tr>
      <w:tr w14:paraId="0AEDE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35" w:type="pct"/>
            <w:vMerge w:val="continue"/>
            <w:shd w:val="clear" w:color="auto" w:fill="auto"/>
            <w:vAlign w:val="center"/>
          </w:tcPr>
          <w:p w14:paraId="5D6E4FED">
            <w:pPr>
              <w:widowControl/>
              <w:spacing w:line="240" w:lineRule="auto"/>
              <w:ind w:firstLine="0" w:firstLineChars="0"/>
              <w:jc w:val="left"/>
              <w:rPr>
                <w:rFonts w:eastAsia="仿宋" w:cs="Times New Roman"/>
                <w:sz w:val="20"/>
                <w:szCs w:val="20"/>
              </w:rPr>
            </w:pPr>
          </w:p>
        </w:tc>
        <w:tc>
          <w:tcPr>
            <w:tcW w:w="514" w:type="pct"/>
            <w:vMerge w:val="continue"/>
            <w:shd w:val="clear" w:color="auto" w:fill="auto"/>
            <w:vAlign w:val="center"/>
          </w:tcPr>
          <w:p w14:paraId="6A3991F3">
            <w:pPr>
              <w:widowControl/>
              <w:spacing w:line="240" w:lineRule="auto"/>
              <w:ind w:firstLine="0" w:firstLineChars="0"/>
              <w:jc w:val="left"/>
              <w:rPr>
                <w:rFonts w:eastAsia="仿宋" w:cs="Times New Roman"/>
                <w:sz w:val="20"/>
                <w:szCs w:val="20"/>
              </w:rPr>
            </w:pPr>
          </w:p>
        </w:tc>
        <w:tc>
          <w:tcPr>
            <w:tcW w:w="708" w:type="pct"/>
            <w:shd w:val="clear" w:color="auto" w:fill="auto"/>
            <w:vAlign w:val="center"/>
          </w:tcPr>
          <w:p w14:paraId="59341259">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M.4.1.4 交通枢纽场站绿色化改造</w:t>
            </w:r>
          </w:p>
        </w:tc>
        <w:tc>
          <w:tcPr>
            <w:tcW w:w="1723" w:type="pct"/>
            <w:shd w:val="clear" w:color="auto" w:fill="auto"/>
            <w:vAlign w:val="center"/>
          </w:tcPr>
          <w:p w14:paraId="532CDB20">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包括综合交通枢纽、客货运场站等枢纽基础设施的绿色化改造。</w:t>
            </w:r>
          </w:p>
        </w:tc>
        <w:tc>
          <w:tcPr>
            <w:tcW w:w="224" w:type="pct"/>
            <w:shd w:val="clear" w:color="auto" w:fill="auto"/>
            <w:vAlign w:val="center"/>
          </w:tcPr>
          <w:p w14:paraId="7A70734B">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II</w:t>
            </w:r>
          </w:p>
        </w:tc>
        <w:tc>
          <w:tcPr>
            <w:tcW w:w="546" w:type="pct"/>
            <w:shd w:val="clear" w:color="auto" w:fill="auto"/>
            <w:vAlign w:val="center"/>
          </w:tcPr>
          <w:p w14:paraId="0C671DAD">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6.2.2</w:t>
            </w:r>
          </w:p>
        </w:tc>
        <w:tc>
          <w:tcPr>
            <w:tcW w:w="558" w:type="pct"/>
            <w:shd w:val="clear" w:color="auto" w:fill="auto"/>
            <w:vAlign w:val="center"/>
          </w:tcPr>
          <w:p w14:paraId="51B917D0">
            <w:pPr>
              <w:widowControl/>
              <w:spacing w:line="240" w:lineRule="auto"/>
              <w:ind w:firstLine="0" w:firstLineChars="0"/>
              <w:jc w:val="center"/>
              <w:rPr>
                <w:rFonts w:eastAsia="宋体" w:cs="Times New Roman"/>
                <w:sz w:val="20"/>
                <w:szCs w:val="20"/>
              </w:rPr>
            </w:pPr>
          </w:p>
        </w:tc>
        <w:tc>
          <w:tcPr>
            <w:tcW w:w="390" w:type="pct"/>
            <w:shd w:val="clear" w:color="auto" w:fill="auto"/>
            <w:vAlign w:val="center"/>
          </w:tcPr>
          <w:p w14:paraId="63832C89">
            <w:pPr>
              <w:widowControl/>
              <w:spacing w:line="240" w:lineRule="auto"/>
              <w:ind w:firstLine="0" w:firstLineChars="0"/>
              <w:jc w:val="center"/>
              <w:rPr>
                <w:rFonts w:eastAsia="宋体" w:cs="Times New Roman"/>
                <w:sz w:val="20"/>
                <w:szCs w:val="20"/>
              </w:rPr>
            </w:pPr>
          </w:p>
        </w:tc>
      </w:tr>
      <w:tr w14:paraId="680A2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35" w:type="pct"/>
            <w:vMerge w:val="continue"/>
            <w:shd w:val="clear" w:color="auto" w:fill="auto"/>
            <w:vAlign w:val="center"/>
          </w:tcPr>
          <w:p w14:paraId="7CA863E3">
            <w:pPr>
              <w:widowControl/>
              <w:spacing w:line="240" w:lineRule="auto"/>
              <w:ind w:firstLine="0" w:firstLineChars="0"/>
              <w:jc w:val="left"/>
              <w:rPr>
                <w:rFonts w:eastAsia="仿宋" w:cs="Times New Roman"/>
                <w:sz w:val="20"/>
                <w:szCs w:val="20"/>
              </w:rPr>
            </w:pPr>
          </w:p>
        </w:tc>
        <w:tc>
          <w:tcPr>
            <w:tcW w:w="514" w:type="pct"/>
            <w:vMerge w:val="continue"/>
            <w:shd w:val="clear" w:color="auto" w:fill="auto"/>
            <w:vAlign w:val="center"/>
          </w:tcPr>
          <w:p w14:paraId="78150788">
            <w:pPr>
              <w:widowControl/>
              <w:spacing w:line="240" w:lineRule="auto"/>
              <w:ind w:firstLine="0" w:firstLineChars="0"/>
              <w:jc w:val="left"/>
              <w:rPr>
                <w:rFonts w:eastAsia="仿宋" w:cs="Times New Roman"/>
                <w:sz w:val="20"/>
                <w:szCs w:val="20"/>
              </w:rPr>
            </w:pPr>
          </w:p>
        </w:tc>
        <w:tc>
          <w:tcPr>
            <w:tcW w:w="708" w:type="pct"/>
            <w:shd w:val="clear" w:color="auto" w:fill="auto"/>
            <w:vAlign w:val="center"/>
          </w:tcPr>
          <w:p w14:paraId="0D51B7F0">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M.4.1.5 共享交通设施建设和运营</w:t>
            </w:r>
          </w:p>
        </w:tc>
        <w:tc>
          <w:tcPr>
            <w:tcW w:w="1723" w:type="pct"/>
            <w:shd w:val="clear" w:color="auto" w:fill="auto"/>
            <w:vAlign w:val="center"/>
          </w:tcPr>
          <w:p w14:paraId="11BF609E">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包括公共租赁自行车、互联网租赁自行车、互联网租赁电动自行车、互联网租赁汽车、汽车分时租赁系统、立体停车设施设备、自行车停车设施等建设和运营。</w:t>
            </w:r>
          </w:p>
        </w:tc>
        <w:tc>
          <w:tcPr>
            <w:tcW w:w="224" w:type="pct"/>
            <w:shd w:val="clear" w:color="auto" w:fill="auto"/>
            <w:vAlign w:val="center"/>
          </w:tcPr>
          <w:p w14:paraId="3BE96784">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I</w:t>
            </w:r>
          </w:p>
        </w:tc>
        <w:tc>
          <w:tcPr>
            <w:tcW w:w="546" w:type="pct"/>
            <w:shd w:val="clear" w:color="auto" w:fill="auto"/>
            <w:vAlign w:val="center"/>
          </w:tcPr>
          <w:p w14:paraId="09A752EB">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6.2.5</w:t>
            </w:r>
          </w:p>
        </w:tc>
        <w:tc>
          <w:tcPr>
            <w:tcW w:w="558" w:type="pct"/>
            <w:shd w:val="clear" w:color="auto" w:fill="auto"/>
            <w:noWrap/>
            <w:vAlign w:val="center"/>
          </w:tcPr>
          <w:p w14:paraId="645A4DF2">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5.5.1.6</w:t>
            </w:r>
          </w:p>
        </w:tc>
        <w:tc>
          <w:tcPr>
            <w:tcW w:w="390" w:type="pct"/>
            <w:shd w:val="clear" w:color="auto" w:fill="auto"/>
            <w:noWrap/>
            <w:vAlign w:val="center"/>
          </w:tcPr>
          <w:p w14:paraId="5F3648D7">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5.2.3</w:t>
            </w:r>
          </w:p>
        </w:tc>
      </w:tr>
      <w:tr w14:paraId="7ED3C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35" w:type="pct"/>
            <w:vMerge w:val="continue"/>
            <w:shd w:val="clear" w:color="auto" w:fill="auto"/>
            <w:vAlign w:val="center"/>
          </w:tcPr>
          <w:p w14:paraId="369602BF">
            <w:pPr>
              <w:widowControl/>
              <w:spacing w:line="240" w:lineRule="auto"/>
              <w:ind w:firstLine="0" w:firstLineChars="0"/>
              <w:jc w:val="left"/>
              <w:rPr>
                <w:rFonts w:eastAsia="仿宋" w:cs="Times New Roman"/>
                <w:sz w:val="20"/>
                <w:szCs w:val="20"/>
              </w:rPr>
            </w:pPr>
          </w:p>
        </w:tc>
        <w:tc>
          <w:tcPr>
            <w:tcW w:w="514" w:type="pct"/>
            <w:vMerge w:val="continue"/>
            <w:shd w:val="clear" w:color="auto" w:fill="auto"/>
            <w:vAlign w:val="center"/>
          </w:tcPr>
          <w:p w14:paraId="34A928F7">
            <w:pPr>
              <w:widowControl/>
              <w:spacing w:line="240" w:lineRule="auto"/>
              <w:ind w:firstLine="0" w:firstLineChars="0"/>
              <w:jc w:val="left"/>
              <w:rPr>
                <w:rFonts w:eastAsia="仿宋" w:cs="Times New Roman"/>
                <w:sz w:val="20"/>
                <w:szCs w:val="20"/>
              </w:rPr>
            </w:pPr>
          </w:p>
        </w:tc>
        <w:tc>
          <w:tcPr>
            <w:tcW w:w="708" w:type="pct"/>
            <w:shd w:val="clear" w:color="auto" w:fill="auto"/>
            <w:vAlign w:val="center"/>
          </w:tcPr>
          <w:p w14:paraId="53432A89">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M.4.1.6 智能交通体系建设和运营</w:t>
            </w:r>
          </w:p>
        </w:tc>
        <w:tc>
          <w:tcPr>
            <w:tcW w:w="1723" w:type="pct"/>
            <w:shd w:val="clear" w:color="auto" w:fill="auto"/>
            <w:vAlign w:val="center"/>
          </w:tcPr>
          <w:p w14:paraId="25A1E979">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包括交通指挥中心系统与设备、电子警察系统与设备、交通信号控制系统与设备、公路风险感知与分析设备、智能信息服务系统与设备、智能公交系统与设备、城市智慧汽车基础设施、智能停车系统与设备、交通信息采集发布系统与设备、全球定位系统（GPS）与警用系统与设备、出租车信息服务管理系统与设备、综合客运枢纽信息化系统与设备、路网综合管理系统、智能化新一代民航旅客服务系统（PSS）、智慧机场管理系统、旅游联程联运信息服务系统、高速公路扣费系统、市区过桥系统、隧道自动扣费系统、停车场不停车收费系统等。</w:t>
            </w:r>
          </w:p>
        </w:tc>
        <w:tc>
          <w:tcPr>
            <w:tcW w:w="224" w:type="pct"/>
            <w:shd w:val="clear" w:color="auto" w:fill="auto"/>
            <w:vAlign w:val="center"/>
          </w:tcPr>
          <w:p w14:paraId="163AF39C">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I</w:t>
            </w:r>
          </w:p>
        </w:tc>
        <w:tc>
          <w:tcPr>
            <w:tcW w:w="546" w:type="pct"/>
            <w:shd w:val="clear" w:color="auto" w:fill="auto"/>
            <w:vAlign w:val="center"/>
          </w:tcPr>
          <w:p w14:paraId="01A913B6">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6.2.4</w:t>
            </w:r>
          </w:p>
        </w:tc>
        <w:tc>
          <w:tcPr>
            <w:tcW w:w="558" w:type="pct"/>
            <w:shd w:val="clear" w:color="auto" w:fill="auto"/>
            <w:noWrap/>
            <w:vAlign w:val="center"/>
          </w:tcPr>
          <w:p w14:paraId="5A08601B">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5.5.1.3</w:t>
            </w:r>
          </w:p>
        </w:tc>
        <w:tc>
          <w:tcPr>
            <w:tcW w:w="390" w:type="pct"/>
            <w:shd w:val="clear" w:color="auto" w:fill="auto"/>
            <w:noWrap/>
            <w:vAlign w:val="center"/>
          </w:tcPr>
          <w:p w14:paraId="29567362">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5.2.5；5.7</w:t>
            </w:r>
          </w:p>
        </w:tc>
      </w:tr>
      <w:tr w14:paraId="3207C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35" w:type="pct"/>
            <w:vMerge w:val="continue"/>
            <w:shd w:val="clear" w:color="auto" w:fill="auto"/>
            <w:vAlign w:val="center"/>
          </w:tcPr>
          <w:p w14:paraId="6BDC00B1">
            <w:pPr>
              <w:widowControl/>
              <w:spacing w:line="240" w:lineRule="auto"/>
              <w:ind w:firstLine="0" w:firstLineChars="0"/>
              <w:jc w:val="left"/>
              <w:rPr>
                <w:rFonts w:eastAsia="仿宋" w:cs="Times New Roman"/>
                <w:sz w:val="20"/>
                <w:szCs w:val="20"/>
              </w:rPr>
            </w:pPr>
          </w:p>
        </w:tc>
        <w:tc>
          <w:tcPr>
            <w:tcW w:w="514" w:type="pct"/>
            <w:vMerge w:val="continue"/>
            <w:shd w:val="clear" w:color="auto" w:fill="auto"/>
            <w:vAlign w:val="center"/>
          </w:tcPr>
          <w:p w14:paraId="14BA9E67">
            <w:pPr>
              <w:widowControl/>
              <w:spacing w:line="240" w:lineRule="auto"/>
              <w:ind w:firstLine="0" w:firstLineChars="0"/>
              <w:jc w:val="left"/>
              <w:rPr>
                <w:rFonts w:eastAsia="仿宋" w:cs="Times New Roman"/>
                <w:sz w:val="20"/>
                <w:szCs w:val="20"/>
              </w:rPr>
            </w:pPr>
          </w:p>
        </w:tc>
        <w:tc>
          <w:tcPr>
            <w:tcW w:w="708" w:type="pct"/>
            <w:shd w:val="clear" w:color="auto" w:fill="auto"/>
            <w:vAlign w:val="center"/>
          </w:tcPr>
          <w:p w14:paraId="616EEB93">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M.4.1.7 多式联运系统与公转铁建设和运营</w:t>
            </w:r>
          </w:p>
        </w:tc>
        <w:tc>
          <w:tcPr>
            <w:tcW w:w="1723" w:type="pct"/>
            <w:shd w:val="clear" w:color="auto" w:fill="auto"/>
            <w:vAlign w:val="center"/>
          </w:tcPr>
          <w:p w14:paraId="7B1E65D8">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包括集装箱、大宗货物、冷链物资、汽车整车、邮件快件等物资多式联运系统建设和运营，综合货运枢纽、铁路专用线建设以及促进公转铁等相关设施建设和运营。</w:t>
            </w:r>
          </w:p>
        </w:tc>
        <w:tc>
          <w:tcPr>
            <w:tcW w:w="224" w:type="pct"/>
            <w:shd w:val="clear" w:color="auto" w:fill="auto"/>
            <w:vAlign w:val="center"/>
          </w:tcPr>
          <w:p w14:paraId="4A0E9BB1">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I</w:t>
            </w:r>
          </w:p>
        </w:tc>
        <w:tc>
          <w:tcPr>
            <w:tcW w:w="546" w:type="pct"/>
            <w:shd w:val="clear" w:color="auto" w:fill="auto"/>
            <w:vAlign w:val="center"/>
          </w:tcPr>
          <w:p w14:paraId="11B5B96A">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6.2.9</w:t>
            </w:r>
          </w:p>
        </w:tc>
        <w:tc>
          <w:tcPr>
            <w:tcW w:w="558" w:type="pct"/>
            <w:shd w:val="clear" w:color="auto" w:fill="auto"/>
            <w:noWrap/>
            <w:vAlign w:val="center"/>
          </w:tcPr>
          <w:p w14:paraId="341B82A5">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5.5.1.2</w:t>
            </w:r>
          </w:p>
        </w:tc>
        <w:tc>
          <w:tcPr>
            <w:tcW w:w="390" w:type="pct"/>
            <w:shd w:val="clear" w:color="auto" w:fill="auto"/>
            <w:noWrap/>
            <w:vAlign w:val="center"/>
          </w:tcPr>
          <w:p w14:paraId="029EDECD">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5.2.5</w:t>
            </w:r>
          </w:p>
        </w:tc>
      </w:tr>
      <w:tr w14:paraId="21D66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35" w:type="pct"/>
            <w:vMerge w:val="continue"/>
            <w:shd w:val="clear" w:color="auto" w:fill="auto"/>
            <w:vAlign w:val="center"/>
          </w:tcPr>
          <w:p w14:paraId="5673369D">
            <w:pPr>
              <w:widowControl/>
              <w:spacing w:line="240" w:lineRule="auto"/>
              <w:ind w:firstLine="0" w:firstLineChars="0"/>
              <w:jc w:val="left"/>
              <w:rPr>
                <w:rFonts w:eastAsia="仿宋" w:cs="Times New Roman"/>
                <w:sz w:val="20"/>
                <w:szCs w:val="20"/>
              </w:rPr>
            </w:pPr>
          </w:p>
        </w:tc>
        <w:tc>
          <w:tcPr>
            <w:tcW w:w="514" w:type="pct"/>
            <w:vMerge w:val="continue"/>
            <w:shd w:val="clear" w:color="auto" w:fill="auto"/>
            <w:vAlign w:val="center"/>
          </w:tcPr>
          <w:p w14:paraId="3772435A">
            <w:pPr>
              <w:widowControl/>
              <w:spacing w:line="240" w:lineRule="auto"/>
              <w:ind w:firstLine="0" w:firstLineChars="0"/>
              <w:jc w:val="left"/>
              <w:rPr>
                <w:rFonts w:eastAsia="仿宋" w:cs="Times New Roman"/>
                <w:sz w:val="20"/>
                <w:szCs w:val="20"/>
              </w:rPr>
            </w:pPr>
          </w:p>
        </w:tc>
        <w:tc>
          <w:tcPr>
            <w:tcW w:w="708" w:type="pct"/>
            <w:shd w:val="clear" w:color="auto" w:fill="auto"/>
            <w:vAlign w:val="center"/>
          </w:tcPr>
          <w:p w14:paraId="06E4A90B">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M.4.1.8 低碳民航</w:t>
            </w:r>
          </w:p>
        </w:tc>
        <w:tc>
          <w:tcPr>
            <w:tcW w:w="1723" w:type="pct"/>
            <w:shd w:val="clear" w:color="auto" w:fill="auto"/>
            <w:vAlign w:val="center"/>
          </w:tcPr>
          <w:p w14:paraId="515523D9">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主要包括：（1）绿色机场建设、运行与改造，包括含机场航站楼、跑道、机场廊桥供电设施等在内的绿色机场建设，机场绿色化改造，机场新增或更新的作业车辆及机械采用新能源或清洁能源。（2）绿色飞行，如翼尖小翼安装、航空器减重、飞机及航班保障车辆新能源和可再生能源应用、协同运行工程等项目；（3）绿色空管，如先进高效空管设施设备建设、协同运行工程等项目。</w:t>
            </w:r>
          </w:p>
        </w:tc>
        <w:tc>
          <w:tcPr>
            <w:tcW w:w="224" w:type="pct"/>
            <w:shd w:val="clear" w:color="auto" w:fill="auto"/>
            <w:vAlign w:val="center"/>
          </w:tcPr>
          <w:p w14:paraId="74DEF2D1">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II</w:t>
            </w:r>
          </w:p>
        </w:tc>
        <w:tc>
          <w:tcPr>
            <w:tcW w:w="546" w:type="pct"/>
            <w:shd w:val="clear" w:color="auto" w:fill="auto"/>
            <w:vAlign w:val="center"/>
          </w:tcPr>
          <w:p w14:paraId="26DEECEB">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6.2.11</w:t>
            </w:r>
          </w:p>
        </w:tc>
        <w:tc>
          <w:tcPr>
            <w:tcW w:w="558" w:type="pct"/>
            <w:shd w:val="clear" w:color="auto" w:fill="auto"/>
            <w:vAlign w:val="center"/>
          </w:tcPr>
          <w:p w14:paraId="40503AF7">
            <w:pPr>
              <w:widowControl/>
              <w:spacing w:line="240" w:lineRule="auto"/>
              <w:ind w:firstLine="0" w:firstLineChars="0"/>
              <w:jc w:val="center"/>
              <w:rPr>
                <w:rFonts w:eastAsia="宋体" w:cs="Times New Roman"/>
                <w:sz w:val="20"/>
                <w:szCs w:val="20"/>
              </w:rPr>
            </w:pPr>
          </w:p>
        </w:tc>
        <w:tc>
          <w:tcPr>
            <w:tcW w:w="390" w:type="pct"/>
            <w:shd w:val="clear" w:color="auto" w:fill="auto"/>
            <w:noWrap/>
            <w:vAlign w:val="center"/>
          </w:tcPr>
          <w:p w14:paraId="7F3EB4E8">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5.2.4</w:t>
            </w:r>
          </w:p>
        </w:tc>
      </w:tr>
      <w:tr w14:paraId="763E9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35" w:type="pct"/>
            <w:vMerge w:val="continue"/>
            <w:shd w:val="clear" w:color="auto" w:fill="auto"/>
            <w:vAlign w:val="center"/>
          </w:tcPr>
          <w:p w14:paraId="564733DB">
            <w:pPr>
              <w:widowControl/>
              <w:spacing w:line="240" w:lineRule="auto"/>
              <w:ind w:firstLine="0" w:firstLineChars="0"/>
              <w:jc w:val="left"/>
              <w:rPr>
                <w:rFonts w:eastAsia="仿宋" w:cs="Times New Roman"/>
                <w:sz w:val="20"/>
                <w:szCs w:val="20"/>
              </w:rPr>
            </w:pPr>
          </w:p>
        </w:tc>
        <w:tc>
          <w:tcPr>
            <w:tcW w:w="514" w:type="pct"/>
            <w:vMerge w:val="continue"/>
            <w:shd w:val="clear" w:color="auto" w:fill="auto"/>
            <w:vAlign w:val="center"/>
          </w:tcPr>
          <w:p w14:paraId="68D572C5">
            <w:pPr>
              <w:widowControl/>
              <w:spacing w:line="240" w:lineRule="auto"/>
              <w:ind w:firstLine="0" w:firstLineChars="0"/>
              <w:jc w:val="left"/>
              <w:rPr>
                <w:rFonts w:eastAsia="仿宋" w:cs="Times New Roman"/>
                <w:sz w:val="20"/>
                <w:szCs w:val="20"/>
              </w:rPr>
            </w:pPr>
          </w:p>
        </w:tc>
        <w:tc>
          <w:tcPr>
            <w:tcW w:w="708" w:type="pct"/>
            <w:shd w:val="clear" w:color="auto" w:fill="auto"/>
            <w:vAlign w:val="center"/>
          </w:tcPr>
          <w:p w14:paraId="74F96416">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M.4.1.9 船舶及配套设施绿色低碳升级改造</w:t>
            </w:r>
          </w:p>
        </w:tc>
        <w:tc>
          <w:tcPr>
            <w:tcW w:w="1723" w:type="pct"/>
            <w:shd w:val="clear" w:color="auto" w:fill="auto"/>
            <w:vAlign w:val="center"/>
          </w:tcPr>
          <w:p w14:paraId="630470D0">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包括船舶绿色低碳升级改造；绿色船舶的购置与租赁；船舶岸（受）电系统建设，船用液化天然气（LNG）等清洁燃料加注设施建设，内河老旧码头升级改造、船舶受电设施设备改造等。相关设施建设和改造需符合国家、行业相关标准规范要求</w:t>
            </w:r>
          </w:p>
        </w:tc>
        <w:tc>
          <w:tcPr>
            <w:tcW w:w="224" w:type="pct"/>
            <w:shd w:val="clear" w:color="auto" w:fill="auto"/>
            <w:vAlign w:val="center"/>
          </w:tcPr>
          <w:p w14:paraId="72B33CF5">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II</w:t>
            </w:r>
          </w:p>
        </w:tc>
        <w:tc>
          <w:tcPr>
            <w:tcW w:w="546" w:type="pct"/>
            <w:shd w:val="clear" w:color="auto" w:fill="auto"/>
            <w:vAlign w:val="center"/>
          </w:tcPr>
          <w:p w14:paraId="2C01E92F">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1.3.8</w:t>
            </w:r>
          </w:p>
        </w:tc>
        <w:tc>
          <w:tcPr>
            <w:tcW w:w="558" w:type="pct"/>
            <w:shd w:val="clear" w:color="auto" w:fill="auto"/>
            <w:vAlign w:val="center"/>
          </w:tcPr>
          <w:p w14:paraId="69171E50">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5.5.3</w:t>
            </w:r>
          </w:p>
        </w:tc>
        <w:tc>
          <w:tcPr>
            <w:tcW w:w="390" w:type="pct"/>
            <w:shd w:val="clear" w:color="auto" w:fill="auto"/>
            <w:noWrap/>
            <w:vAlign w:val="center"/>
          </w:tcPr>
          <w:p w14:paraId="1D60881A">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5.2.2</w:t>
            </w:r>
          </w:p>
        </w:tc>
      </w:tr>
      <w:tr w14:paraId="6602D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35" w:type="pct"/>
            <w:vMerge w:val="continue"/>
            <w:shd w:val="clear" w:color="auto" w:fill="auto"/>
            <w:vAlign w:val="center"/>
          </w:tcPr>
          <w:p w14:paraId="5E074E04">
            <w:pPr>
              <w:widowControl/>
              <w:spacing w:line="240" w:lineRule="auto"/>
              <w:ind w:firstLine="0" w:firstLineChars="0"/>
              <w:jc w:val="left"/>
              <w:rPr>
                <w:rFonts w:eastAsia="仿宋" w:cs="Times New Roman"/>
                <w:sz w:val="20"/>
                <w:szCs w:val="20"/>
              </w:rPr>
            </w:pPr>
          </w:p>
        </w:tc>
        <w:tc>
          <w:tcPr>
            <w:tcW w:w="514" w:type="pct"/>
            <w:shd w:val="clear" w:color="auto" w:fill="auto"/>
            <w:vAlign w:val="center"/>
          </w:tcPr>
          <w:p w14:paraId="5C867261">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M.4.2 清洁能源车辆配套设施</w:t>
            </w:r>
          </w:p>
        </w:tc>
        <w:tc>
          <w:tcPr>
            <w:tcW w:w="708" w:type="pct"/>
            <w:shd w:val="clear" w:color="auto" w:fill="auto"/>
            <w:vAlign w:val="center"/>
          </w:tcPr>
          <w:p w14:paraId="4F657C01">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M.4.2.1 充电、换电和加气设施建设和运营</w:t>
            </w:r>
          </w:p>
        </w:tc>
        <w:tc>
          <w:tcPr>
            <w:tcW w:w="1723" w:type="pct"/>
            <w:shd w:val="clear" w:color="auto" w:fill="auto"/>
            <w:vAlign w:val="center"/>
          </w:tcPr>
          <w:p w14:paraId="5C8F5DE9">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包括分布式交流充电桩、集中式快速充电站、非车载充电机、汽车换电设施、电动船舶充换电设施、汽车天然气加注站、船用天然气等清洁燃料加注设施、城市公共充电设施、城际快速充电网络等基础设施建设和运营。</w:t>
            </w:r>
          </w:p>
        </w:tc>
        <w:tc>
          <w:tcPr>
            <w:tcW w:w="224" w:type="pct"/>
            <w:shd w:val="clear" w:color="auto" w:fill="auto"/>
            <w:vAlign w:val="center"/>
          </w:tcPr>
          <w:p w14:paraId="453977DA">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I</w:t>
            </w:r>
          </w:p>
        </w:tc>
        <w:tc>
          <w:tcPr>
            <w:tcW w:w="546" w:type="pct"/>
            <w:shd w:val="clear" w:color="auto" w:fill="auto"/>
            <w:vAlign w:val="center"/>
          </w:tcPr>
          <w:p w14:paraId="38AA710A">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6.2.3</w:t>
            </w:r>
          </w:p>
        </w:tc>
        <w:tc>
          <w:tcPr>
            <w:tcW w:w="558" w:type="pct"/>
            <w:shd w:val="clear" w:color="auto" w:fill="auto"/>
            <w:noWrap/>
            <w:vAlign w:val="center"/>
          </w:tcPr>
          <w:p w14:paraId="64001716">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5.5.4.1</w:t>
            </w:r>
          </w:p>
        </w:tc>
        <w:tc>
          <w:tcPr>
            <w:tcW w:w="390" w:type="pct"/>
            <w:shd w:val="clear" w:color="auto" w:fill="auto"/>
            <w:vAlign w:val="center"/>
          </w:tcPr>
          <w:p w14:paraId="37119488">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5.2.3</w:t>
            </w:r>
          </w:p>
        </w:tc>
      </w:tr>
      <w:tr w14:paraId="44752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35" w:type="pct"/>
            <w:vMerge w:val="continue"/>
            <w:shd w:val="clear" w:color="auto" w:fill="auto"/>
            <w:vAlign w:val="center"/>
          </w:tcPr>
          <w:p w14:paraId="5258E7C0">
            <w:pPr>
              <w:widowControl/>
              <w:spacing w:line="240" w:lineRule="auto"/>
              <w:ind w:firstLine="0" w:firstLineChars="0"/>
              <w:jc w:val="left"/>
              <w:rPr>
                <w:rFonts w:eastAsia="仿宋" w:cs="Times New Roman"/>
                <w:sz w:val="20"/>
                <w:szCs w:val="20"/>
              </w:rPr>
            </w:pPr>
          </w:p>
        </w:tc>
        <w:tc>
          <w:tcPr>
            <w:tcW w:w="514" w:type="pct"/>
            <w:shd w:val="clear" w:color="auto" w:fill="auto"/>
            <w:vAlign w:val="center"/>
          </w:tcPr>
          <w:p w14:paraId="7A52A290">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M4.3 交通污染治理</w:t>
            </w:r>
          </w:p>
        </w:tc>
        <w:tc>
          <w:tcPr>
            <w:tcW w:w="708" w:type="pct"/>
            <w:shd w:val="clear" w:color="auto" w:fill="auto"/>
            <w:vAlign w:val="center"/>
          </w:tcPr>
          <w:p w14:paraId="5FCFA54F">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M.4.3.1 交通车船污染治理</w:t>
            </w:r>
          </w:p>
        </w:tc>
        <w:tc>
          <w:tcPr>
            <w:tcW w:w="1723" w:type="pct"/>
            <w:shd w:val="clear" w:color="auto" w:fill="auto"/>
            <w:vAlign w:val="center"/>
          </w:tcPr>
          <w:p w14:paraId="13AE2BD7">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包括采用高效、节能、环保的机动车船和非道路移动机械替换老旧和高能耗、高排放装备，机动车船和非道路移动机械的污染排放实时监控系统建设，对机动车船、非道路移动机械维修废油、废水和废气实施治理等，需符合国家、地方有关排放标准要求。</w:t>
            </w:r>
          </w:p>
        </w:tc>
        <w:tc>
          <w:tcPr>
            <w:tcW w:w="224" w:type="pct"/>
            <w:shd w:val="clear" w:color="auto" w:fill="auto"/>
            <w:vAlign w:val="center"/>
          </w:tcPr>
          <w:p w14:paraId="3BF204C9">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II</w:t>
            </w:r>
          </w:p>
        </w:tc>
        <w:tc>
          <w:tcPr>
            <w:tcW w:w="546" w:type="pct"/>
            <w:shd w:val="clear" w:color="auto" w:fill="auto"/>
            <w:vAlign w:val="center"/>
          </w:tcPr>
          <w:p w14:paraId="14BBA768">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2.5.8</w:t>
            </w:r>
          </w:p>
        </w:tc>
        <w:tc>
          <w:tcPr>
            <w:tcW w:w="558" w:type="pct"/>
            <w:shd w:val="clear" w:color="auto" w:fill="auto"/>
            <w:vAlign w:val="center"/>
          </w:tcPr>
          <w:p w14:paraId="135730CD">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1.3.3.1</w:t>
            </w:r>
          </w:p>
        </w:tc>
        <w:tc>
          <w:tcPr>
            <w:tcW w:w="390" w:type="pct"/>
            <w:shd w:val="clear" w:color="auto" w:fill="auto"/>
            <w:vAlign w:val="center"/>
          </w:tcPr>
          <w:p w14:paraId="271AF2CE">
            <w:pPr>
              <w:widowControl/>
              <w:spacing w:line="240" w:lineRule="auto"/>
              <w:ind w:firstLine="0" w:firstLineChars="0"/>
              <w:jc w:val="center"/>
              <w:rPr>
                <w:rFonts w:eastAsia="宋体" w:cs="Times New Roman"/>
                <w:sz w:val="20"/>
                <w:szCs w:val="20"/>
              </w:rPr>
            </w:pPr>
          </w:p>
        </w:tc>
      </w:tr>
      <w:tr w14:paraId="7420D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35" w:type="pct"/>
            <w:vMerge w:val="restart"/>
            <w:shd w:val="clear" w:color="auto" w:fill="auto"/>
            <w:vAlign w:val="center"/>
          </w:tcPr>
          <w:p w14:paraId="70B5504D">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M.5 低碳服务</w:t>
            </w:r>
          </w:p>
        </w:tc>
        <w:tc>
          <w:tcPr>
            <w:tcW w:w="514" w:type="pct"/>
            <w:vMerge w:val="restart"/>
            <w:shd w:val="clear" w:color="auto" w:fill="auto"/>
            <w:vAlign w:val="center"/>
          </w:tcPr>
          <w:p w14:paraId="722DBF82">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M.5.1 绿色低碳服务</w:t>
            </w:r>
          </w:p>
        </w:tc>
        <w:tc>
          <w:tcPr>
            <w:tcW w:w="708" w:type="pct"/>
            <w:shd w:val="clear" w:color="auto" w:fill="auto"/>
            <w:vAlign w:val="center"/>
          </w:tcPr>
          <w:p w14:paraId="17ED24A3">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M.5.1.1 低碳节能服务</w:t>
            </w:r>
          </w:p>
        </w:tc>
        <w:tc>
          <w:tcPr>
            <w:tcW w:w="1723" w:type="pct"/>
            <w:shd w:val="clear" w:color="auto" w:fill="auto"/>
            <w:vAlign w:val="center"/>
          </w:tcPr>
          <w:p w14:paraId="090C9838">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包括能源管理体系建设、合同能源管理服务等节能低碳项目运营管理服务；能耗在线监测系统建设、企业环境监测等节能监测检测服务。</w:t>
            </w:r>
          </w:p>
        </w:tc>
        <w:tc>
          <w:tcPr>
            <w:tcW w:w="224" w:type="pct"/>
            <w:shd w:val="clear" w:color="auto" w:fill="auto"/>
            <w:vAlign w:val="center"/>
          </w:tcPr>
          <w:p w14:paraId="1B94D5ED">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Ⅰ / Ⅱ</w:t>
            </w:r>
          </w:p>
        </w:tc>
        <w:tc>
          <w:tcPr>
            <w:tcW w:w="546" w:type="pct"/>
            <w:shd w:val="clear" w:color="auto" w:fill="auto"/>
            <w:vAlign w:val="center"/>
          </w:tcPr>
          <w:p w14:paraId="4C974AB1">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7.2.1-7.2.4；7.2.7；7.3.1；7.3.5</w:t>
            </w:r>
          </w:p>
        </w:tc>
        <w:tc>
          <w:tcPr>
            <w:tcW w:w="558" w:type="pct"/>
            <w:shd w:val="clear" w:color="auto" w:fill="auto"/>
            <w:vAlign w:val="center"/>
          </w:tcPr>
          <w:p w14:paraId="7866C98B">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6.2.1.1-6.2.1.3</w:t>
            </w:r>
            <w:r>
              <w:rPr>
                <w:rStyle w:val="49"/>
                <w:rFonts w:hint="default" w:ascii="Times New Roman" w:hAnsi="Times New Roman" w:cs="Times New Roman"/>
                <w:color w:val="auto"/>
                <w:lang w:bidi="ar"/>
              </w:rPr>
              <w:t>；</w:t>
            </w:r>
            <w:r>
              <w:rPr>
                <w:rFonts w:eastAsia="宋体" w:cs="Times New Roman"/>
                <w:kern w:val="0"/>
                <w:sz w:val="20"/>
                <w:szCs w:val="20"/>
                <w:lang w:bidi="ar"/>
              </w:rPr>
              <w:t>6.4.1.1</w:t>
            </w:r>
            <w:r>
              <w:rPr>
                <w:rStyle w:val="49"/>
                <w:rFonts w:hint="default" w:ascii="Times New Roman" w:hAnsi="Times New Roman" w:cs="Times New Roman"/>
                <w:color w:val="auto"/>
                <w:lang w:bidi="ar"/>
              </w:rPr>
              <w:t>；</w:t>
            </w:r>
            <w:r>
              <w:rPr>
                <w:rFonts w:eastAsia="宋体" w:cs="Times New Roman"/>
                <w:kern w:val="0"/>
                <w:sz w:val="20"/>
                <w:szCs w:val="20"/>
                <w:lang w:bidi="ar"/>
              </w:rPr>
              <w:t>6.4.1.5</w:t>
            </w:r>
          </w:p>
        </w:tc>
        <w:tc>
          <w:tcPr>
            <w:tcW w:w="390" w:type="pct"/>
            <w:shd w:val="clear" w:color="auto" w:fill="auto"/>
            <w:vAlign w:val="center"/>
          </w:tcPr>
          <w:p w14:paraId="25409FF2">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6.1</w:t>
            </w:r>
            <w:r>
              <w:rPr>
                <w:rStyle w:val="49"/>
                <w:rFonts w:hint="default" w:ascii="Times New Roman" w:hAnsi="Times New Roman" w:cs="Times New Roman"/>
                <w:color w:val="auto"/>
                <w:lang w:bidi="ar"/>
              </w:rPr>
              <w:t>；</w:t>
            </w:r>
            <w:r>
              <w:rPr>
                <w:rFonts w:eastAsia="宋体" w:cs="Times New Roman"/>
                <w:kern w:val="0"/>
                <w:sz w:val="20"/>
                <w:szCs w:val="20"/>
                <w:lang w:bidi="ar"/>
              </w:rPr>
              <w:t>6.2</w:t>
            </w:r>
          </w:p>
        </w:tc>
      </w:tr>
      <w:tr w14:paraId="04985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35" w:type="pct"/>
            <w:vMerge w:val="continue"/>
            <w:shd w:val="clear" w:color="auto" w:fill="auto"/>
            <w:vAlign w:val="center"/>
          </w:tcPr>
          <w:p w14:paraId="50D2BEFD">
            <w:pPr>
              <w:widowControl/>
              <w:spacing w:line="240" w:lineRule="auto"/>
              <w:ind w:firstLine="0" w:firstLineChars="0"/>
              <w:jc w:val="left"/>
              <w:rPr>
                <w:rFonts w:eastAsia="仿宋" w:cs="Times New Roman"/>
                <w:sz w:val="20"/>
                <w:szCs w:val="20"/>
              </w:rPr>
            </w:pPr>
          </w:p>
        </w:tc>
        <w:tc>
          <w:tcPr>
            <w:tcW w:w="514" w:type="pct"/>
            <w:vMerge w:val="continue"/>
            <w:shd w:val="clear" w:color="auto" w:fill="auto"/>
            <w:vAlign w:val="center"/>
          </w:tcPr>
          <w:p w14:paraId="4873647A">
            <w:pPr>
              <w:widowControl/>
              <w:spacing w:line="240" w:lineRule="auto"/>
              <w:ind w:firstLine="0" w:firstLineChars="0"/>
              <w:jc w:val="left"/>
              <w:rPr>
                <w:rFonts w:eastAsia="仿宋" w:cs="Times New Roman"/>
                <w:sz w:val="20"/>
                <w:szCs w:val="20"/>
              </w:rPr>
            </w:pPr>
          </w:p>
        </w:tc>
        <w:tc>
          <w:tcPr>
            <w:tcW w:w="708" w:type="pct"/>
            <w:shd w:val="clear" w:color="auto" w:fill="auto"/>
            <w:vAlign w:val="center"/>
          </w:tcPr>
          <w:p w14:paraId="259FDEE5">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 xml:space="preserve">M.5.1.2 资源循环利用与环境污染治理第三方服务 </w:t>
            </w:r>
          </w:p>
        </w:tc>
        <w:tc>
          <w:tcPr>
            <w:tcW w:w="1723" w:type="pct"/>
            <w:shd w:val="clear" w:color="auto" w:fill="auto"/>
            <w:vAlign w:val="center"/>
          </w:tcPr>
          <w:p w14:paraId="04DF658D">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包括为矿产资源综合利用、水资源高效及循环利用、工业固体废弃物综合利用、农林废弃物综合利用、废旧物资循环利用、垃圾资源化利用、废气回收利用等项目提供第三方服务；大气污染治理、水污染治理、土壤污染治理、其他污染治理和环境综合整治等环境污染第三方治理服务。</w:t>
            </w:r>
          </w:p>
        </w:tc>
        <w:tc>
          <w:tcPr>
            <w:tcW w:w="224" w:type="pct"/>
            <w:shd w:val="clear" w:color="auto" w:fill="auto"/>
            <w:vAlign w:val="center"/>
          </w:tcPr>
          <w:p w14:paraId="7AF13A5A">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II</w:t>
            </w:r>
          </w:p>
        </w:tc>
        <w:tc>
          <w:tcPr>
            <w:tcW w:w="546" w:type="pct"/>
            <w:shd w:val="clear" w:color="auto" w:fill="auto"/>
            <w:vAlign w:val="center"/>
          </w:tcPr>
          <w:p w14:paraId="161D19FE">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7.2.5；7.2.6</w:t>
            </w:r>
          </w:p>
        </w:tc>
        <w:tc>
          <w:tcPr>
            <w:tcW w:w="558" w:type="pct"/>
            <w:shd w:val="clear" w:color="auto" w:fill="auto"/>
            <w:vAlign w:val="center"/>
          </w:tcPr>
          <w:p w14:paraId="6DBC5FA4">
            <w:pPr>
              <w:widowControl/>
              <w:spacing w:line="240" w:lineRule="auto"/>
              <w:ind w:firstLine="0" w:firstLineChars="0"/>
              <w:jc w:val="center"/>
              <w:rPr>
                <w:rFonts w:eastAsia="宋体" w:cs="Times New Roman"/>
                <w:sz w:val="20"/>
                <w:szCs w:val="20"/>
              </w:rPr>
            </w:pPr>
          </w:p>
        </w:tc>
        <w:tc>
          <w:tcPr>
            <w:tcW w:w="390" w:type="pct"/>
            <w:shd w:val="clear" w:color="auto" w:fill="auto"/>
            <w:vAlign w:val="center"/>
          </w:tcPr>
          <w:p w14:paraId="5BBCEBB8">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6.3；6.4</w:t>
            </w:r>
          </w:p>
        </w:tc>
      </w:tr>
      <w:tr w14:paraId="06361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35" w:type="pct"/>
            <w:vMerge w:val="continue"/>
            <w:shd w:val="clear" w:color="auto" w:fill="auto"/>
            <w:vAlign w:val="center"/>
          </w:tcPr>
          <w:p w14:paraId="411C6839">
            <w:pPr>
              <w:widowControl/>
              <w:spacing w:line="240" w:lineRule="auto"/>
              <w:ind w:firstLine="0" w:firstLineChars="0"/>
              <w:jc w:val="left"/>
              <w:rPr>
                <w:rFonts w:eastAsia="仿宋" w:cs="Times New Roman"/>
                <w:sz w:val="20"/>
                <w:szCs w:val="20"/>
              </w:rPr>
            </w:pPr>
          </w:p>
        </w:tc>
        <w:tc>
          <w:tcPr>
            <w:tcW w:w="514" w:type="pct"/>
            <w:shd w:val="clear" w:color="auto" w:fill="auto"/>
            <w:vAlign w:val="center"/>
          </w:tcPr>
          <w:p w14:paraId="11BDEDC0">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M.5.2 低碳技术研发服务</w:t>
            </w:r>
          </w:p>
        </w:tc>
        <w:tc>
          <w:tcPr>
            <w:tcW w:w="708" w:type="pct"/>
            <w:shd w:val="clear" w:color="auto" w:fill="auto"/>
            <w:vAlign w:val="center"/>
          </w:tcPr>
          <w:p w14:paraId="700B3483">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M.5.2.1 低碳技术产品研发</w:t>
            </w:r>
          </w:p>
        </w:tc>
        <w:tc>
          <w:tcPr>
            <w:tcW w:w="1723" w:type="pct"/>
            <w:shd w:val="clear" w:color="auto" w:fill="auto"/>
            <w:vAlign w:val="center"/>
          </w:tcPr>
          <w:p w14:paraId="124C331F">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包括节能降碳、环境保护、资源循环利用、能源绿色低碳转型、生态保护修复和利用等领域先进技术产品研发。产品需符合国家、地方相关标准规范要求。</w:t>
            </w:r>
          </w:p>
        </w:tc>
        <w:tc>
          <w:tcPr>
            <w:tcW w:w="224" w:type="pct"/>
            <w:shd w:val="clear" w:color="auto" w:fill="auto"/>
            <w:vAlign w:val="center"/>
          </w:tcPr>
          <w:p w14:paraId="4C06E7B4">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I</w:t>
            </w:r>
          </w:p>
        </w:tc>
        <w:tc>
          <w:tcPr>
            <w:tcW w:w="546" w:type="pct"/>
            <w:shd w:val="clear" w:color="auto" w:fill="auto"/>
            <w:vAlign w:val="center"/>
          </w:tcPr>
          <w:p w14:paraId="3F782BE8">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7.5.1</w:t>
            </w:r>
          </w:p>
        </w:tc>
        <w:tc>
          <w:tcPr>
            <w:tcW w:w="558" w:type="pct"/>
            <w:shd w:val="clear" w:color="auto" w:fill="auto"/>
            <w:vAlign w:val="center"/>
          </w:tcPr>
          <w:p w14:paraId="0928E5D6">
            <w:pPr>
              <w:widowControl/>
              <w:spacing w:line="240" w:lineRule="auto"/>
              <w:ind w:firstLine="0" w:firstLineChars="0"/>
              <w:jc w:val="center"/>
              <w:rPr>
                <w:rFonts w:eastAsia="宋体" w:cs="Times New Roman"/>
                <w:sz w:val="20"/>
                <w:szCs w:val="20"/>
              </w:rPr>
            </w:pPr>
          </w:p>
        </w:tc>
        <w:tc>
          <w:tcPr>
            <w:tcW w:w="390" w:type="pct"/>
            <w:shd w:val="clear" w:color="auto" w:fill="auto"/>
            <w:vAlign w:val="center"/>
          </w:tcPr>
          <w:p w14:paraId="3173704E">
            <w:pPr>
              <w:widowControl/>
              <w:spacing w:line="240" w:lineRule="auto"/>
              <w:ind w:firstLine="0" w:firstLineChars="0"/>
              <w:jc w:val="center"/>
              <w:rPr>
                <w:rFonts w:eastAsia="宋体" w:cs="Times New Roman"/>
                <w:sz w:val="20"/>
                <w:szCs w:val="20"/>
              </w:rPr>
            </w:pPr>
          </w:p>
        </w:tc>
      </w:tr>
      <w:tr w14:paraId="2B8C9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35" w:type="pct"/>
            <w:vMerge w:val="restart"/>
            <w:shd w:val="clear" w:color="auto" w:fill="auto"/>
            <w:vAlign w:val="center"/>
          </w:tcPr>
          <w:p w14:paraId="78481CF7">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M.6 低碳供应链服务</w:t>
            </w:r>
          </w:p>
        </w:tc>
        <w:tc>
          <w:tcPr>
            <w:tcW w:w="514" w:type="pct"/>
            <w:vMerge w:val="restart"/>
            <w:shd w:val="clear" w:color="auto" w:fill="auto"/>
            <w:vAlign w:val="center"/>
          </w:tcPr>
          <w:p w14:paraId="63A36D83">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M.6.1 低碳供应链相关设施建设</w:t>
            </w:r>
          </w:p>
        </w:tc>
        <w:tc>
          <w:tcPr>
            <w:tcW w:w="708" w:type="pct"/>
            <w:shd w:val="clear" w:color="auto" w:fill="auto"/>
            <w:vAlign w:val="center"/>
          </w:tcPr>
          <w:p w14:paraId="3CB23A1F">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M.6.1.1 绿色物流基础设施建设</w:t>
            </w:r>
          </w:p>
        </w:tc>
        <w:tc>
          <w:tcPr>
            <w:tcW w:w="1723" w:type="pct"/>
            <w:shd w:val="clear" w:color="auto" w:fill="auto"/>
            <w:vAlign w:val="center"/>
          </w:tcPr>
          <w:p w14:paraId="4DCA9D06">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包括绿色物流枢纽、绿色物流园区建设和运营，绿色仓储设施（含冷库）建设，绿色粮食仓储物流设施建设和运营等。</w:t>
            </w:r>
          </w:p>
        </w:tc>
        <w:tc>
          <w:tcPr>
            <w:tcW w:w="224" w:type="pct"/>
            <w:shd w:val="clear" w:color="auto" w:fill="auto"/>
            <w:vAlign w:val="center"/>
          </w:tcPr>
          <w:p w14:paraId="2A14F553">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II</w:t>
            </w:r>
          </w:p>
        </w:tc>
        <w:tc>
          <w:tcPr>
            <w:tcW w:w="546" w:type="pct"/>
            <w:shd w:val="clear" w:color="auto" w:fill="auto"/>
            <w:vAlign w:val="center"/>
          </w:tcPr>
          <w:p w14:paraId="2F7F0318">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6.3.1-6.3.3</w:t>
            </w:r>
          </w:p>
        </w:tc>
        <w:tc>
          <w:tcPr>
            <w:tcW w:w="558" w:type="pct"/>
            <w:shd w:val="clear" w:color="auto" w:fill="auto"/>
            <w:vAlign w:val="center"/>
          </w:tcPr>
          <w:p w14:paraId="0F9C0687">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5.2.1.6</w:t>
            </w:r>
          </w:p>
        </w:tc>
        <w:tc>
          <w:tcPr>
            <w:tcW w:w="390" w:type="pct"/>
            <w:shd w:val="clear" w:color="auto" w:fill="auto"/>
            <w:vAlign w:val="center"/>
          </w:tcPr>
          <w:p w14:paraId="138C01FD">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5.1.2</w:t>
            </w:r>
          </w:p>
        </w:tc>
      </w:tr>
      <w:tr w14:paraId="683CC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35" w:type="pct"/>
            <w:vMerge w:val="continue"/>
            <w:shd w:val="clear" w:color="auto" w:fill="auto"/>
            <w:vAlign w:val="center"/>
          </w:tcPr>
          <w:p w14:paraId="1F73A253">
            <w:pPr>
              <w:widowControl/>
              <w:spacing w:line="240" w:lineRule="auto"/>
              <w:ind w:firstLine="0" w:firstLineChars="0"/>
              <w:jc w:val="left"/>
              <w:rPr>
                <w:rFonts w:eastAsia="仿宋" w:cs="Times New Roman"/>
                <w:sz w:val="20"/>
                <w:szCs w:val="20"/>
              </w:rPr>
            </w:pPr>
          </w:p>
        </w:tc>
        <w:tc>
          <w:tcPr>
            <w:tcW w:w="514" w:type="pct"/>
            <w:vMerge w:val="continue"/>
            <w:shd w:val="clear" w:color="auto" w:fill="auto"/>
            <w:vAlign w:val="center"/>
          </w:tcPr>
          <w:p w14:paraId="63E762AA">
            <w:pPr>
              <w:widowControl/>
              <w:spacing w:line="240" w:lineRule="auto"/>
              <w:ind w:firstLine="0" w:firstLineChars="0"/>
              <w:jc w:val="left"/>
              <w:rPr>
                <w:rFonts w:eastAsia="仿宋" w:cs="Times New Roman"/>
                <w:sz w:val="20"/>
                <w:szCs w:val="20"/>
              </w:rPr>
            </w:pPr>
          </w:p>
        </w:tc>
        <w:tc>
          <w:tcPr>
            <w:tcW w:w="708" w:type="pct"/>
            <w:shd w:val="clear" w:color="auto" w:fill="auto"/>
            <w:vAlign w:val="center"/>
          </w:tcPr>
          <w:p w14:paraId="0C44ECB8">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M.6.1.2 绿色物流技术设备应用</w:t>
            </w:r>
          </w:p>
        </w:tc>
        <w:tc>
          <w:tcPr>
            <w:tcW w:w="1723" w:type="pct"/>
            <w:shd w:val="clear" w:color="auto" w:fill="auto"/>
            <w:vAlign w:val="center"/>
          </w:tcPr>
          <w:p w14:paraId="39EFDA0F">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包括新能源及清洁能源轻型物流车辆、中重型卡车购置，新能源叉车应用，智慧货运信息平台或系统建设和运营，数字化智能化邮政快递信息系统或平台建设和运营，城市寄递系统建设和运营，农村寄递物流体系建设和运营，可循环快递及货运包装生产和规模化应用、基础设施建设，标准化物流周转箱规模化应用，托盘循环共用系统建设，符合冷链物流特点的蓄冷周转箱、保温包装、保温罩等应用。</w:t>
            </w:r>
          </w:p>
        </w:tc>
        <w:tc>
          <w:tcPr>
            <w:tcW w:w="224" w:type="pct"/>
            <w:shd w:val="clear" w:color="auto" w:fill="auto"/>
            <w:vAlign w:val="center"/>
          </w:tcPr>
          <w:p w14:paraId="15F435FA">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II</w:t>
            </w:r>
          </w:p>
        </w:tc>
        <w:tc>
          <w:tcPr>
            <w:tcW w:w="546" w:type="pct"/>
            <w:shd w:val="clear" w:color="auto" w:fill="auto"/>
            <w:vAlign w:val="center"/>
          </w:tcPr>
          <w:p w14:paraId="7F2D24E1">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6.3.4</w:t>
            </w:r>
          </w:p>
        </w:tc>
        <w:tc>
          <w:tcPr>
            <w:tcW w:w="558" w:type="pct"/>
            <w:shd w:val="clear" w:color="auto" w:fill="auto"/>
            <w:vAlign w:val="center"/>
          </w:tcPr>
          <w:p w14:paraId="4A5C8D0C">
            <w:pPr>
              <w:widowControl/>
              <w:spacing w:line="240" w:lineRule="auto"/>
              <w:ind w:firstLine="0" w:firstLineChars="0"/>
              <w:jc w:val="center"/>
              <w:rPr>
                <w:rFonts w:eastAsia="宋体" w:cs="Times New Roman"/>
                <w:sz w:val="20"/>
                <w:szCs w:val="20"/>
              </w:rPr>
            </w:pPr>
          </w:p>
        </w:tc>
        <w:tc>
          <w:tcPr>
            <w:tcW w:w="390" w:type="pct"/>
            <w:shd w:val="clear" w:color="auto" w:fill="auto"/>
            <w:vAlign w:val="center"/>
          </w:tcPr>
          <w:p w14:paraId="7E131F31">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5.2.5</w:t>
            </w:r>
          </w:p>
        </w:tc>
      </w:tr>
      <w:tr w14:paraId="77FD8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35" w:type="pct"/>
            <w:vMerge w:val="restart"/>
            <w:shd w:val="clear" w:color="auto" w:fill="auto"/>
            <w:vAlign w:val="center"/>
          </w:tcPr>
          <w:p w14:paraId="3FA74D50">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M.7 低碳能源</w:t>
            </w:r>
          </w:p>
        </w:tc>
        <w:tc>
          <w:tcPr>
            <w:tcW w:w="514" w:type="pct"/>
            <w:vMerge w:val="restart"/>
            <w:shd w:val="clear" w:color="auto" w:fill="auto"/>
            <w:vAlign w:val="center"/>
          </w:tcPr>
          <w:p w14:paraId="533D8A09">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M.7.1 清洁能源利用</w:t>
            </w:r>
          </w:p>
        </w:tc>
        <w:tc>
          <w:tcPr>
            <w:tcW w:w="708" w:type="pct"/>
            <w:shd w:val="clear" w:color="auto" w:fill="auto"/>
            <w:vAlign w:val="center"/>
          </w:tcPr>
          <w:p w14:paraId="1A545EA3">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M.7.1.1 太阳能利用设施建设和运营</w:t>
            </w:r>
          </w:p>
        </w:tc>
        <w:tc>
          <w:tcPr>
            <w:tcW w:w="1723" w:type="pct"/>
            <w:shd w:val="clear" w:color="auto" w:fill="auto"/>
            <w:vAlign w:val="center"/>
          </w:tcPr>
          <w:p w14:paraId="1B806798">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包括太阳能光伏发电、太阳能热发电和太阳能热利用等设施。</w:t>
            </w:r>
          </w:p>
        </w:tc>
        <w:tc>
          <w:tcPr>
            <w:tcW w:w="224" w:type="pct"/>
            <w:shd w:val="clear" w:color="auto" w:fill="auto"/>
            <w:vAlign w:val="center"/>
          </w:tcPr>
          <w:p w14:paraId="51073FED">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II</w:t>
            </w:r>
          </w:p>
        </w:tc>
        <w:tc>
          <w:tcPr>
            <w:tcW w:w="546" w:type="pct"/>
            <w:shd w:val="clear" w:color="auto" w:fill="auto"/>
            <w:vAlign w:val="center"/>
          </w:tcPr>
          <w:p w14:paraId="2C3D55A2">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4.2.2</w:t>
            </w:r>
          </w:p>
        </w:tc>
        <w:tc>
          <w:tcPr>
            <w:tcW w:w="558" w:type="pct"/>
            <w:shd w:val="clear" w:color="auto" w:fill="auto"/>
            <w:noWrap/>
            <w:vAlign w:val="center"/>
          </w:tcPr>
          <w:p w14:paraId="29FC62D8">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3.2.2.2</w:t>
            </w:r>
          </w:p>
        </w:tc>
        <w:tc>
          <w:tcPr>
            <w:tcW w:w="390" w:type="pct"/>
            <w:shd w:val="clear" w:color="auto" w:fill="auto"/>
            <w:vAlign w:val="center"/>
          </w:tcPr>
          <w:p w14:paraId="5D9D7646">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3.2.2</w:t>
            </w:r>
          </w:p>
        </w:tc>
      </w:tr>
      <w:tr w14:paraId="42344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35" w:type="pct"/>
            <w:vMerge w:val="continue"/>
            <w:shd w:val="clear" w:color="auto" w:fill="auto"/>
            <w:vAlign w:val="center"/>
          </w:tcPr>
          <w:p w14:paraId="751B3866">
            <w:pPr>
              <w:widowControl/>
              <w:spacing w:line="240" w:lineRule="auto"/>
              <w:ind w:firstLine="0" w:firstLineChars="0"/>
              <w:jc w:val="left"/>
              <w:rPr>
                <w:rFonts w:eastAsia="仿宋" w:cs="Times New Roman"/>
                <w:sz w:val="20"/>
                <w:szCs w:val="20"/>
              </w:rPr>
            </w:pPr>
          </w:p>
        </w:tc>
        <w:tc>
          <w:tcPr>
            <w:tcW w:w="514" w:type="pct"/>
            <w:vMerge w:val="continue"/>
            <w:shd w:val="clear" w:color="auto" w:fill="auto"/>
            <w:vAlign w:val="center"/>
          </w:tcPr>
          <w:p w14:paraId="7A79F80C">
            <w:pPr>
              <w:widowControl/>
              <w:spacing w:line="240" w:lineRule="auto"/>
              <w:ind w:firstLine="0" w:firstLineChars="0"/>
              <w:jc w:val="left"/>
              <w:rPr>
                <w:rFonts w:eastAsia="仿宋" w:cs="Times New Roman"/>
                <w:sz w:val="20"/>
                <w:szCs w:val="20"/>
              </w:rPr>
            </w:pPr>
          </w:p>
        </w:tc>
        <w:tc>
          <w:tcPr>
            <w:tcW w:w="708" w:type="pct"/>
            <w:shd w:val="clear" w:color="auto" w:fill="auto"/>
            <w:vAlign w:val="center"/>
          </w:tcPr>
          <w:p w14:paraId="32AD4E7F">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M.7.1.2 生物质能利用设施建设和运营</w:t>
            </w:r>
          </w:p>
        </w:tc>
        <w:tc>
          <w:tcPr>
            <w:tcW w:w="1723" w:type="pct"/>
            <w:shd w:val="clear" w:color="auto" w:fill="auto"/>
            <w:vAlign w:val="center"/>
          </w:tcPr>
          <w:p w14:paraId="06DA839C">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包括以农林废弃物、城市生活垃圾为原料发电、供热及生产气体、固体燃料，以非粮农作物、农林剩余物、能源植物、地沟油等废弃物为主要原料生产生物柴油、生物航空煤油、生物燃料乙醇、生物甲醇等生物质液体燃料，以及醇、电、气、肥等多联产示范等设施建设和运营。</w:t>
            </w:r>
          </w:p>
        </w:tc>
        <w:tc>
          <w:tcPr>
            <w:tcW w:w="224" w:type="pct"/>
            <w:shd w:val="clear" w:color="auto" w:fill="auto"/>
            <w:vAlign w:val="center"/>
          </w:tcPr>
          <w:p w14:paraId="5305FCD8">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II</w:t>
            </w:r>
          </w:p>
        </w:tc>
        <w:tc>
          <w:tcPr>
            <w:tcW w:w="546" w:type="pct"/>
            <w:shd w:val="clear" w:color="auto" w:fill="auto"/>
            <w:vAlign w:val="center"/>
          </w:tcPr>
          <w:p w14:paraId="7D363606">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4.2.3</w:t>
            </w:r>
          </w:p>
        </w:tc>
        <w:tc>
          <w:tcPr>
            <w:tcW w:w="558" w:type="pct"/>
            <w:shd w:val="clear" w:color="auto" w:fill="auto"/>
            <w:noWrap/>
            <w:vAlign w:val="center"/>
          </w:tcPr>
          <w:p w14:paraId="3C22A23F">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3.2.1.3</w:t>
            </w:r>
          </w:p>
        </w:tc>
        <w:tc>
          <w:tcPr>
            <w:tcW w:w="390" w:type="pct"/>
            <w:shd w:val="clear" w:color="auto" w:fill="auto"/>
            <w:vAlign w:val="center"/>
          </w:tcPr>
          <w:p w14:paraId="5B7C42D8">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3.2.3</w:t>
            </w:r>
          </w:p>
        </w:tc>
      </w:tr>
      <w:tr w14:paraId="157BC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35" w:type="pct"/>
            <w:vMerge w:val="continue"/>
            <w:shd w:val="clear" w:color="auto" w:fill="auto"/>
            <w:vAlign w:val="center"/>
          </w:tcPr>
          <w:p w14:paraId="2FF6DDF8">
            <w:pPr>
              <w:widowControl/>
              <w:spacing w:line="240" w:lineRule="auto"/>
              <w:ind w:firstLine="0" w:firstLineChars="0"/>
              <w:jc w:val="left"/>
              <w:rPr>
                <w:rFonts w:eastAsia="仿宋" w:cs="Times New Roman"/>
                <w:sz w:val="20"/>
                <w:szCs w:val="20"/>
              </w:rPr>
            </w:pPr>
          </w:p>
        </w:tc>
        <w:tc>
          <w:tcPr>
            <w:tcW w:w="514" w:type="pct"/>
            <w:vMerge w:val="continue"/>
            <w:shd w:val="clear" w:color="auto" w:fill="auto"/>
            <w:vAlign w:val="center"/>
          </w:tcPr>
          <w:p w14:paraId="44F97DD5">
            <w:pPr>
              <w:widowControl/>
              <w:spacing w:line="240" w:lineRule="auto"/>
              <w:ind w:firstLine="0" w:firstLineChars="0"/>
              <w:jc w:val="left"/>
              <w:rPr>
                <w:rFonts w:eastAsia="仿宋" w:cs="Times New Roman"/>
                <w:sz w:val="20"/>
                <w:szCs w:val="20"/>
              </w:rPr>
            </w:pPr>
          </w:p>
        </w:tc>
        <w:tc>
          <w:tcPr>
            <w:tcW w:w="708" w:type="pct"/>
            <w:shd w:val="clear" w:color="auto" w:fill="auto"/>
            <w:vAlign w:val="center"/>
          </w:tcPr>
          <w:p w14:paraId="72344B4B">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M.7.1.3 地热能利用设施建设和运营</w:t>
            </w:r>
          </w:p>
        </w:tc>
        <w:tc>
          <w:tcPr>
            <w:tcW w:w="1723" w:type="pct"/>
            <w:shd w:val="clear" w:color="auto" w:fill="auto"/>
            <w:vAlign w:val="center"/>
          </w:tcPr>
          <w:p w14:paraId="56BE3553">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包括中深层水热型地热供暖、浅层地热能利用、地热发电等设施建设和运营。</w:t>
            </w:r>
          </w:p>
        </w:tc>
        <w:tc>
          <w:tcPr>
            <w:tcW w:w="224" w:type="pct"/>
            <w:shd w:val="clear" w:color="auto" w:fill="auto"/>
            <w:vAlign w:val="center"/>
          </w:tcPr>
          <w:p w14:paraId="40028802">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II</w:t>
            </w:r>
          </w:p>
        </w:tc>
        <w:tc>
          <w:tcPr>
            <w:tcW w:w="546" w:type="pct"/>
            <w:shd w:val="clear" w:color="auto" w:fill="auto"/>
            <w:vAlign w:val="center"/>
          </w:tcPr>
          <w:p w14:paraId="5ED52B20">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4.2.6</w:t>
            </w:r>
          </w:p>
        </w:tc>
        <w:tc>
          <w:tcPr>
            <w:tcW w:w="558" w:type="pct"/>
            <w:shd w:val="clear" w:color="auto" w:fill="auto"/>
            <w:noWrap/>
            <w:vAlign w:val="center"/>
          </w:tcPr>
          <w:p w14:paraId="00D9536A">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3.2.2.6</w:t>
            </w:r>
          </w:p>
        </w:tc>
        <w:tc>
          <w:tcPr>
            <w:tcW w:w="390" w:type="pct"/>
            <w:shd w:val="clear" w:color="auto" w:fill="auto"/>
            <w:vAlign w:val="center"/>
          </w:tcPr>
          <w:p w14:paraId="48DA4065">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3.2.6</w:t>
            </w:r>
          </w:p>
        </w:tc>
      </w:tr>
      <w:tr w14:paraId="6BD4E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35" w:type="pct"/>
            <w:vMerge w:val="continue"/>
            <w:shd w:val="clear" w:color="auto" w:fill="auto"/>
            <w:vAlign w:val="center"/>
          </w:tcPr>
          <w:p w14:paraId="5E566E72">
            <w:pPr>
              <w:widowControl/>
              <w:spacing w:line="240" w:lineRule="auto"/>
              <w:ind w:firstLine="0" w:firstLineChars="0"/>
              <w:jc w:val="left"/>
              <w:rPr>
                <w:rFonts w:eastAsia="仿宋" w:cs="Times New Roman"/>
                <w:sz w:val="20"/>
                <w:szCs w:val="20"/>
              </w:rPr>
            </w:pPr>
          </w:p>
        </w:tc>
        <w:tc>
          <w:tcPr>
            <w:tcW w:w="514" w:type="pct"/>
            <w:vMerge w:val="continue"/>
            <w:shd w:val="clear" w:color="auto" w:fill="auto"/>
            <w:vAlign w:val="center"/>
          </w:tcPr>
          <w:p w14:paraId="05C9A44D">
            <w:pPr>
              <w:widowControl/>
              <w:spacing w:line="240" w:lineRule="auto"/>
              <w:ind w:firstLine="0" w:firstLineChars="0"/>
              <w:jc w:val="left"/>
              <w:rPr>
                <w:rFonts w:eastAsia="仿宋" w:cs="Times New Roman"/>
                <w:sz w:val="20"/>
                <w:szCs w:val="20"/>
              </w:rPr>
            </w:pPr>
          </w:p>
        </w:tc>
        <w:tc>
          <w:tcPr>
            <w:tcW w:w="708" w:type="pct"/>
            <w:shd w:val="clear" w:color="auto" w:fill="auto"/>
            <w:vAlign w:val="center"/>
          </w:tcPr>
          <w:p w14:paraId="12FB1320">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M.7.1.4 热泵建设和运营</w:t>
            </w:r>
          </w:p>
        </w:tc>
        <w:tc>
          <w:tcPr>
            <w:tcW w:w="1723" w:type="pct"/>
            <w:shd w:val="clear" w:color="auto" w:fill="auto"/>
            <w:vAlign w:val="center"/>
          </w:tcPr>
          <w:p w14:paraId="10F3A99E">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包括空气源热泵、地下水源热泵、地表水源热泵、污水源热泵、土壤源热泵、高温地热热泵、高温空气能热泵、余热热泵等热泵供热（冷）设施建设和运营。</w:t>
            </w:r>
          </w:p>
        </w:tc>
        <w:tc>
          <w:tcPr>
            <w:tcW w:w="224" w:type="pct"/>
            <w:shd w:val="clear" w:color="auto" w:fill="auto"/>
            <w:vAlign w:val="center"/>
          </w:tcPr>
          <w:p w14:paraId="31456071">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II</w:t>
            </w:r>
          </w:p>
        </w:tc>
        <w:tc>
          <w:tcPr>
            <w:tcW w:w="546" w:type="pct"/>
            <w:shd w:val="clear" w:color="auto" w:fill="auto"/>
            <w:vAlign w:val="center"/>
          </w:tcPr>
          <w:p w14:paraId="6EC478F5">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4.2.9</w:t>
            </w:r>
          </w:p>
        </w:tc>
        <w:tc>
          <w:tcPr>
            <w:tcW w:w="558" w:type="pct"/>
            <w:shd w:val="clear" w:color="auto" w:fill="auto"/>
            <w:noWrap/>
            <w:vAlign w:val="center"/>
          </w:tcPr>
          <w:p w14:paraId="3D6FCDA6">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3.2.2.9</w:t>
            </w:r>
          </w:p>
        </w:tc>
        <w:tc>
          <w:tcPr>
            <w:tcW w:w="390" w:type="pct"/>
            <w:shd w:val="clear" w:color="auto" w:fill="auto"/>
            <w:vAlign w:val="center"/>
          </w:tcPr>
          <w:p w14:paraId="752A8F94">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3.2.6</w:t>
            </w:r>
          </w:p>
        </w:tc>
      </w:tr>
      <w:tr w14:paraId="33BEA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35" w:type="pct"/>
            <w:vMerge w:val="continue"/>
            <w:shd w:val="clear" w:color="auto" w:fill="auto"/>
            <w:vAlign w:val="center"/>
          </w:tcPr>
          <w:p w14:paraId="720A8499">
            <w:pPr>
              <w:widowControl/>
              <w:spacing w:line="240" w:lineRule="auto"/>
              <w:ind w:firstLine="0" w:firstLineChars="0"/>
              <w:jc w:val="left"/>
              <w:rPr>
                <w:rFonts w:eastAsia="仿宋" w:cs="Times New Roman"/>
                <w:sz w:val="20"/>
                <w:szCs w:val="20"/>
              </w:rPr>
            </w:pPr>
          </w:p>
        </w:tc>
        <w:tc>
          <w:tcPr>
            <w:tcW w:w="514" w:type="pct"/>
            <w:vMerge w:val="restart"/>
            <w:shd w:val="clear" w:color="auto" w:fill="auto"/>
            <w:vAlign w:val="center"/>
          </w:tcPr>
          <w:p w14:paraId="604A39D1">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M.7.2 能源系统高效运行</w:t>
            </w:r>
          </w:p>
        </w:tc>
        <w:tc>
          <w:tcPr>
            <w:tcW w:w="708" w:type="pct"/>
            <w:shd w:val="clear" w:color="auto" w:fill="auto"/>
            <w:vAlign w:val="center"/>
          </w:tcPr>
          <w:p w14:paraId="724BC752">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M.7.2.1 电力源网荷储一体化及多能互补工程建设和运营</w:t>
            </w:r>
          </w:p>
        </w:tc>
        <w:tc>
          <w:tcPr>
            <w:tcW w:w="1723" w:type="pct"/>
            <w:shd w:val="clear" w:color="auto" w:fill="auto"/>
            <w:vAlign w:val="center"/>
          </w:tcPr>
          <w:p w14:paraId="02E97983">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包括以构建源网荷储高度融合的新型电力系统为目的</w:t>
            </w:r>
            <w:r>
              <w:rPr>
                <w:rFonts w:hint="eastAsia" w:eastAsia="仿宋" w:cs="Times New Roman"/>
                <w:kern w:val="0"/>
                <w:sz w:val="20"/>
                <w:szCs w:val="20"/>
                <w:lang w:bidi="ar"/>
              </w:rPr>
              <w:t>的</w:t>
            </w:r>
            <w:r>
              <w:rPr>
                <w:rFonts w:eastAsia="仿宋" w:cs="Times New Roman"/>
                <w:kern w:val="0"/>
                <w:sz w:val="20"/>
                <w:szCs w:val="20"/>
                <w:lang w:bidi="ar"/>
              </w:rPr>
              <w:t>源网荷储一体化工程建设和运营；为增加可再生能源消纳能力、利用多种资源组合优势、提高电力系统运行稳定性的风光储一体化、风光水（储）一体化、风光火（储）一体化等多能互补系统建设和运营；在具备条件的工业企业、园区建设运行分布式光伏、分散式风电、高效热泵、新型储能、氢能、余热余压、智慧能源管控等一体化系统，实现可再生能源大规模高比例消纳，促进多能高效互补利用的工业绿色微电网建设和运营；采用天然气热电冷三联供、分布式可再生能源和能源智能微网等技术建设运营的终端一体化供能系统设施建设和运营，且设施综合能效应不低于70%。</w:t>
            </w:r>
          </w:p>
        </w:tc>
        <w:tc>
          <w:tcPr>
            <w:tcW w:w="224" w:type="pct"/>
            <w:shd w:val="clear" w:color="auto" w:fill="auto"/>
            <w:vAlign w:val="center"/>
          </w:tcPr>
          <w:p w14:paraId="2D9FD2B7">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Ⅰ / Ⅱ</w:t>
            </w:r>
          </w:p>
        </w:tc>
        <w:tc>
          <w:tcPr>
            <w:tcW w:w="546" w:type="pct"/>
            <w:shd w:val="clear" w:color="auto" w:fill="auto"/>
            <w:vAlign w:val="center"/>
          </w:tcPr>
          <w:p w14:paraId="2F77973D">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4.3.1</w:t>
            </w:r>
          </w:p>
        </w:tc>
        <w:tc>
          <w:tcPr>
            <w:tcW w:w="558" w:type="pct"/>
            <w:shd w:val="clear" w:color="auto" w:fill="auto"/>
            <w:vAlign w:val="center"/>
          </w:tcPr>
          <w:p w14:paraId="35F8B4D0">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3.2.3.1</w:t>
            </w:r>
          </w:p>
        </w:tc>
        <w:tc>
          <w:tcPr>
            <w:tcW w:w="390" w:type="pct"/>
            <w:shd w:val="clear" w:color="auto" w:fill="auto"/>
            <w:vAlign w:val="center"/>
          </w:tcPr>
          <w:p w14:paraId="1D5EB9BE">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3.4</w:t>
            </w:r>
          </w:p>
        </w:tc>
      </w:tr>
      <w:tr w14:paraId="2F8C4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35" w:type="pct"/>
            <w:vMerge w:val="continue"/>
            <w:shd w:val="clear" w:color="auto" w:fill="auto"/>
            <w:vAlign w:val="center"/>
          </w:tcPr>
          <w:p w14:paraId="2CFA2D60">
            <w:pPr>
              <w:widowControl/>
              <w:spacing w:line="240" w:lineRule="auto"/>
              <w:ind w:firstLine="0" w:firstLineChars="0"/>
              <w:jc w:val="left"/>
              <w:rPr>
                <w:rFonts w:eastAsia="仿宋" w:cs="Times New Roman"/>
                <w:sz w:val="20"/>
                <w:szCs w:val="20"/>
              </w:rPr>
            </w:pPr>
          </w:p>
        </w:tc>
        <w:tc>
          <w:tcPr>
            <w:tcW w:w="514" w:type="pct"/>
            <w:vMerge w:val="continue"/>
            <w:shd w:val="clear" w:color="auto" w:fill="auto"/>
            <w:vAlign w:val="center"/>
          </w:tcPr>
          <w:p w14:paraId="2F1EE6ED">
            <w:pPr>
              <w:widowControl/>
              <w:spacing w:line="240" w:lineRule="auto"/>
              <w:ind w:firstLine="0" w:firstLineChars="0"/>
              <w:jc w:val="left"/>
              <w:rPr>
                <w:rFonts w:eastAsia="仿宋" w:cs="Times New Roman"/>
                <w:sz w:val="20"/>
                <w:szCs w:val="20"/>
              </w:rPr>
            </w:pPr>
          </w:p>
        </w:tc>
        <w:tc>
          <w:tcPr>
            <w:tcW w:w="708" w:type="pct"/>
            <w:shd w:val="clear" w:color="auto" w:fill="auto"/>
            <w:vAlign w:val="center"/>
          </w:tcPr>
          <w:p w14:paraId="6C9F320E">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M.7.2.2 新型储能设施建设和运营</w:t>
            </w:r>
          </w:p>
        </w:tc>
        <w:tc>
          <w:tcPr>
            <w:tcW w:w="1723" w:type="pct"/>
            <w:shd w:val="clear" w:color="auto" w:fill="auto"/>
            <w:vAlign w:val="center"/>
          </w:tcPr>
          <w:p w14:paraId="5A4B443A">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包括钠离子电池、锂离子电池、液流电池、铅炭电池、超级电容器等电化学储能，压缩空气储能，重力储能，飞轮储能，火电、核电抽汽蓄能等各类新型储能技术及复合型储能技术的实证、示范和产业化项目建设和运营。</w:t>
            </w:r>
          </w:p>
        </w:tc>
        <w:tc>
          <w:tcPr>
            <w:tcW w:w="224" w:type="pct"/>
            <w:shd w:val="clear" w:color="auto" w:fill="auto"/>
            <w:vAlign w:val="center"/>
          </w:tcPr>
          <w:p w14:paraId="25F12ADE">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Ⅰ</w:t>
            </w:r>
          </w:p>
        </w:tc>
        <w:tc>
          <w:tcPr>
            <w:tcW w:w="546" w:type="pct"/>
            <w:shd w:val="clear" w:color="auto" w:fill="auto"/>
            <w:vAlign w:val="center"/>
          </w:tcPr>
          <w:p w14:paraId="0F1FF33E">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4.3.2</w:t>
            </w:r>
          </w:p>
        </w:tc>
        <w:tc>
          <w:tcPr>
            <w:tcW w:w="558" w:type="pct"/>
            <w:shd w:val="clear" w:color="auto" w:fill="auto"/>
            <w:vAlign w:val="center"/>
          </w:tcPr>
          <w:p w14:paraId="1C4CF891">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3.2.3.2</w:t>
            </w:r>
          </w:p>
        </w:tc>
        <w:tc>
          <w:tcPr>
            <w:tcW w:w="390" w:type="pct"/>
            <w:shd w:val="clear" w:color="auto" w:fill="auto"/>
            <w:vAlign w:val="center"/>
          </w:tcPr>
          <w:p w14:paraId="2A9CF938">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3.4</w:t>
            </w:r>
          </w:p>
        </w:tc>
      </w:tr>
      <w:tr w14:paraId="6E98A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35" w:type="pct"/>
            <w:vMerge w:val="continue"/>
            <w:shd w:val="clear" w:color="auto" w:fill="auto"/>
            <w:vAlign w:val="center"/>
          </w:tcPr>
          <w:p w14:paraId="14F09EFA">
            <w:pPr>
              <w:widowControl/>
              <w:spacing w:line="240" w:lineRule="auto"/>
              <w:ind w:firstLine="0" w:firstLineChars="0"/>
              <w:jc w:val="left"/>
              <w:rPr>
                <w:rFonts w:eastAsia="仿宋" w:cs="Times New Roman"/>
                <w:sz w:val="20"/>
                <w:szCs w:val="20"/>
              </w:rPr>
            </w:pPr>
          </w:p>
        </w:tc>
        <w:tc>
          <w:tcPr>
            <w:tcW w:w="514" w:type="pct"/>
            <w:vMerge w:val="continue"/>
            <w:shd w:val="clear" w:color="auto" w:fill="auto"/>
            <w:vAlign w:val="center"/>
          </w:tcPr>
          <w:p w14:paraId="4705CDE1">
            <w:pPr>
              <w:widowControl/>
              <w:spacing w:line="240" w:lineRule="auto"/>
              <w:ind w:firstLine="0" w:firstLineChars="0"/>
              <w:jc w:val="left"/>
              <w:rPr>
                <w:rFonts w:eastAsia="仿宋" w:cs="Times New Roman"/>
                <w:sz w:val="20"/>
                <w:szCs w:val="20"/>
              </w:rPr>
            </w:pPr>
          </w:p>
        </w:tc>
        <w:tc>
          <w:tcPr>
            <w:tcW w:w="708" w:type="pct"/>
            <w:shd w:val="clear" w:color="auto" w:fill="auto"/>
            <w:vAlign w:val="center"/>
          </w:tcPr>
          <w:p w14:paraId="385CA925">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M.7.2.3 抽水蓄能电站建设和运营</w:t>
            </w:r>
          </w:p>
        </w:tc>
        <w:tc>
          <w:tcPr>
            <w:tcW w:w="1723" w:type="pct"/>
            <w:shd w:val="clear" w:color="auto" w:fill="auto"/>
            <w:vAlign w:val="center"/>
          </w:tcPr>
          <w:p w14:paraId="5EBE61C3">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包括为提高电网对风电、光伏发电等间歇性可再生能源电力消纳能力，提升电网运行灵活性、稳定性和可靠性，在电网中主要承担电力“削峰填谷”功能的抽水蓄能电站建设和运营。</w:t>
            </w:r>
          </w:p>
        </w:tc>
        <w:tc>
          <w:tcPr>
            <w:tcW w:w="224" w:type="pct"/>
            <w:shd w:val="clear" w:color="auto" w:fill="auto"/>
            <w:vAlign w:val="center"/>
          </w:tcPr>
          <w:p w14:paraId="03245B8D">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Ⅰ</w:t>
            </w:r>
          </w:p>
        </w:tc>
        <w:tc>
          <w:tcPr>
            <w:tcW w:w="546" w:type="pct"/>
            <w:shd w:val="clear" w:color="auto" w:fill="auto"/>
            <w:vAlign w:val="center"/>
          </w:tcPr>
          <w:p w14:paraId="2C2B78AA">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4.3.3</w:t>
            </w:r>
          </w:p>
        </w:tc>
        <w:tc>
          <w:tcPr>
            <w:tcW w:w="558" w:type="pct"/>
            <w:shd w:val="clear" w:color="auto" w:fill="auto"/>
            <w:vAlign w:val="center"/>
          </w:tcPr>
          <w:p w14:paraId="05C114BF">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3.2.3.5</w:t>
            </w:r>
          </w:p>
        </w:tc>
        <w:tc>
          <w:tcPr>
            <w:tcW w:w="390" w:type="pct"/>
            <w:shd w:val="clear" w:color="auto" w:fill="auto"/>
            <w:vAlign w:val="center"/>
          </w:tcPr>
          <w:p w14:paraId="13B6F052">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3.2.4</w:t>
            </w:r>
          </w:p>
        </w:tc>
      </w:tr>
      <w:tr w14:paraId="7AD31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35" w:type="pct"/>
            <w:vMerge w:val="continue"/>
            <w:shd w:val="clear" w:color="auto" w:fill="auto"/>
            <w:vAlign w:val="center"/>
          </w:tcPr>
          <w:p w14:paraId="6DC2010B">
            <w:pPr>
              <w:widowControl/>
              <w:spacing w:line="240" w:lineRule="auto"/>
              <w:ind w:firstLine="0" w:firstLineChars="0"/>
              <w:jc w:val="left"/>
              <w:rPr>
                <w:rFonts w:eastAsia="仿宋" w:cs="Times New Roman"/>
                <w:sz w:val="20"/>
                <w:szCs w:val="20"/>
              </w:rPr>
            </w:pPr>
          </w:p>
        </w:tc>
        <w:tc>
          <w:tcPr>
            <w:tcW w:w="514" w:type="pct"/>
            <w:vMerge w:val="continue"/>
            <w:shd w:val="clear" w:color="auto" w:fill="auto"/>
            <w:vAlign w:val="center"/>
          </w:tcPr>
          <w:p w14:paraId="43D805F6">
            <w:pPr>
              <w:widowControl/>
              <w:spacing w:line="240" w:lineRule="auto"/>
              <w:ind w:firstLine="0" w:firstLineChars="0"/>
              <w:jc w:val="left"/>
              <w:rPr>
                <w:rFonts w:eastAsia="仿宋" w:cs="Times New Roman"/>
                <w:sz w:val="20"/>
                <w:szCs w:val="20"/>
              </w:rPr>
            </w:pPr>
          </w:p>
        </w:tc>
        <w:tc>
          <w:tcPr>
            <w:tcW w:w="708" w:type="pct"/>
            <w:shd w:val="clear" w:color="auto" w:fill="auto"/>
            <w:vAlign w:val="center"/>
          </w:tcPr>
          <w:p w14:paraId="1AFBEF60">
            <w:pPr>
              <w:widowControl/>
              <w:spacing w:line="240" w:lineRule="auto"/>
              <w:ind w:firstLine="0" w:firstLineChars="0"/>
              <w:jc w:val="left"/>
              <w:textAlignment w:val="center"/>
              <w:rPr>
                <w:rFonts w:eastAsia="仿宋" w:cs="Times New Roman"/>
                <w:kern w:val="0"/>
                <w:sz w:val="20"/>
                <w:szCs w:val="20"/>
                <w:lang w:bidi="ar"/>
              </w:rPr>
            </w:pPr>
            <w:r>
              <w:rPr>
                <w:rFonts w:eastAsia="仿宋" w:cs="Times New Roman"/>
                <w:kern w:val="0"/>
                <w:sz w:val="20"/>
                <w:szCs w:val="20"/>
                <w:lang w:bidi="ar"/>
              </w:rPr>
              <w:t>M.7.2.4 小型水电站更新改造</w:t>
            </w:r>
          </w:p>
        </w:tc>
        <w:tc>
          <w:tcPr>
            <w:tcW w:w="1723" w:type="pct"/>
            <w:shd w:val="clear" w:color="auto" w:fill="auto"/>
            <w:vAlign w:val="center"/>
          </w:tcPr>
          <w:p w14:paraId="08A77779">
            <w:pPr>
              <w:widowControl/>
              <w:spacing w:line="240" w:lineRule="auto"/>
              <w:ind w:firstLine="0" w:firstLineChars="0"/>
              <w:jc w:val="left"/>
              <w:textAlignment w:val="center"/>
              <w:rPr>
                <w:rFonts w:eastAsia="仿宋" w:cs="Times New Roman"/>
                <w:kern w:val="0"/>
                <w:sz w:val="20"/>
                <w:szCs w:val="20"/>
                <w:lang w:bidi="ar"/>
              </w:rPr>
            </w:pPr>
            <w:r>
              <w:rPr>
                <w:rFonts w:eastAsia="仿宋" w:cs="Times New Roman"/>
                <w:kern w:val="0"/>
                <w:sz w:val="20"/>
                <w:szCs w:val="20"/>
                <w:lang w:bidi="ar"/>
              </w:rPr>
              <w:t>包括对小型水电站进行更新改造，消除安全隐患，提高能效水平，实现无人值班、远程监控，具备条件的通过集控中心实现集约化管理；提升优化小型水电站生态流量泄放设施、过鱼设施、监测设施、监管平台，保障减水河段生态流量和促进河流连通性恢复。需符合国家关于小水电分类整改和生态流量监管的相关政策，《智能化小型水电站技术指南（试行）》和《小水电集控中心技术指南（试行）》（办水电函〔2023〕596 号）等法规政策，以及《小型水电站技术改造规范》（GB/T 50700）、《小型水电站下游河道减脱水防治技术导则》（SL/T 796）等国家、行业相关标准规范要求。</w:t>
            </w:r>
          </w:p>
        </w:tc>
        <w:tc>
          <w:tcPr>
            <w:tcW w:w="224" w:type="pct"/>
            <w:shd w:val="clear" w:color="auto" w:fill="auto"/>
            <w:vAlign w:val="center"/>
          </w:tcPr>
          <w:p w14:paraId="5DD9FB7C">
            <w:pPr>
              <w:widowControl/>
              <w:spacing w:line="240" w:lineRule="auto"/>
              <w:ind w:firstLine="0" w:firstLineChars="0"/>
              <w:jc w:val="center"/>
              <w:textAlignment w:val="center"/>
              <w:rPr>
                <w:rFonts w:eastAsia="宋体" w:cs="Times New Roman"/>
                <w:kern w:val="0"/>
                <w:sz w:val="20"/>
                <w:szCs w:val="20"/>
                <w:lang w:bidi="ar"/>
              </w:rPr>
            </w:pPr>
            <w:r>
              <w:rPr>
                <w:rFonts w:eastAsia="宋体" w:cs="Times New Roman"/>
                <w:kern w:val="0"/>
                <w:sz w:val="20"/>
                <w:szCs w:val="20"/>
                <w:lang w:bidi="ar"/>
              </w:rPr>
              <w:t>Ⅰ</w:t>
            </w:r>
          </w:p>
        </w:tc>
        <w:tc>
          <w:tcPr>
            <w:tcW w:w="546" w:type="pct"/>
            <w:shd w:val="clear" w:color="auto" w:fill="auto"/>
            <w:vAlign w:val="center"/>
          </w:tcPr>
          <w:p w14:paraId="3EC751FB">
            <w:pPr>
              <w:widowControl/>
              <w:spacing w:line="240" w:lineRule="auto"/>
              <w:ind w:firstLine="0" w:firstLineChars="0"/>
              <w:jc w:val="center"/>
              <w:textAlignment w:val="center"/>
              <w:rPr>
                <w:rFonts w:eastAsia="宋体" w:cs="Times New Roman"/>
                <w:kern w:val="0"/>
                <w:sz w:val="20"/>
                <w:szCs w:val="20"/>
                <w:lang w:bidi="ar"/>
              </w:rPr>
            </w:pPr>
            <w:r>
              <w:rPr>
                <w:rFonts w:eastAsia="宋体" w:cs="Times New Roman"/>
                <w:kern w:val="0"/>
                <w:sz w:val="20"/>
                <w:szCs w:val="20"/>
                <w:lang w:bidi="ar"/>
              </w:rPr>
              <w:t>4.3.4</w:t>
            </w:r>
          </w:p>
        </w:tc>
        <w:tc>
          <w:tcPr>
            <w:tcW w:w="558" w:type="pct"/>
            <w:shd w:val="clear" w:color="auto" w:fill="auto"/>
            <w:vAlign w:val="center"/>
          </w:tcPr>
          <w:p w14:paraId="2139DAF2">
            <w:pPr>
              <w:widowControl/>
              <w:spacing w:line="240" w:lineRule="auto"/>
              <w:ind w:firstLine="0" w:firstLineChars="0"/>
              <w:jc w:val="center"/>
              <w:textAlignment w:val="center"/>
              <w:rPr>
                <w:rFonts w:eastAsia="宋体" w:cs="Times New Roman"/>
                <w:kern w:val="0"/>
                <w:sz w:val="20"/>
                <w:szCs w:val="20"/>
                <w:lang w:bidi="ar"/>
              </w:rPr>
            </w:pPr>
          </w:p>
        </w:tc>
        <w:tc>
          <w:tcPr>
            <w:tcW w:w="390" w:type="pct"/>
            <w:shd w:val="clear" w:color="auto" w:fill="auto"/>
            <w:vAlign w:val="center"/>
          </w:tcPr>
          <w:p w14:paraId="184EDF66">
            <w:pPr>
              <w:widowControl/>
              <w:spacing w:line="240" w:lineRule="auto"/>
              <w:ind w:firstLine="0" w:firstLineChars="0"/>
              <w:jc w:val="center"/>
              <w:textAlignment w:val="center"/>
              <w:rPr>
                <w:rFonts w:eastAsia="宋体" w:cs="Times New Roman"/>
                <w:kern w:val="0"/>
                <w:sz w:val="20"/>
                <w:szCs w:val="20"/>
                <w:lang w:bidi="ar"/>
              </w:rPr>
            </w:pPr>
          </w:p>
        </w:tc>
      </w:tr>
      <w:tr w14:paraId="49826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35" w:type="pct"/>
            <w:vMerge w:val="continue"/>
            <w:shd w:val="clear" w:color="auto" w:fill="auto"/>
            <w:vAlign w:val="center"/>
          </w:tcPr>
          <w:p w14:paraId="5C8BCDF1">
            <w:pPr>
              <w:widowControl/>
              <w:spacing w:line="240" w:lineRule="auto"/>
              <w:ind w:firstLine="0" w:firstLineChars="0"/>
              <w:jc w:val="left"/>
              <w:rPr>
                <w:rFonts w:eastAsia="仿宋" w:cs="Times New Roman"/>
                <w:sz w:val="20"/>
                <w:szCs w:val="20"/>
              </w:rPr>
            </w:pPr>
          </w:p>
        </w:tc>
        <w:tc>
          <w:tcPr>
            <w:tcW w:w="514" w:type="pct"/>
            <w:vMerge w:val="continue"/>
            <w:shd w:val="clear" w:color="auto" w:fill="auto"/>
            <w:vAlign w:val="center"/>
          </w:tcPr>
          <w:p w14:paraId="7499616C">
            <w:pPr>
              <w:widowControl/>
              <w:spacing w:line="240" w:lineRule="auto"/>
              <w:ind w:firstLine="0" w:firstLineChars="0"/>
              <w:jc w:val="left"/>
              <w:rPr>
                <w:rFonts w:eastAsia="仿宋" w:cs="Times New Roman"/>
                <w:sz w:val="20"/>
                <w:szCs w:val="20"/>
              </w:rPr>
            </w:pPr>
          </w:p>
        </w:tc>
        <w:tc>
          <w:tcPr>
            <w:tcW w:w="708" w:type="pct"/>
            <w:shd w:val="clear" w:color="auto" w:fill="auto"/>
            <w:vAlign w:val="center"/>
          </w:tcPr>
          <w:p w14:paraId="691EA39B">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M.7.2.5 天然气输送储运调峰设施建设和运营</w:t>
            </w:r>
          </w:p>
        </w:tc>
        <w:tc>
          <w:tcPr>
            <w:tcW w:w="1723" w:type="pct"/>
            <w:shd w:val="clear" w:color="auto" w:fill="auto"/>
            <w:vAlign w:val="center"/>
          </w:tcPr>
          <w:p w14:paraId="72EC9BC2">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包括天然气长输管道、储气库、支线管道、区域管网，以及液化天然气（LNG）接收站等天然气输送、储运、调峰设施建设和运营，甲烷泄漏检测与修复装置配备，以落实气源合同为前提在天然气资源富集区推动的天然气发电与新能源联营设施建设和运营。</w:t>
            </w:r>
          </w:p>
        </w:tc>
        <w:tc>
          <w:tcPr>
            <w:tcW w:w="224" w:type="pct"/>
            <w:shd w:val="clear" w:color="auto" w:fill="auto"/>
            <w:vAlign w:val="center"/>
          </w:tcPr>
          <w:p w14:paraId="2A271034">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Ⅰ</w:t>
            </w:r>
          </w:p>
        </w:tc>
        <w:tc>
          <w:tcPr>
            <w:tcW w:w="546" w:type="pct"/>
            <w:shd w:val="clear" w:color="auto" w:fill="auto"/>
            <w:vAlign w:val="center"/>
          </w:tcPr>
          <w:p w14:paraId="4F745123">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4.3.7</w:t>
            </w:r>
          </w:p>
        </w:tc>
        <w:tc>
          <w:tcPr>
            <w:tcW w:w="558" w:type="pct"/>
            <w:shd w:val="clear" w:color="auto" w:fill="auto"/>
            <w:vAlign w:val="center"/>
          </w:tcPr>
          <w:p w14:paraId="3378DB21">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3.2.3.3</w:t>
            </w:r>
          </w:p>
        </w:tc>
        <w:tc>
          <w:tcPr>
            <w:tcW w:w="390" w:type="pct"/>
            <w:shd w:val="clear" w:color="auto" w:fill="auto"/>
            <w:vAlign w:val="center"/>
          </w:tcPr>
          <w:p w14:paraId="5E7FE605">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3.4</w:t>
            </w:r>
          </w:p>
        </w:tc>
      </w:tr>
      <w:tr w14:paraId="6741E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35" w:type="pct"/>
            <w:vMerge w:val="continue"/>
            <w:shd w:val="clear" w:color="auto" w:fill="auto"/>
            <w:vAlign w:val="center"/>
          </w:tcPr>
          <w:p w14:paraId="25383379">
            <w:pPr>
              <w:widowControl/>
              <w:spacing w:line="240" w:lineRule="auto"/>
              <w:ind w:firstLine="0" w:firstLineChars="0"/>
              <w:jc w:val="left"/>
              <w:rPr>
                <w:rFonts w:eastAsia="仿宋" w:cs="Times New Roman"/>
                <w:sz w:val="20"/>
                <w:szCs w:val="20"/>
              </w:rPr>
            </w:pPr>
          </w:p>
        </w:tc>
        <w:tc>
          <w:tcPr>
            <w:tcW w:w="514" w:type="pct"/>
            <w:vMerge w:val="continue"/>
            <w:shd w:val="clear" w:color="auto" w:fill="auto"/>
            <w:vAlign w:val="center"/>
          </w:tcPr>
          <w:p w14:paraId="73084407">
            <w:pPr>
              <w:widowControl/>
              <w:spacing w:line="240" w:lineRule="auto"/>
              <w:ind w:firstLine="0" w:firstLineChars="0"/>
              <w:jc w:val="left"/>
              <w:rPr>
                <w:rFonts w:eastAsia="仿宋" w:cs="Times New Roman"/>
                <w:sz w:val="20"/>
                <w:szCs w:val="20"/>
              </w:rPr>
            </w:pPr>
          </w:p>
        </w:tc>
        <w:tc>
          <w:tcPr>
            <w:tcW w:w="708" w:type="pct"/>
            <w:shd w:val="clear" w:color="auto" w:fill="auto"/>
            <w:vAlign w:val="center"/>
          </w:tcPr>
          <w:p w14:paraId="6CC1FB2A">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M.7.2.6 分布式能源工程建设和运营</w:t>
            </w:r>
          </w:p>
        </w:tc>
        <w:tc>
          <w:tcPr>
            <w:tcW w:w="1723" w:type="pct"/>
            <w:shd w:val="clear" w:color="auto" w:fill="auto"/>
            <w:vAlign w:val="center"/>
          </w:tcPr>
          <w:p w14:paraId="14B9D7F1">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包括天然气热电冷三联供、分布式可再生能源发电、地热能供暖制冷等分布式能源工程建设和运营。</w:t>
            </w:r>
          </w:p>
        </w:tc>
        <w:tc>
          <w:tcPr>
            <w:tcW w:w="224" w:type="pct"/>
            <w:shd w:val="clear" w:color="auto" w:fill="auto"/>
            <w:vAlign w:val="center"/>
          </w:tcPr>
          <w:p w14:paraId="73A8CED3">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II</w:t>
            </w:r>
          </w:p>
        </w:tc>
        <w:tc>
          <w:tcPr>
            <w:tcW w:w="546" w:type="pct"/>
            <w:shd w:val="clear" w:color="auto" w:fill="auto"/>
            <w:vAlign w:val="center"/>
          </w:tcPr>
          <w:p w14:paraId="76C84CFB">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4.3.8</w:t>
            </w:r>
          </w:p>
        </w:tc>
        <w:tc>
          <w:tcPr>
            <w:tcW w:w="558" w:type="pct"/>
            <w:shd w:val="clear" w:color="auto" w:fill="auto"/>
            <w:vAlign w:val="center"/>
          </w:tcPr>
          <w:p w14:paraId="51F2E66D">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3.2.3.4</w:t>
            </w:r>
          </w:p>
        </w:tc>
        <w:tc>
          <w:tcPr>
            <w:tcW w:w="390" w:type="pct"/>
            <w:shd w:val="clear" w:color="auto" w:fill="auto"/>
            <w:vAlign w:val="center"/>
          </w:tcPr>
          <w:p w14:paraId="733A1AF2">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3.4</w:t>
            </w:r>
          </w:p>
        </w:tc>
      </w:tr>
      <w:tr w14:paraId="4DAA3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35" w:type="pct"/>
            <w:vMerge w:val="restart"/>
            <w:shd w:val="clear" w:color="auto" w:fill="auto"/>
            <w:vAlign w:val="center"/>
          </w:tcPr>
          <w:p w14:paraId="6CDCF5CD">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M.8 碳捕集、利用与封存试点示范</w:t>
            </w:r>
          </w:p>
        </w:tc>
        <w:tc>
          <w:tcPr>
            <w:tcW w:w="514" w:type="pct"/>
            <w:shd w:val="clear" w:color="auto" w:fill="auto"/>
            <w:vAlign w:val="center"/>
          </w:tcPr>
          <w:p w14:paraId="0DFD31EF">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M.8.1 碳捕集、利用与封存设施建设和运营</w:t>
            </w:r>
          </w:p>
        </w:tc>
        <w:tc>
          <w:tcPr>
            <w:tcW w:w="708" w:type="pct"/>
            <w:shd w:val="clear" w:color="auto" w:fill="auto"/>
            <w:vAlign w:val="center"/>
          </w:tcPr>
          <w:p w14:paraId="3E74D43B">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M.8.1.1 碳捕集、利用与封存设施建设和运营</w:t>
            </w:r>
          </w:p>
        </w:tc>
        <w:tc>
          <w:tcPr>
            <w:tcW w:w="1723" w:type="pct"/>
            <w:shd w:val="clear" w:color="auto" w:fill="auto"/>
            <w:vAlign w:val="center"/>
          </w:tcPr>
          <w:p w14:paraId="3E41E0EF">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包括将二氧化碳从工业生产、能源利用过程中产生的废气或大气中分离出来，加以资源化利用、注入地层封存，如火电厂二氧化碳捕集、二氧化碳驱油、二氧化碳地质封存、生物质能碳捕集与封存、直接空气捕集等技术应用。</w:t>
            </w:r>
          </w:p>
        </w:tc>
        <w:tc>
          <w:tcPr>
            <w:tcW w:w="224" w:type="pct"/>
            <w:shd w:val="clear" w:color="auto" w:fill="auto"/>
            <w:vAlign w:val="center"/>
          </w:tcPr>
          <w:p w14:paraId="0F9886A6">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II</w:t>
            </w:r>
          </w:p>
        </w:tc>
        <w:tc>
          <w:tcPr>
            <w:tcW w:w="546" w:type="pct"/>
            <w:shd w:val="clear" w:color="auto" w:fill="auto"/>
            <w:vAlign w:val="center"/>
          </w:tcPr>
          <w:p w14:paraId="38B82FEE">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1.5.1</w:t>
            </w:r>
          </w:p>
        </w:tc>
        <w:tc>
          <w:tcPr>
            <w:tcW w:w="558" w:type="pct"/>
            <w:shd w:val="clear" w:color="auto" w:fill="auto"/>
            <w:noWrap/>
            <w:vAlign w:val="center"/>
          </w:tcPr>
          <w:p w14:paraId="741298DA">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3.2.3.6</w:t>
            </w:r>
          </w:p>
        </w:tc>
        <w:tc>
          <w:tcPr>
            <w:tcW w:w="390" w:type="pct"/>
            <w:shd w:val="clear" w:color="auto" w:fill="auto"/>
            <w:noWrap/>
            <w:vAlign w:val="center"/>
          </w:tcPr>
          <w:p w14:paraId="34FE82A7">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1.5</w:t>
            </w:r>
          </w:p>
        </w:tc>
      </w:tr>
      <w:tr w14:paraId="3FB11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35" w:type="pct"/>
            <w:vMerge w:val="continue"/>
            <w:shd w:val="clear" w:color="auto" w:fill="auto"/>
            <w:vAlign w:val="center"/>
          </w:tcPr>
          <w:p w14:paraId="76D0F1A0">
            <w:pPr>
              <w:widowControl/>
              <w:spacing w:line="240" w:lineRule="auto"/>
              <w:ind w:firstLine="0" w:firstLineChars="0"/>
              <w:jc w:val="left"/>
              <w:rPr>
                <w:rFonts w:eastAsia="仿宋" w:cs="Times New Roman"/>
                <w:sz w:val="20"/>
                <w:szCs w:val="20"/>
              </w:rPr>
            </w:pPr>
          </w:p>
        </w:tc>
        <w:tc>
          <w:tcPr>
            <w:tcW w:w="514" w:type="pct"/>
            <w:shd w:val="clear" w:color="auto" w:fill="auto"/>
            <w:vAlign w:val="center"/>
          </w:tcPr>
          <w:p w14:paraId="0BA94AFF">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M.8.2 碳捕集、利用与封存设备制造</w:t>
            </w:r>
          </w:p>
        </w:tc>
        <w:tc>
          <w:tcPr>
            <w:tcW w:w="708" w:type="pct"/>
            <w:shd w:val="clear" w:color="auto" w:fill="auto"/>
            <w:vAlign w:val="center"/>
          </w:tcPr>
          <w:p w14:paraId="235237F8">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M.8.2.1碳捕集、利用与封存设备制造</w:t>
            </w:r>
          </w:p>
        </w:tc>
        <w:tc>
          <w:tcPr>
            <w:tcW w:w="1723" w:type="pct"/>
            <w:shd w:val="clear" w:color="auto" w:fill="auto"/>
            <w:vAlign w:val="center"/>
          </w:tcPr>
          <w:p w14:paraId="1C8E6B9C">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碳捕集、利用、封存专用设备制造。</w:t>
            </w:r>
          </w:p>
        </w:tc>
        <w:tc>
          <w:tcPr>
            <w:tcW w:w="224" w:type="pct"/>
            <w:shd w:val="clear" w:color="auto" w:fill="auto"/>
            <w:vAlign w:val="center"/>
          </w:tcPr>
          <w:p w14:paraId="468CF4CD">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I</w:t>
            </w:r>
          </w:p>
        </w:tc>
        <w:tc>
          <w:tcPr>
            <w:tcW w:w="546" w:type="pct"/>
            <w:shd w:val="clear" w:color="auto" w:fill="auto"/>
            <w:vAlign w:val="center"/>
          </w:tcPr>
          <w:p w14:paraId="2FA55DDD">
            <w:pPr>
              <w:widowControl/>
              <w:spacing w:line="240" w:lineRule="auto"/>
              <w:ind w:firstLine="0" w:firstLineChars="0"/>
              <w:jc w:val="center"/>
              <w:rPr>
                <w:rFonts w:eastAsia="宋体" w:cs="Times New Roman"/>
                <w:sz w:val="20"/>
                <w:szCs w:val="20"/>
              </w:rPr>
            </w:pPr>
          </w:p>
        </w:tc>
        <w:tc>
          <w:tcPr>
            <w:tcW w:w="558" w:type="pct"/>
            <w:shd w:val="clear" w:color="auto" w:fill="auto"/>
            <w:vAlign w:val="center"/>
          </w:tcPr>
          <w:p w14:paraId="22722BFC">
            <w:pPr>
              <w:widowControl/>
              <w:spacing w:line="240" w:lineRule="auto"/>
              <w:ind w:firstLine="0" w:firstLineChars="0"/>
              <w:jc w:val="center"/>
              <w:rPr>
                <w:rFonts w:eastAsia="宋体" w:cs="Times New Roman"/>
                <w:sz w:val="20"/>
                <w:szCs w:val="20"/>
              </w:rPr>
            </w:pPr>
          </w:p>
        </w:tc>
        <w:tc>
          <w:tcPr>
            <w:tcW w:w="390" w:type="pct"/>
            <w:shd w:val="clear" w:color="auto" w:fill="auto"/>
            <w:vAlign w:val="center"/>
          </w:tcPr>
          <w:p w14:paraId="09E9F5DF">
            <w:pPr>
              <w:widowControl/>
              <w:spacing w:line="240" w:lineRule="auto"/>
              <w:ind w:firstLine="0" w:firstLineChars="0"/>
              <w:jc w:val="center"/>
              <w:rPr>
                <w:rFonts w:eastAsia="宋体" w:cs="Times New Roman"/>
                <w:sz w:val="20"/>
                <w:szCs w:val="20"/>
              </w:rPr>
            </w:pPr>
          </w:p>
        </w:tc>
      </w:tr>
      <w:tr w14:paraId="6D2A3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35" w:type="pct"/>
            <w:vMerge w:val="restart"/>
            <w:shd w:val="clear" w:color="auto" w:fill="auto"/>
            <w:vAlign w:val="center"/>
          </w:tcPr>
          <w:p w14:paraId="1927A823">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M.9 控制非能源活动温室气体排放</w:t>
            </w:r>
          </w:p>
        </w:tc>
        <w:tc>
          <w:tcPr>
            <w:tcW w:w="514" w:type="pct"/>
            <w:shd w:val="clear" w:color="auto" w:fill="auto"/>
            <w:vAlign w:val="center"/>
          </w:tcPr>
          <w:p w14:paraId="55604DC0">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M.9.1 控制氢氟碳化物</w:t>
            </w:r>
          </w:p>
        </w:tc>
        <w:tc>
          <w:tcPr>
            <w:tcW w:w="708" w:type="pct"/>
            <w:shd w:val="clear" w:color="auto" w:fill="auto"/>
            <w:vAlign w:val="center"/>
          </w:tcPr>
          <w:p w14:paraId="3EAF1D3B">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M.9.1.1 消耗臭氧层物质替代品开发与利用</w:t>
            </w:r>
          </w:p>
        </w:tc>
        <w:tc>
          <w:tcPr>
            <w:tcW w:w="1723" w:type="pct"/>
            <w:shd w:val="clear" w:color="auto" w:fill="auto"/>
            <w:vAlign w:val="center"/>
          </w:tcPr>
          <w:p w14:paraId="119D9E92">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包括鼓励消耗臭氧层物质、氢氟碳化物替代品的开发和利用。消耗臭氧层物质指对臭氧层有破坏作用并列入《中国受控消耗臭氧层物质清单》的化学品，氢氟碳化物指可能引起气候变暖并列入《中国受控消耗臭氧层物质清单》的化学品。</w:t>
            </w:r>
          </w:p>
        </w:tc>
        <w:tc>
          <w:tcPr>
            <w:tcW w:w="224" w:type="pct"/>
            <w:shd w:val="clear" w:color="auto" w:fill="auto"/>
            <w:vAlign w:val="center"/>
          </w:tcPr>
          <w:p w14:paraId="64A81E5F">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II</w:t>
            </w:r>
          </w:p>
        </w:tc>
        <w:tc>
          <w:tcPr>
            <w:tcW w:w="546" w:type="pct"/>
            <w:shd w:val="clear" w:color="auto" w:fill="auto"/>
            <w:vAlign w:val="center"/>
          </w:tcPr>
          <w:p w14:paraId="33F93A2F">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1.5.2</w:t>
            </w:r>
          </w:p>
        </w:tc>
        <w:tc>
          <w:tcPr>
            <w:tcW w:w="558" w:type="pct"/>
            <w:shd w:val="clear" w:color="auto" w:fill="auto"/>
            <w:vAlign w:val="center"/>
          </w:tcPr>
          <w:p w14:paraId="0E2DF18F">
            <w:pPr>
              <w:widowControl/>
              <w:spacing w:line="240" w:lineRule="auto"/>
              <w:ind w:firstLine="0" w:firstLineChars="0"/>
              <w:jc w:val="center"/>
              <w:rPr>
                <w:rFonts w:eastAsia="宋体" w:cs="Times New Roman"/>
                <w:sz w:val="20"/>
                <w:szCs w:val="20"/>
              </w:rPr>
            </w:pPr>
          </w:p>
        </w:tc>
        <w:tc>
          <w:tcPr>
            <w:tcW w:w="390" w:type="pct"/>
            <w:shd w:val="clear" w:color="auto" w:fill="auto"/>
            <w:vAlign w:val="center"/>
          </w:tcPr>
          <w:p w14:paraId="055CED93">
            <w:pPr>
              <w:widowControl/>
              <w:spacing w:line="240" w:lineRule="auto"/>
              <w:ind w:firstLine="0" w:firstLineChars="0"/>
              <w:jc w:val="center"/>
              <w:rPr>
                <w:rFonts w:eastAsia="宋体" w:cs="Times New Roman"/>
                <w:sz w:val="20"/>
                <w:szCs w:val="20"/>
              </w:rPr>
            </w:pPr>
          </w:p>
        </w:tc>
      </w:tr>
      <w:tr w14:paraId="01BAB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35" w:type="pct"/>
            <w:vMerge w:val="continue"/>
            <w:shd w:val="clear" w:color="auto" w:fill="auto"/>
            <w:vAlign w:val="center"/>
          </w:tcPr>
          <w:p w14:paraId="0D93AC1A">
            <w:pPr>
              <w:widowControl/>
              <w:spacing w:line="240" w:lineRule="auto"/>
              <w:ind w:firstLine="0" w:firstLineChars="0"/>
              <w:jc w:val="left"/>
              <w:rPr>
                <w:rFonts w:eastAsia="仿宋" w:cs="Times New Roman"/>
                <w:sz w:val="20"/>
                <w:szCs w:val="20"/>
              </w:rPr>
            </w:pPr>
          </w:p>
        </w:tc>
        <w:tc>
          <w:tcPr>
            <w:tcW w:w="514" w:type="pct"/>
            <w:vMerge w:val="restart"/>
            <w:shd w:val="clear" w:color="auto" w:fill="auto"/>
            <w:vAlign w:val="center"/>
          </w:tcPr>
          <w:p w14:paraId="07863B59">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M.9.2 废弃物和废水处理处置</w:t>
            </w:r>
          </w:p>
        </w:tc>
        <w:tc>
          <w:tcPr>
            <w:tcW w:w="708" w:type="pct"/>
            <w:shd w:val="clear" w:color="auto" w:fill="auto"/>
            <w:vAlign w:val="center"/>
          </w:tcPr>
          <w:p w14:paraId="3915B9FD">
            <w:pPr>
              <w:widowControl/>
              <w:spacing w:line="240" w:lineRule="auto"/>
              <w:ind w:firstLine="0" w:firstLineChars="0"/>
              <w:jc w:val="left"/>
              <w:textAlignment w:val="center"/>
              <w:rPr>
                <w:rFonts w:eastAsia="仿宋" w:cs="Times New Roman"/>
                <w:sz w:val="20"/>
                <w:szCs w:val="20"/>
              </w:rPr>
            </w:pPr>
            <w:r>
              <w:rPr>
                <w:rFonts w:eastAsia="仿宋" w:cs="Times New Roman"/>
                <w:b/>
                <w:bCs/>
                <w:kern w:val="0"/>
                <w:sz w:val="20"/>
                <w:szCs w:val="20"/>
                <w:lang w:bidi="ar"/>
              </w:rPr>
              <w:t>M.9.2.1 固体废弃物管理（*）</w:t>
            </w:r>
          </w:p>
        </w:tc>
        <w:tc>
          <w:tcPr>
            <w:tcW w:w="1723" w:type="pct"/>
            <w:shd w:val="clear" w:color="auto" w:fill="auto"/>
            <w:vAlign w:val="center"/>
          </w:tcPr>
          <w:p w14:paraId="5305A215">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包括矿产资源综合利用；工业固体废弃物综合利用；农林废弃物综合利用；废旧物资循环利用；垃圾资源化利用；</w:t>
            </w:r>
            <w:r>
              <w:rPr>
                <w:rFonts w:eastAsia="仿宋" w:cs="Times New Roman"/>
                <w:b/>
                <w:bCs/>
                <w:kern w:val="0"/>
                <w:sz w:val="20"/>
                <w:szCs w:val="20"/>
                <w:lang w:bidi="ar"/>
              </w:rPr>
              <w:t>生活垃圾分类收运处理管理体系建设</w:t>
            </w:r>
            <w:r>
              <w:rPr>
                <w:rFonts w:eastAsia="仿宋" w:cs="Times New Roman"/>
                <w:kern w:val="0"/>
                <w:sz w:val="20"/>
                <w:szCs w:val="20"/>
                <w:lang w:bidi="ar"/>
              </w:rPr>
              <w:t>等。</w:t>
            </w:r>
          </w:p>
        </w:tc>
        <w:tc>
          <w:tcPr>
            <w:tcW w:w="224" w:type="pct"/>
            <w:shd w:val="clear" w:color="auto" w:fill="auto"/>
            <w:vAlign w:val="center"/>
          </w:tcPr>
          <w:p w14:paraId="701DF4F3">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II</w:t>
            </w:r>
          </w:p>
        </w:tc>
        <w:tc>
          <w:tcPr>
            <w:tcW w:w="546" w:type="pct"/>
            <w:shd w:val="clear" w:color="auto" w:fill="auto"/>
            <w:vAlign w:val="center"/>
          </w:tcPr>
          <w:p w14:paraId="6FB1FFA8">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2.5.1-2.5.2；2.5.8-2.5.11；3.2.1；3.2.3-3.2.6；3.2.9；6.4.8</w:t>
            </w:r>
          </w:p>
        </w:tc>
        <w:tc>
          <w:tcPr>
            <w:tcW w:w="558" w:type="pct"/>
            <w:shd w:val="clear" w:color="auto" w:fill="auto"/>
            <w:vAlign w:val="center"/>
          </w:tcPr>
          <w:p w14:paraId="5FC01275">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1.3.2.4；1.3.5.2；1.5.2-1.5.3；2.2.1.2；2.2.1.3；2.3.1.1；2.3.1.3</w:t>
            </w:r>
          </w:p>
        </w:tc>
        <w:tc>
          <w:tcPr>
            <w:tcW w:w="390" w:type="pct"/>
            <w:shd w:val="clear" w:color="auto" w:fill="auto"/>
            <w:vAlign w:val="center"/>
          </w:tcPr>
          <w:p w14:paraId="739819F2">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2.5；1.6；1.7；5.2.6</w:t>
            </w:r>
          </w:p>
        </w:tc>
      </w:tr>
      <w:tr w14:paraId="7E78E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35" w:type="pct"/>
            <w:vMerge w:val="continue"/>
            <w:shd w:val="clear" w:color="auto" w:fill="auto"/>
            <w:vAlign w:val="center"/>
          </w:tcPr>
          <w:p w14:paraId="76DB911B">
            <w:pPr>
              <w:widowControl/>
              <w:spacing w:line="240" w:lineRule="auto"/>
              <w:ind w:firstLine="0" w:firstLineChars="0"/>
              <w:jc w:val="left"/>
              <w:rPr>
                <w:rFonts w:eastAsia="仿宋" w:cs="Times New Roman"/>
                <w:sz w:val="20"/>
                <w:szCs w:val="20"/>
              </w:rPr>
            </w:pPr>
          </w:p>
        </w:tc>
        <w:tc>
          <w:tcPr>
            <w:tcW w:w="514" w:type="pct"/>
            <w:vMerge w:val="continue"/>
            <w:shd w:val="clear" w:color="auto" w:fill="auto"/>
            <w:vAlign w:val="center"/>
          </w:tcPr>
          <w:p w14:paraId="7AE9E628">
            <w:pPr>
              <w:widowControl/>
              <w:spacing w:line="240" w:lineRule="auto"/>
              <w:ind w:firstLine="0" w:firstLineChars="0"/>
              <w:jc w:val="left"/>
              <w:rPr>
                <w:rFonts w:eastAsia="仿宋" w:cs="Times New Roman"/>
                <w:sz w:val="20"/>
                <w:szCs w:val="20"/>
              </w:rPr>
            </w:pPr>
          </w:p>
        </w:tc>
        <w:tc>
          <w:tcPr>
            <w:tcW w:w="708" w:type="pct"/>
            <w:shd w:val="clear" w:color="auto" w:fill="auto"/>
            <w:vAlign w:val="center"/>
          </w:tcPr>
          <w:p w14:paraId="7C21B2E2">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M.9.2.2 废水处理</w:t>
            </w:r>
          </w:p>
        </w:tc>
        <w:tc>
          <w:tcPr>
            <w:tcW w:w="1723" w:type="pct"/>
            <w:shd w:val="clear" w:color="auto" w:fill="auto"/>
            <w:vAlign w:val="center"/>
          </w:tcPr>
          <w:p w14:paraId="462D2F7C">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包括城市黑臭水体整治；畜禽养殖废水处理；生活污水治理；工业水污染治理；污水污泥处理处置设施建设和运营等。</w:t>
            </w:r>
          </w:p>
        </w:tc>
        <w:tc>
          <w:tcPr>
            <w:tcW w:w="224" w:type="pct"/>
            <w:shd w:val="clear" w:color="auto" w:fill="auto"/>
            <w:vAlign w:val="center"/>
          </w:tcPr>
          <w:p w14:paraId="2E8A5F46">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II</w:t>
            </w:r>
          </w:p>
        </w:tc>
        <w:tc>
          <w:tcPr>
            <w:tcW w:w="546" w:type="pct"/>
            <w:shd w:val="clear" w:color="auto" w:fill="auto"/>
            <w:vAlign w:val="center"/>
          </w:tcPr>
          <w:p w14:paraId="63E6D41F">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2.3.3-2.3.5；2.5.8-2.5.11；6.4.7</w:t>
            </w:r>
          </w:p>
        </w:tc>
        <w:tc>
          <w:tcPr>
            <w:tcW w:w="558" w:type="pct"/>
            <w:shd w:val="clear" w:color="auto" w:fill="auto"/>
            <w:vAlign w:val="center"/>
          </w:tcPr>
          <w:p w14:paraId="314709D0">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1.3.2.3-1.3.3.1；1.3.5.2；1.5.3.3；2.1.2.1；2.1.2.2；5.3.1.1</w:t>
            </w:r>
          </w:p>
        </w:tc>
        <w:tc>
          <w:tcPr>
            <w:tcW w:w="390" w:type="pct"/>
            <w:shd w:val="clear" w:color="auto" w:fill="auto"/>
            <w:vAlign w:val="center"/>
          </w:tcPr>
          <w:p w14:paraId="203E903A">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2.4.1；1.6；5.2.6；5.3.1</w:t>
            </w:r>
          </w:p>
        </w:tc>
      </w:tr>
      <w:tr w14:paraId="269E3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35" w:type="pct"/>
            <w:vMerge w:val="restart"/>
            <w:shd w:val="clear" w:color="auto" w:fill="auto"/>
            <w:vAlign w:val="center"/>
          </w:tcPr>
          <w:p w14:paraId="12EFDF63">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M.10 增加碳汇（*）</w:t>
            </w:r>
          </w:p>
        </w:tc>
        <w:tc>
          <w:tcPr>
            <w:tcW w:w="514" w:type="pct"/>
            <w:shd w:val="clear" w:color="auto" w:fill="auto"/>
            <w:vAlign w:val="center"/>
          </w:tcPr>
          <w:p w14:paraId="6E41C50C">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M.10.1 森林碳汇</w:t>
            </w:r>
          </w:p>
        </w:tc>
        <w:tc>
          <w:tcPr>
            <w:tcW w:w="708" w:type="pct"/>
            <w:shd w:val="clear" w:color="auto" w:fill="auto"/>
            <w:vAlign w:val="center"/>
          </w:tcPr>
          <w:p w14:paraId="37A63FDE">
            <w:pPr>
              <w:widowControl/>
              <w:spacing w:line="240" w:lineRule="auto"/>
              <w:ind w:firstLine="0" w:firstLineChars="0"/>
              <w:jc w:val="left"/>
              <w:textAlignment w:val="center"/>
              <w:rPr>
                <w:rFonts w:eastAsia="仿宋" w:cs="Times New Roman"/>
                <w:b/>
                <w:bCs/>
                <w:sz w:val="20"/>
                <w:szCs w:val="20"/>
              </w:rPr>
            </w:pPr>
            <w:r>
              <w:rPr>
                <w:rFonts w:eastAsia="仿宋" w:cs="Times New Roman"/>
                <w:b/>
                <w:bCs/>
                <w:kern w:val="0"/>
                <w:sz w:val="20"/>
                <w:szCs w:val="20"/>
                <w:lang w:bidi="ar"/>
              </w:rPr>
              <w:t>M.10.1.1森林增汇项目（*）</w:t>
            </w:r>
          </w:p>
        </w:tc>
        <w:tc>
          <w:tcPr>
            <w:tcW w:w="1723" w:type="pct"/>
            <w:shd w:val="clear" w:color="auto" w:fill="auto"/>
            <w:vAlign w:val="center"/>
          </w:tcPr>
          <w:p w14:paraId="53DE844A">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森林碳汇是指通过造林、再造林和可持续森林管理，减少毁林等措施，吸收和固定大气中的二氧化碳的项目。</w:t>
            </w:r>
            <w:r>
              <w:rPr>
                <w:rFonts w:hint="eastAsia" w:eastAsia="仿宋" w:cs="Times New Roman"/>
                <w:kern w:val="0"/>
                <w:sz w:val="20"/>
                <w:szCs w:val="20"/>
                <w:lang w:bidi="ar"/>
              </w:rPr>
              <w:t>森林碳汇这块表述不准确，如引用其他标准中表述，请标明此段引用出处</w:t>
            </w:r>
          </w:p>
        </w:tc>
        <w:tc>
          <w:tcPr>
            <w:tcW w:w="224" w:type="pct"/>
            <w:shd w:val="clear" w:color="auto" w:fill="auto"/>
            <w:vAlign w:val="center"/>
          </w:tcPr>
          <w:p w14:paraId="3C0FBF87">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II</w:t>
            </w:r>
          </w:p>
        </w:tc>
        <w:tc>
          <w:tcPr>
            <w:tcW w:w="546" w:type="pct"/>
            <w:shd w:val="clear" w:color="auto" w:fill="auto"/>
            <w:vAlign w:val="center"/>
          </w:tcPr>
          <w:p w14:paraId="21971B2F">
            <w:pPr>
              <w:widowControl/>
              <w:spacing w:line="240" w:lineRule="auto"/>
              <w:ind w:firstLine="0" w:firstLineChars="0"/>
              <w:jc w:val="center"/>
              <w:rPr>
                <w:rFonts w:eastAsia="宋体" w:cs="Times New Roman"/>
                <w:sz w:val="20"/>
                <w:szCs w:val="20"/>
              </w:rPr>
            </w:pPr>
          </w:p>
        </w:tc>
        <w:tc>
          <w:tcPr>
            <w:tcW w:w="558" w:type="pct"/>
            <w:shd w:val="clear" w:color="auto" w:fill="auto"/>
            <w:vAlign w:val="center"/>
          </w:tcPr>
          <w:p w14:paraId="4C3EB418">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4.2.2.3</w:t>
            </w:r>
          </w:p>
        </w:tc>
        <w:tc>
          <w:tcPr>
            <w:tcW w:w="390" w:type="pct"/>
            <w:shd w:val="clear" w:color="auto" w:fill="auto"/>
            <w:vAlign w:val="center"/>
          </w:tcPr>
          <w:p w14:paraId="1728CF66">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4.1.3</w:t>
            </w:r>
          </w:p>
        </w:tc>
      </w:tr>
      <w:tr w14:paraId="6BDB2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35" w:type="pct"/>
            <w:vMerge w:val="continue"/>
            <w:shd w:val="clear" w:color="auto" w:fill="auto"/>
            <w:vAlign w:val="center"/>
          </w:tcPr>
          <w:p w14:paraId="6DC1449D">
            <w:pPr>
              <w:widowControl/>
              <w:spacing w:line="240" w:lineRule="auto"/>
              <w:ind w:firstLine="0" w:firstLineChars="0"/>
              <w:jc w:val="left"/>
              <w:rPr>
                <w:rFonts w:eastAsia="仿宋" w:cs="Times New Roman"/>
                <w:sz w:val="20"/>
                <w:szCs w:val="20"/>
              </w:rPr>
            </w:pPr>
          </w:p>
        </w:tc>
        <w:tc>
          <w:tcPr>
            <w:tcW w:w="514" w:type="pct"/>
            <w:shd w:val="clear" w:color="auto" w:fill="auto"/>
            <w:vAlign w:val="center"/>
          </w:tcPr>
          <w:p w14:paraId="399514D7">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M.10.2 生态系统碳汇</w:t>
            </w:r>
          </w:p>
        </w:tc>
        <w:tc>
          <w:tcPr>
            <w:tcW w:w="708" w:type="pct"/>
            <w:shd w:val="clear" w:color="auto" w:fill="auto"/>
            <w:vAlign w:val="center"/>
          </w:tcPr>
          <w:p w14:paraId="489260A6">
            <w:pPr>
              <w:widowControl/>
              <w:spacing w:line="240" w:lineRule="auto"/>
              <w:ind w:firstLine="0" w:firstLineChars="0"/>
              <w:jc w:val="left"/>
              <w:textAlignment w:val="center"/>
              <w:rPr>
                <w:rFonts w:eastAsia="仿宋" w:cs="Times New Roman"/>
                <w:b/>
                <w:bCs/>
                <w:sz w:val="20"/>
                <w:szCs w:val="20"/>
              </w:rPr>
            </w:pPr>
            <w:r>
              <w:rPr>
                <w:rFonts w:eastAsia="仿宋" w:cs="Times New Roman"/>
                <w:b/>
                <w:bCs/>
                <w:kern w:val="0"/>
                <w:sz w:val="20"/>
                <w:szCs w:val="20"/>
                <w:lang w:bidi="ar"/>
              </w:rPr>
              <w:t>M.10.2.1 生态系统碳汇项目（*）</w:t>
            </w:r>
          </w:p>
        </w:tc>
        <w:tc>
          <w:tcPr>
            <w:tcW w:w="1723" w:type="pct"/>
            <w:shd w:val="clear" w:color="auto" w:fill="auto"/>
            <w:vAlign w:val="center"/>
          </w:tcPr>
          <w:p w14:paraId="52AF3DAD">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以提升湿地、土壤等生态系统固碳增汇能力为主要目的的建设和保护性项目。</w:t>
            </w:r>
          </w:p>
        </w:tc>
        <w:tc>
          <w:tcPr>
            <w:tcW w:w="224" w:type="pct"/>
            <w:shd w:val="clear" w:color="auto" w:fill="auto"/>
            <w:vAlign w:val="center"/>
          </w:tcPr>
          <w:p w14:paraId="41FB309E">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II</w:t>
            </w:r>
          </w:p>
        </w:tc>
        <w:tc>
          <w:tcPr>
            <w:tcW w:w="546" w:type="pct"/>
            <w:shd w:val="clear" w:color="auto" w:fill="auto"/>
            <w:vAlign w:val="center"/>
          </w:tcPr>
          <w:p w14:paraId="1C7DF43D">
            <w:pPr>
              <w:widowControl/>
              <w:spacing w:line="240" w:lineRule="auto"/>
              <w:ind w:firstLine="0" w:firstLineChars="0"/>
              <w:jc w:val="center"/>
              <w:rPr>
                <w:rFonts w:eastAsia="宋体" w:cs="Times New Roman"/>
                <w:sz w:val="20"/>
                <w:szCs w:val="20"/>
              </w:rPr>
            </w:pPr>
          </w:p>
        </w:tc>
        <w:tc>
          <w:tcPr>
            <w:tcW w:w="558" w:type="pct"/>
            <w:shd w:val="clear" w:color="auto" w:fill="auto"/>
            <w:vAlign w:val="center"/>
          </w:tcPr>
          <w:p w14:paraId="6C9536E9">
            <w:pPr>
              <w:widowControl/>
              <w:spacing w:line="240" w:lineRule="auto"/>
              <w:ind w:firstLine="0" w:firstLineChars="0"/>
              <w:jc w:val="center"/>
              <w:rPr>
                <w:rFonts w:eastAsia="宋体" w:cs="Times New Roman"/>
                <w:sz w:val="20"/>
                <w:szCs w:val="20"/>
              </w:rPr>
            </w:pPr>
          </w:p>
        </w:tc>
        <w:tc>
          <w:tcPr>
            <w:tcW w:w="390" w:type="pct"/>
            <w:shd w:val="clear" w:color="auto" w:fill="auto"/>
            <w:vAlign w:val="center"/>
          </w:tcPr>
          <w:p w14:paraId="780B9591">
            <w:pPr>
              <w:widowControl/>
              <w:spacing w:line="240" w:lineRule="auto"/>
              <w:ind w:firstLine="0" w:firstLineChars="0"/>
              <w:jc w:val="center"/>
              <w:rPr>
                <w:rFonts w:eastAsia="宋体" w:cs="Times New Roman"/>
                <w:sz w:val="20"/>
                <w:szCs w:val="20"/>
              </w:rPr>
            </w:pPr>
          </w:p>
        </w:tc>
      </w:tr>
      <w:tr w14:paraId="6E53C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35" w:type="pct"/>
            <w:vMerge w:val="restart"/>
            <w:shd w:val="clear" w:color="auto" w:fill="auto"/>
            <w:vAlign w:val="center"/>
          </w:tcPr>
          <w:p w14:paraId="1AC97DBF">
            <w:pPr>
              <w:widowControl/>
              <w:spacing w:line="240" w:lineRule="auto"/>
              <w:ind w:firstLine="0" w:firstLineChars="0"/>
              <w:jc w:val="center"/>
              <w:textAlignment w:val="center"/>
              <w:rPr>
                <w:rFonts w:eastAsia="仿宋" w:cs="Times New Roman"/>
                <w:sz w:val="20"/>
                <w:szCs w:val="20"/>
              </w:rPr>
            </w:pPr>
            <w:r>
              <w:rPr>
                <w:rFonts w:eastAsia="仿宋" w:cs="Times New Roman"/>
                <w:kern w:val="0"/>
                <w:sz w:val="20"/>
                <w:szCs w:val="20"/>
                <w:lang w:bidi="ar"/>
              </w:rPr>
              <w:t>M.11 低碳基础设施</w:t>
            </w:r>
          </w:p>
        </w:tc>
        <w:tc>
          <w:tcPr>
            <w:tcW w:w="514" w:type="pct"/>
            <w:vMerge w:val="restart"/>
            <w:shd w:val="clear" w:color="auto" w:fill="auto"/>
            <w:vAlign w:val="center"/>
          </w:tcPr>
          <w:p w14:paraId="3B092124">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M.11.1 城乡能源基础设施</w:t>
            </w:r>
          </w:p>
        </w:tc>
        <w:tc>
          <w:tcPr>
            <w:tcW w:w="708" w:type="pct"/>
            <w:shd w:val="clear" w:color="auto" w:fill="auto"/>
            <w:vAlign w:val="center"/>
          </w:tcPr>
          <w:p w14:paraId="106A7A48">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M.11.1.1 城镇电力设施智能化建设运营和改造</w:t>
            </w:r>
          </w:p>
        </w:tc>
        <w:tc>
          <w:tcPr>
            <w:tcW w:w="1723" w:type="pct"/>
            <w:shd w:val="clear" w:color="auto" w:fill="auto"/>
            <w:vAlign w:val="center"/>
          </w:tcPr>
          <w:p w14:paraId="0906B1C1">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包括城镇电力负荷管理系统建设和运营，智能电网建设和运营，智能调度体系、智慧能源平台建设，用电设备智能化改造，以及高污染、低效用能设备的电能替代改造等。</w:t>
            </w:r>
          </w:p>
        </w:tc>
        <w:tc>
          <w:tcPr>
            <w:tcW w:w="224" w:type="pct"/>
            <w:shd w:val="clear" w:color="auto" w:fill="auto"/>
            <w:vAlign w:val="center"/>
          </w:tcPr>
          <w:p w14:paraId="0E85360C">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II</w:t>
            </w:r>
          </w:p>
        </w:tc>
        <w:tc>
          <w:tcPr>
            <w:tcW w:w="546" w:type="pct"/>
            <w:shd w:val="clear" w:color="auto" w:fill="auto"/>
            <w:vAlign w:val="center"/>
          </w:tcPr>
          <w:p w14:paraId="760356E7">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1.3.4；4.3.5；4.3.6；4.3.9；6.5.1</w:t>
            </w:r>
          </w:p>
        </w:tc>
        <w:tc>
          <w:tcPr>
            <w:tcW w:w="558" w:type="pct"/>
            <w:shd w:val="clear" w:color="auto" w:fill="auto"/>
            <w:vAlign w:val="center"/>
          </w:tcPr>
          <w:p w14:paraId="4759DF0D">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3.1.1.2；5.1.1.2</w:t>
            </w:r>
          </w:p>
        </w:tc>
        <w:tc>
          <w:tcPr>
            <w:tcW w:w="390" w:type="pct"/>
            <w:shd w:val="clear" w:color="auto" w:fill="auto"/>
            <w:vAlign w:val="center"/>
          </w:tcPr>
          <w:p w14:paraId="6B973B4D">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3.4；5.4</w:t>
            </w:r>
          </w:p>
        </w:tc>
      </w:tr>
      <w:tr w14:paraId="6DCF1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35" w:type="pct"/>
            <w:vMerge w:val="continue"/>
            <w:shd w:val="clear" w:color="auto" w:fill="auto"/>
            <w:vAlign w:val="center"/>
          </w:tcPr>
          <w:p w14:paraId="54885F8B">
            <w:pPr>
              <w:widowControl/>
              <w:spacing w:line="240" w:lineRule="auto"/>
              <w:ind w:firstLine="0" w:firstLineChars="0"/>
              <w:jc w:val="center"/>
              <w:rPr>
                <w:rFonts w:eastAsia="仿宋" w:cs="Times New Roman"/>
                <w:sz w:val="20"/>
                <w:szCs w:val="20"/>
              </w:rPr>
            </w:pPr>
          </w:p>
        </w:tc>
        <w:tc>
          <w:tcPr>
            <w:tcW w:w="514" w:type="pct"/>
            <w:vMerge w:val="continue"/>
            <w:shd w:val="clear" w:color="auto" w:fill="auto"/>
            <w:vAlign w:val="center"/>
          </w:tcPr>
          <w:p w14:paraId="3F3220B2">
            <w:pPr>
              <w:widowControl/>
              <w:spacing w:line="240" w:lineRule="auto"/>
              <w:ind w:firstLine="0" w:firstLineChars="0"/>
              <w:jc w:val="left"/>
              <w:rPr>
                <w:rFonts w:eastAsia="仿宋" w:cs="Times New Roman"/>
                <w:sz w:val="20"/>
                <w:szCs w:val="20"/>
              </w:rPr>
            </w:pPr>
          </w:p>
        </w:tc>
        <w:tc>
          <w:tcPr>
            <w:tcW w:w="708" w:type="pct"/>
            <w:shd w:val="clear" w:color="auto" w:fill="auto"/>
            <w:vAlign w:val="center"/>
          </w:tcPr>
          <w:p w14:paraId="6393BC7D">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M.11.1.2 城镇一体化集成供能设施建设和运营</w:t>
            </w:r>
          </w:p>
        </w:tc>
        <w:tc>
          <w:tcPr>
            <w:tcW w:w="1723" w:type="pct"/>
            <w:shd w:val="clear" w:color="auto" w:fill="auto"/>
            <w:vAlign w:val="center"/>
          </w:tcPr>
          <w:p w14:paraId="410F8B6D">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包括多能互补利用设施、分布式供能设施或系统、智能微网等城镇一体化集成供能设施建设和运营。</w:t>
            </w:r>
          </w:p>
        </w:tc>
        <w:tc>
          <w:tcPr>
            <w:tcW w:w="224" w:type="pct"/>
            <w:shd w:val="clear" w:color="auto" w:fill="auto"/>
            <w:vAlign w:val="center"/>
          </w:tcPr>
          <w:p w14:paraId="2863FE21">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I</w:t>
            </w:r>
          </w:p>
        </w:tc>
        <w:tc>
          <w:tcPr>
            <w:tcW w:w="546" w:type="pct"/>
            <w:shd w:val="clear" w:color="auto" w:fill="auto"/>
            <w:vAlign w:val="center"/>
          </w:tcPr>
          <w:p w14:paraId="6E3E3B15">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6.5.2</w:t>
            </w:r>
          </w:p>
        </w:tc>
        <w:tc>
          <w:tcPr>
            <w:tcW w:w="558" w:type="pct"/>
            <w:shd w:val="clear" w:color="auto" w:fill="auto"/>
            <w:vAlign w:val="center"/>
          </w:tcPr>
          <w:p w14:paraId="7632F161">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5.1.1.3</w:t>
            </w:r>
          </w:p>
        </w:tc>
        <w:tc>
          <w:tcPr>
            <w:tcW w:w="390" w:type="pct"/>
            <w:shd w:val="clear" w:color="auto" w:fill="auto"/>
            <w:vAlign w:val="center"/>
          </w:tcPr>
          <w:p w14:paraId="23B29B96">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5.4</w:t>
            </w:r>
          </w:p>
        </w:tc>
      </w:tr>
      <w:tr w14:paraId="6EEEB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35" w:type="pct"/>
            <w:vMerge w:val="continue"/>
            <w:shd w:val="clear" w:color="auto" w:fill="auto"/>
            <w:vAlign w:val="center"/>
          </w:tcPr>
          <w:p w14:paraId="3B176DE9">
            <w:pPr>
              <w:widowControl/>
              <w:spacing w:line="240" w:lineRule="auto"/>
              <w:ind w:firstLine="0" w:firstLineChars="0"/>
              <w:jc w:val="center"/>
              <w:rPr>
                <w:rFonts w:eastAsia="仿宋" w:cs="Times New Roman"/>
                <w:sz w:val="20"/>
                <w:szCs w:val="20"/>
              </w:rPr>
            </w:pPr>
          </w:p>
        </w:tc>
        <w:tc>
          <w:tcPr>
            <w:tcW w:w="514" w:type="pct"/>
            <w:vMerge w:val="continue"/>
            <w:shd w:val="clear" w:color="auto" w:fill="auto"/>
            <w:vAlign w:val="center"/>
          </w:tcPr>
          <w:p w14:paraId="049D737C">
            <w:pPr>
              <w:widowControl/>
              <w:spacing w:line="240" w:lineRule="auto"/>
              <w:ind w:firstLine="0" w:firstLineChars="0"/>
              <w:jc w:val="left"/>
              <w:rPr>
                <w:rFonts w:eastAsia="仿宋" w:cs="Times New Roman"/>
                <w:sz w:val="20"/>
                <w:szCs w:val="20"/>
              </w:rPr>
            </w:pPr>
          </w:p>
        </w:tc>
        <w:tc>
          <w:tcPr>
            <w:tcW w:w="708" w:type="pct"/>
            <w:shd w:val="clear" w:color="auto" w:fill="auto"/>
            <w:vAlign w:val="center"/>
          </w:tcPr>
          <w:p w14:paraId="5435F3D0">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M.11.1.3 城镇集中供热系统清洁化、低碳化建设运营和改造</w:t>
            </w:r>
          </w:p>
        </w:tc>
        <w:tc>
          <w:tcPr>
            <w:tcW w:w="1723" w:type="pct"/>
            <w:shd w:val="clear" w:color="auto" w:fill="auto"/>
            <w:vAlign w:val="center"/>
          </w:tcPr>
          <w:p w14:paraId="52B59794">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包括城镇集中供热锅炉节能降碳环保改造、城镇集中供热管网节能降碳改造、热电联产机组供暖替代散煤和燃煤小锅炉、低品位工业余热供暖系统建设运营、核能供热系统建设运营，以及因地制宜实施的热泵、生物质能、地热能、太阳能等清洁低碳供暖等。</w:t>
            </w:r>
          </w:p>
        </w:tc>
        <w:tc>
          <w:tcPr>
            <w:tcW w:w="224" w:type="pct"/>
            <w:shd w:val="clear" w:color="auto" w:fill="auto"/>
            <w:vAlign w:val="center"/>
          </w:tcPr>
          <w:p w14:paraId="12ECE393">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II</w:t>
            </w:r>
          </w:p>
        </w:tc>
        <w:tc>
          <w:tcPr>
            <w:tcW w:w="546" w:type="pct"/>
            <w:shd w:val="clear" w:color="auto" w:fill="auto"/>
            <w:vAlign w:val="center"/>
          </w:tcPr>
          <w:p w14:paraId="5750F6BA">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6.5.3</w:t>
            </w:r>
          </w:p>
        </w:tc>
        <w:tc>
          <w:tcPr>
            <w:tcW w:w="558" w:type="pct"/>
            <w:shd w:val="clear" w:color="auto" w:fill="auto"/>
            <w:vAlign w:val="center"/>
          </w:tcPr>
          <w:p w14:paraId="03CE74A5">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5.1.1.1</w:t>
            </w:r>
          </w:p>
        </w:tc>
        <w:tc>
          <w:tcPr>
            <w:tcW w:w="390" w:type="pct"/>
            <w:shd w:val="clear" w:color="auto" w:fill="auto"/>
            <w:vAlign w:val="center"/>
          </w:tcPr>
          <w:p w14:paraId="7543B4F4">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5.4</w:t>
            </w:r>
          </w:p>
        </w:tc>
      </w:tr>
      <w:tr w14:paraId="6923E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35" w:type="pct"/>
            <w:vMerge w:val="continue"/>
            <w:shd w:val="clear" w:color="auto" w:fill="auto"/>
            <w:vAlign w:val="center"/>
          </w:tcPr>
          <w:p w14:paraId="0CADEFD8">
            <w:pPr>
              <w:widowControl/>
              <w:spacing w:line="240" w:lineRule="auto"/>
              <w:ind w:firstLine="0" w:firstLineChars="0"/>
              <w:jc w:val="center"/>
              <w:rPr>
                <w:rFonts w:eastAsia="仿宋" w:cs="Times New Roman"/>
                <w:sz w:val="20"/>
                <w:szCs w:val="20"/>
              </w:rPr>
            </w:pPr>
          </w:p>
        </w:tc>
        <w:tc>
          <w:tcPr>
            <w:tcW w:w="514" w:type="pct"/>
            <w:vMerge w:val="continue"/>
            <w:shd w:val="clear" w:color="auto" w:fill="auto"/>
            <w:vAlign w:val="center"/>
          </w:tcPr>
          <w:p w14:paraId="0997E93C">
            <w:pPr>
              <w:widowControl/>
              <w:spacing w:line="240" w:lineRule="auto"/>
              <w:ind w:firstLine="0" w:firstLineChars="0"/>
              <w:jc w:val="left"/>
              <w:rPr>
                <w:rFonts w:eastAsia="仿宋" w:cs="Times New Roman"/>
                <w:sz w:val="20"/>
                <w:szCs w:val="20"/>
              </w:rPr>
            </w:pPr>
          </w:p>
        </w:tc>
        <w:tc>
          <w:tcPr>
            <w:tcW w:w="708" w:type="pct"/>
            <w:shd w:val="clear" w:color="auto" w:fill="auto"/>
            <w:vAlign w:val="center"/>
          </w:tcPr>
          <w:p w14:paraId="2810FBAD">
            <w:pPr>
              <w:widowControl/>
              <w:spacing w:line="240" w:lineRule="auto"/>
              <w:ind w:firstLine="0" w:firstLineChars="0"/>
              <w:jc w:val="left"/>
              <w:textAlignment w:val="center"/>
              <w:rPr>
                <w:rFonts w:eastAsia="仿宋" w:cs="Times New Roman"/>
                <w:sz w:val="20"/>
                <w:szCs w:val="20"/>
              </w:rPr>
            </w:pPr>
            <w:r>
              <w:rPr>
                <w:rFonts w:eastAsia="仿宋" w:cs="Times New Roman"/>
                <w:b/>
                <w:bCs/>
                <w:kern w:val="0"/>
                <w:sz w:val="20"/>
                <w:szCs w:val="20"/>
                <w:lang w:bidi="ar"/>
              </w:rPr>
              <w:t>M.11.1.4 农村清洁能源基础设施建设和运营（*）</w:t>
            </w:r>
          </w:p>
        </w:tc>
        <w:tc>
          <w:tcPr>
            <w:tcW w:w="1723" w:type="pct"/>
            <w:shd w:val="clear" w:color="auto" w:fill="auto"/>
            <w:vAlign w:val="center"/>
          </w:tcPr>
          <w:p w14:paraId="7C5CB994">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包括</w:t>
            </w:r>
            <w:r>
              <w:rPr>
                <w:rFonts w:eastAsia="仿宋" w:cs="Times New Roman"/>
                <w:b/>
                <w:bCs/>
                <w:kern w:val="0"/>
                <w:sz w:val="20"/>
                <w:szCs w:val="20"/>
                <w:lang w:bidi="ar"/>
              </w:rPr>
              <w:t>清洁取暖设备应用和设施建设运营</w:t>
            </w:r>
            <w:r>
              <w:rPr>
                <w:rFonts w:eastAsia="仿宋" w:cs="Times New Roman"/>
                <w:kern w:val="0"/>
                <w:sz w:val="20"/>
                <w:szCs w:val="20"/>
                <w:lang w:bidi="ar"/>
              </w:rPr>
              <w:t>，</w:t>
            </w:r>
            <w:r>
              <w:rPr>
                <w:rFonts w:eastAsia="仿宋" w:cs="Times New Roman"/>
                <w:b/>
                <w:bCs/>
                <w:kern w:val="0"/>
                <w:sz w:val="20"/>
                <w:szCs w:val="20"/>
                <w:lang w:bidi="ar"/>
              </w:rPr>
              <w:t>清洁取暖配套的农村电网</w:t>
            </w:r>
            <w:r>
              <w:rPr>
                <w:rFonts w:eastAsia="仿宋" w:cs="Times New Roman"/>
                <w:kern w:val="0"/>
                <w:sz w:val="20"/>
                <w:szCs w:val="20"/>
                <w:lang w:bidi="ar"/>
              </w:rPr>
              <w:t>、燃气管道建设改造，</w:t>
            </w:r>
            <w:r>
              <w:rPr>
                <w:rFonts w:eastAsia="仿宋" w:cs="Times New Roman"/>
                <w:b/>
                <w:bCs/>
                <w:kern w:val="0"/>
                <w:sz w:val="20"/>
                <w:szCs w:val="20"/>
                <w:lang w:bidi="ar"/>
              </w:rPr>
              <w:t>设施农业中应用新能源和可再生能源技术</w:t>
            </w:r>
            <w:r>
              <w:rPr>
                <w:rFonts w:eastAsia="仿宋" w:cs="Times New Roman"/>
                <w:kern w:val="0"/>
                <w:sz w:val="20"/>
                <w:szCs w:val="20"/>
                <w:lang w:bidi="ar"/>
              </w:rPr>
              <w:t>，以及其他清洁低碳能源利用设施建设运营。</w:t>
            </w:r>
          </w:p>
        </w:tc>
        <w:tc>
          <w:tcPr>
            <w:tcW w:w="224" w:type="pct"/>
            <w:shd w:val="clear" w:color="auto" w:fill="auto"/>
            <w:vAlign w:val="center"/>
          </w:tcPr>
          <w:p w14:paraId="1B94A388">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II</w:t>
            </w:r>
          </w:p>
        </w:tc>
        <w:tc>
          <w:tcPr>
            <w:tcW w:w="546" w:type="pct"/>
            <w:shd w:val="clear" w:color="auto" w:fill="auto"/>
            <w:vAlign w:val="center"/>
          </w:tcPr>
          <w:p w14:paraId="26C8E847">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6.5.4</w:t>
            </w:r>
          </w:p>
        </w:tc>
        <w:tc>
          <w:tcPr>
            <w:tcW w:w="558" w:type="pct"/>
            <w:shd w:val="clear" w:color="auto" w:fill="auto"/>
            <w:vAlign w:val="center"/>
          </w:tcPr>
          <w:p w14:paraId="2A343A28">
            <w:pPr>
              <w:widowControl/>
              <w:spacing w:line="240" w:lineRule="auto"/>
              <w:ind w:firstLine="0" w:firstLineChars="0"/>
              <w:jc w:val="center"/>
              <w:rPr>
                <w:rFonts w:eastAsia="宋体" w:cs="Times New Roman"/>
                <w:sz w:val="20"/>
                <w:szCs w:val="20"/>
              </w:rPr>
            </w:pPr>
          </w:p>
        </w:tc>
        <w:tc>
          <w:tcPr>
            <w:tcW w:w="390" w:type="pct"/>
            <w:shd w:val="clear" w:color="auto" w:fill="auto"/>
            <w:vAlign w:val="center"/>
          </w:tcPr>
          <w:p w14:paraId="04D97A0C">
            <w:pPr>
              <w:widowControl/>
              <w:spacing w:line="240" w:lineRule="auto"/>
              <w:ind w:firstLine="0" w:firstLineChars="0"/>
              <w:jc w:val="center"/>
              <w:rPr>
                <w:rFonts w:eastAsia="宋体" w:cs="Times New Roman"/>
                <w:sz w:val="20"/>
                <w:szCs w:val="20"/>
              </w:rPr>
            </w:pPr>
          </w:p>
        </w:tc>
      </w:tr>
      <w:tr w14:paraId="334D1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35" w:type="pct"/>
            <w:vMerge w:val="continue"/>
            <w:shd w:val="clear" w:color="auto" w:fill="auto"/>
            <w:vAlign w:val="center"/>
          </w:tcPr>
          <w:p w14:paraId="29642930">
            <w:pPr>
              <w:widowControl/>
              <w:spacing w:line="240" w:lineRule="auto"/>
              <w:ind w:firstLine="0" w:firstLineChars="0"/>
              <w:jc w:val="center"/>
              <w:rPr>
                <w:rFonts w:eastAsia="仿宋" w:cs="Times New Roman"/>
                <w:sz w:val="20"/>
                <w:szCs w:val="20"/>
              </w:rPr>
            </w:pPr>
          </w:p>
        </w:tc>
        <w:tc>
          <w:tcPr>
            <w:tcW w:w="514" w:type="pct"/>
            <w:vMerge w:val="restart"/>
            <w:shd w:val="clear" w:color="auto" w:fill="auto"/>
            <w:vAlign w:val="center"/>
          </w:tcPr>
          <w:p w14:paraId="5FE8CD4C">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M.11.2 信息基础设施</w:t>
            </w:r>
          </w:p>
        </w:tc>
        <w:tc>
          <w:tcPr>
            <w:tcW w:w="708" w:type="pct"/>
            <w:shd w:val="clear" w:color="auto" w:fill="auto"/>
            <w:vAlign w:val="center"/>
          </w:tcPr>
          <w:p w14:paraId="3C0CE1C3">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M.11.2.1 绿色数据中心建设</w:t>
            </w:r>
          </w:p>
        </w:tc>
        <w:tc>
          <w:tcPr>
            <w:tcW w:w="1723" w:type="pct"/>
            <w:shd w:val="clear" w:color="auto" w:fill="auto"/>
            <w:vAlign w:val="center"/>
          </w:tcPr>
          <w:p w14:paraId="761A4117">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包括先进高效的互联网数据中心（IDC）、企业级数据中心（EDC）、智算中心、高性能计算中心、超算中心等不同类型绿色数据中心的建设。数据中心电能比需不低于《数据中心能效限定值及能效等级》（GB 40879）中2级能效水平。</w:t>
            </w:r>
          </w:p>
        </w:tc>
        <w:tc>
          <w:tcPr>
            <w:tcW w:w="224" w:type="pct"/>
            <w:shd w:val="clear" w:color="auto" w:fill="auto"/>
            <w:vAlign w:val="center"/>
          </w:tcPr>
          <w:p w14:paraId="5978D4F9">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I</w:t>
            </w:r>
          </w:p>
        </w:tc>
        <w:tc>
          <w:tcPr>
            <w:tcW w:w="546" w:type="pct"/>
            <w:shd w:val="clear" w:color="auto" w:fill="auto"/>
            <w:vAlign w:val="center"/>
          </w:tcPr>
          <w:p w14:paraId="282BA2F3">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6.6.2</w:t>
            </w:r>
          </w:p>
        </w:tc>
        <w:tc>
          <w:tcPr>
            <w:tcW w:w="558" w:type="pct"/>
            <w:shd w:val="clear" w:color="auto" w:fill="auto"/>
            <w:vAlign w:val="center"/>
          </w:tcPr>
          <w:p w14:paraId="2C0AF8BF">
            <w:pPr>
              <w:widowControl/>
              <w:spacing w:line="240" w:lineRule="auto"/>
              <w:ind w:firstLine="0" w:firstLineChars="0"/>
              <w:jc w:val="center"/>
              <w:rPr>
                <w:rFonts w:eastAsia="宋体" w:cs="Times New Roman"/>
                <w:sz w:val="20"/>
                <w:szCs w:val="20"/>
              </w:rPr>
            </w:pPr>
          </w:p>
        </w:tc>
        <w:tc>
          <w:tcPr>
            <w:tcW w:w="390" w:type="pct"/>
            <w:shd w:val="clear" w:color="auto" w:fill="auto"/>
            <w:vAlign w:val="center"/>
          </w:tcPr>
          <w:p w14:paraId="49C9E020">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1.5</w:t>
            </w:r>
          </w:p>
        </w:tc>
      </w:tr>
      <w:tr w14:paraId="4AE98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35" w:type="pct"/>
            <w:vMerge w:val="continue"/>
            <w:shd w:val="clear" w:color="auto" w:fill="auto"/>
            <w:vAlign w:val="center"/>
          </w:tcPr>
          <w:p w14:paraId="5B8FCF0E">
            <w:pPr>
              <w:widowControl/>
              <w:spacing w:line="240" w:lineRule="auto"/>
              <w:ind w:firstLine="0" w:firstLineChars="0"/>
              <w:jc w:val="center"/>
              <w:rPr>
                <w:rFonts w:eastAsia="仿宋" w:cs="Times New Roman"/>
                <w:sz w:val="20"/>
                <w:szCs w:val="20"/>
              </w:rPr>
            </w:pPr>
          </w:p>
        </w:tc>
        <w:tc>
          <w:tcPr>
            <w:tcW w:w="514" w:type="pct"/>
            <w:vMerge w:val="continue"/>
            <w:shd w:val="clear" w:color="auto" w:fill="auto"/>
            <w:vAlign w:val="center"/>
          </w:tcPr>
          <w:p w14:paraId="47660CC2">
            <w:pPr>
              <w:widowControl/>
              <w:spacing w:line="240" w:lineRule="auto"/>
              <w:ind w:firstLine="0" w:firstLineChars="0"/>
              <w:jc w:val="left"/>
              <w:rPr>
                <w:rFonts w:eastAsia="仿宋" w:cs="Times New Roman"/>
                <w:sz w:val="20"/>
                <w:szCs w:val="20"/>
              </w:rPr>
            </w:pPr>
          </w:p>
        </w:tc>
        <w:tc>
          <w:tcPr>
            <w:tcW w:w="708" w:type="pct"/>
            <w:shd w:val="clear" w:color="auto" w:fill="auto"/>
            <w:vAlign w:val="center"/>
          </w:tcPr>
          <w:p w14:paraId="557F878D">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M.11.2.2 数据中心节能改造</w:t>
            </w:r>
          </w:p>
        </w:tc>
        <w:tc>
          <w:tcPr>
            <w:tcW w:w="1723" w:type="pct"/>
            <w:shd w:val="clear" w:color="auto" w:fill="auto"/>
            <w:vAlign w:val="center"/>
          </w:tcPr>
          <w:p w14:paraId="57C1DBFF">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包括数据中心的供配电系统、制冷系统、运行控制系统、其他辅助系统等的节能改造。</w:t>
            </w:r>
          </w:p>
        </w:tc>
        <w:tc>
          <w:tcPr>
            <w:tcW w:w="224" w:type="pct"/>
            <w:shd w:val="clear" w:color="auto" w:fill="auto"/>
            <w:vAlign w:val="center"/>
          </w:tcPr>
          <w:p w14:paraId="1352C209">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II</w:t>
            </w:r>
          </w:p>
        </w:tc>
        <w:tc>
          <w:tcPr>
            <w:tcW w:w="546" w:type="pct"/>
            <w:shd w:val="clear" w:color="auto" w:fill="auto"/>
            <w:vAlign w:val="center"/>
          </w:tcPr>
          <w:p w14:paraId="713DF1EB">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6.6.3</w:t>
            </w:r>
          </w:p>
        </w:tc>
        <w:tc>
          <w:tcPr>
            <w:tcW w:w="558" w:type="pct"/>
            <w:shd w:val="clear" w:color="auto" w:fill="auto"/>
            <w:vAlign w:val="center"/>
          </w:tcPr>
          <w:p w14:paraId="7637BFF1">
            <w:pPr>
              <w:widowControl/>
              <w:spacing w:line="240" w:lineRule="auto"/>
              <w:ind w:firstLine="0" w:firstLineChars="0"/>
              <w:jc w:val="center"/>
              <w:rPr>
                <w:rFonts w:eastAsia="宋体" w:cs="Times New Roman"/>
                <w:sz w:val="20"/>
                <w:szCs w:val="20"/>
              </w:rPr>
            </w:pPr>
          </w:p>
        </w:tc>
        <w:tc>
          <w:tcPr>
            <w:tcW w:w="390" w:type="pct"/>
            <w:shd w:val="clear" w:color="auto" w:fill="auto"/>
            <w:vAlign w:val="center"/>
          </w:tcPr>
          <w:p w14:paraId="7E7D2583">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1.5</w:t>
            </w:r>
          </w:p>
        </w:tc>
      </w:tr>
      <w:tr w14:paraId="0811E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35" w:type="pct"/>
            <w:vMerge w:val="continue"/>
            <w:shd w:val="clear" w:color="auto" w:fill="auto"/>
            <w:vAlign w:val="center"/>
          </w:tcPr>
          <w:p w14:paraId="15F04BBB">
            <w:pPr>
              <w:widowControl/>
              <w:spacing w:line="240" w:lineRule="auto"/>
              <w:ind w:firstLine="0" w:firstLineChars="0"/>
              <w:jc w:val="center"/>
              <w:rPr>
                <w:rFonts w:eastAsia="仿宋" w:cs="Times New Roman"/>
                <w:sz w:val="20"/>
                <w:szCs w:val="20"/>
              </w:rPr>
            </w:pPr>
          </w:p>
        </w:tc>
        <w:tc>
          <w:tcPr>
            <w:tcW w:w="514" w:type="pct"/>
            <w:vMerge w:val="continue"/>
            <w:shd w:val="clear" w:color="auto" w:fill="auto"/>
            <w:vAlign w:val="center"/>
          </w:tcPr>
          <w:p w14:paraId="5D17C664">
            <w:pPr>
              <w:widowControl/>
              <w:spacing w:line="240" w:lineRule="auto"/>
              <w:ind w:firstLine="0" w:firstLineChars="0"/>
              <w:jc w:val="left"/>
              <w:rPr>
                <w:rFonts w:eastAsia="仿宋" w:cs="Times New Roman"/>
                <w:sz w:val="20"/>
                <w:szCs w:val="20"/>
              </w:rPr>
            </w:pPr>
          </w:p>
        </w:tc>
        <w:tc>
          <w:tcPr>
            <w:tcW w:w="708" w:type="pct"/>
            <w:shd w:val="clear" w:color="auto" w:fill="auto"/>
            <w:vAlign w:val="center"/>
          </w:tcPr>
          <w:p w14:paraId="79CA86D2">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M.11.2.3 通信网络节能</w:t>
            </w:r>
          </w:p>
        </w:tc>
        <w:tc>
          <w:tcPr>
            <w:tcW w:w="1723" w:type="pct"/>
            <w:shd w:val="clear" w:color="auto" w:fill="auto"/>
            <w:vAlign w:val="center"/>
          </w:tcPr>
          <w:p w14:paraId="1D415E65">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包括通信网络的机房站址、传输系统、交换系统和相关设备等的节能改造。</w:t>
            </w:r>
          </w:p>
        </w:tc>
        <w:tc>
          <w:tcPr>
            <w:tcW w:w="224" w:type="pct"/>
            <w:shd w:val="clear" w:color="auto" w:fill="auto"/>
            <w:vAlign w:val="center"/>
          </w:tcPr>
          <w:p w14:paraId="346A6CBA">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II</w:t>
            </w:r>
          </w:p>
        </w:tc>
        <w:tc>
          <w:tcPr>
            <w:tcW w:w="546" w:type="pct"/>
            <w:shd w:val="clear" w:color="auto" w:fill="auto"/>
            <w:vAlign w:val="center"/>
          </w:tcPr>
          <w:p w14:paraId="0207B856">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6.6.1</w:t>
            </w:r>
          </w:p>
        </w:tc>
        <w:tc>
          <w:tcPr>
            <w:tcW w:w="558" w:type="pct"/>
            <w:shd w:val="clear" w:color="auto" w:fill="auto"/>
            <w:vAlign w:val="center"/>
          </w:tcPr>
          <w:p w14:paraId="14529FE8">
            <w:pPr>
              <w:widowControl/>
              <w:spacing w:line="240" w:lineRule="auto"/>
              <w:ind w:firstLine="0" w:firstLineChars="0"/>
              <w:jc w:val="center"/>
              <w:rPr>
                <w:rFonts w:eastAsia="宋体" w:cs="Times New Roman"/>
                <w:sz w:val="20"/>
                <w:szCs w:val="20"/>
              </w:rPr>
            </w:pPr>
          </w:p>
        </w:tc>
        <w:tc>
          <w:tcPr>
            <w:tcW w:w="390" w:type="pct"/>
            <w:shd w:val="clear" w:color="auto" w:fill="auto"/>
            <w:vAlign w:val="center"/>
          </w:tcPr>
          <w:p w14:paraId="16C4E60F">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1.5</w:t>
            </w:r>
          </w:p>
        </w:tc>
      </w:tr>
    </w:tbl>
    <w:p w14:paraId="0E9DBDD0">
      <w:pPr>
        <w:keepNext w:val="0"/>
        <w:keepLines w:val="0"/>
        <w:pageBreakBefore w:val="0"/>
        <w:widowControl w:val="0"/>
        <w:kinsoku/>
        <w:wordWrap/>
        <w:overflowPunct/>
        <w:topLinePunct w:val="0"/>
        <w:autoSpaceDE/>
        <w:autoSpaceDN/>
        <w:bidi w:val="0"/>
        <w:adjustRightInd/>
        <w:snapToGrid/>
        <w:spacing w:line="480" w:lineRule="exact"/>
        <w:ind w:firstLine="480"/>
        <w:jc w:val="left"/>
        <w:textAlignment w:val="auto"/>
        <w:rPr>
          <w:rFonts w:cs="Times New Roman"/>
          <w:kern w:val="0"/>
          <w:sz w:val="24"/>
          <w:szCs w:val="24"/>
          <w:lang w:bidi="ar"/>
        </w:rPr>
      </w:pPr>
      <w:r>
        <w:rPr>
          <w:rFonts w:cs="Times New Roman"/>
          <w:kern w:val="0"/>
          <w:sz w:val="24"/>
          <w:szCs w:val="24"/>
          <w:lang w:bidi="ar"/>
        </w:rPr>
        <w:t>注：1.Ⅰ类项目为碳减排量无法测量，但却是密云碳减排进程中不可缺少的重要环节的项目；</w:t>
      </w:r>
    </w:p>
    <w:p w14:paraId="40FC5ADD">
      <w:pPr>
        <w:keepNext w:val="0"/>
        <w:keepLines w:val="0"/>
        <w:pageBreakBefore w:val="0"/>
        <w:widowControl w:val="0"/>
        <w:kinsoku/>
        <w:wordWrap/>
        <w:overflowPunct/>
        <w:topLinePunct w:val="0"/>
        <w:autoSpaceDE/>
        <w:autoSpaceDN/>
        <w:bidi w:val="0"/>
        <w:adjustRightInd/>
        <w:snapToGrid/>
        <w:spacing w:line="480" w:lineRule="exact"/>
        <w:ind w:firstLine="480"/>
        <w:jc w:val="left"/>
        <w:textAlignment w:val="auto"/>
        <w:rPr>
          <w:rFonts w:cs="Times New Roman"/>
          <w:kern w:val="0"/>
          <w:sz w:val="24"/>
          <w:szCs w:val="24"/>
        </w:rPr>
      </w:pPr>
      <w:r>
        <w:rPr>
          <w:rFonts w:cs="Times New Roman"/>
          <w:kern w:val="0"/>
          <w:sz w:val="24"/>
          <w:szCs w:val="24"/>
          <w:lang w:bidi="ar"/>
        </w:rPr>
        <w:t>2.Ⅱ类项目为碳减排量可测量的项目；</w:t>
      </w:r>
    </w:p>
    <w:p w14:paraId="7203E874">
      <w:pPr>
        <w:keepNext w:val="0"/>
        <w:keepLines w:val="0"/>
        <w:pageBreakBefore w:val="0"/>
        <w:widowControl w:val="0"/>
        <w:kinsoku/>
        <w:wordWrap/>
        <w:overflowPunct/>
        <w:topLinePunct w:val="0"/>
        <w:autoSpaceDE/>
        <w:autoSpaceDN/>
        <w:bidi w:val="0"/>
        <w:adjustRightInd/>
        <w:snapToGrid/>
        <w:spacing w:line="480" w:lineRule="exact"/>
        <w:ind w:firstLine="480"/>
        <w:jc w:val="left"/>
        <w:textAlignment w:val="auto"/>
        <w:rPr>
          <w:rFonts w:cs="Times New Roman"/>
          <w:kern w:val="0"/>
          <w:sz w:val="24"/>
          <w:szCs w:val="24"/>
        </w:rPr>
      </w:pPr>
      <w:r>
        <w:rPr>
          <w:rFonts w:cs="Times New Roman"/>
          <w:kern w:val="0"/>
          <w:sz w:val="24"/>
          <w:szCs w:val="24"/>
        </w:rPr>
        <w:t>3.Ⅰ/Ⅱ项目类型为建议类型，具体类型判断可根据项目情况进行调整并说明。</w:t>
      </w:r>
    </w:p>
    <w:p w14:paraId="2A710115">
      <w:pPr>
        <w:keepNext w:val="0"/>
        <w:keepLines w:val="0"/>
        <w:pageBreakBefore w:val="0"/>
        <w:widowControl w:val="0"/>
        <w:kinsoku/>
        <w:wordWrap/>
        <w:overflowPunct/>
        <w:topLinePunct w:val="0"/>
        <w:autoSpaceDE/>
        <w:autoSpaceDN/>
        <w:bidi w:val="0"/>
        <w:adjustRightInd/>
        <w:snapToGrid/>
        <w:spacing w:line="480" w:lineRule="exact"/>
        <w:ind w:firstLine="480"/>
        <w:jc w:val="left"/>
        <w:textAlignment w:val="auto"/>
        <w:rPr>
          <w:rFonts w:cs="Times New Roman"/>
          <w:kern w:val="0"/>
          <w:sz w:val="24"/>
          <w:szCs w:val="24"/>
          <w:highlight w:val="yellow"/>
        </w:rPr>
      </w:pPr>
      <w:r>
        <w:rPr>
          <w:rFonts w:cs="Times New Roman"/>
          <w:kern w:val="0"/>
          <w:sz w:val="24"/>
          <w:szCs w:val="24"/>
        </w:rPr>
        <w:t>4.（*）标注的为密云作为生态涵养区重点关注的领域。</w:t>
      </w:r>
    </w:p>
    <w:p w14:paraId="29663B95">
      <w:pPr>
        <w:keepNext w:val="0"/>
        <w:keepLines w:val="0"/>
        <w:pageBreakBefore w:val="0"/>
        <w:widowControl w:val="0"/>
        <w:kinsoku/>
        <w:wordWrap/>
        <w:overflowPunct/>
        <w:topLinePunct w:val="0"/>
        <w:autoSpaceDE/>
        <w:autoSpaceDN/>
        <w:bidi w:val="0"/>
        <w:adjustRightInd/>
        <w:snapToGrid/>
        <w:spacing w:line="480" w:lineRule="exact"/>
        <w:ind w:firstLine="480"/>
        <w:jc w:val="left"/>
        <w:textAlignment w:val="auto"/>
        <w:rPr>
          <w:rFonts w:cs="Times New Roman"/>
          <w:kern w:val="0"/>
          <w:sz w:val="24"/>
          <w:szCs w:val="24"/>
        </w:rPr>
      </w:pPr>
      <w:r>
        <w:rPr>
          <w:rFonts w:cs="Times New Roman"/>
          <w:kern w:val="0"/>
          <w:sz w:val="24"/>
          <w:szCs w:val="24"/>
        </w:rPr>
        <w:t>5.部分项目分类为密云区特色产业项目类别，或为《气候投融资项目分类指南》中类别，不存在与《绿色低碳转型产业指导目录（2024年版）》或《绿色债券支持项目目录（2021年版）》或《绿色融资统计（2020年版）》对应关系。</w:t>
      </w:r>
    </w:p>
    <w:p w14:paraId="245367F4">
      <w:pPr>
        <w:ind w:firstLine="480"/>
        <w:jc w:val="left"/>
        <w:rPr>
          <w:rFonts w:cs="Times New Roman"/>
          <w:kern w:val="0"/>
          <w:sz w:val="24"/>
          <w:szCs w:val="24"/>
        </w:rPr>
        <w:sectPr>
          <w:footerReference r:id="rId13" w:type="default"/>
          <w:pgSz w:w="16838" w:h="11906" w:orient="landscape"/>
          <w:pgMar w:top="1689" w:right="1440" w:bottom="1576" w:left="1440" w:header="851" w:footer="992" w:gutter="0"/>
          <w:pgNumType w:fmt="numberInDash"/>
          <w:cols w:space="425" w:num="1"/>
          <w:docGrid w:type="lines" w:linePitch="312" w:charSpace="0"/>
        </w:sectPr>
      </w:pPr>
    </w:p>
    <w:p w14:paraId="05DB451F">
      <w:pPr>
        <w:ind w:firstLine="643"/>
        <w:rPr>
          <w:rFonts w:hint="eastAsia" w:ascii="仿宋_GB2312" w:hAnsi="仿宋_GB2312" w:eastAsia="仿宋_GB2312" w:cs="仿宋_GB2312"/>
          <w:b/>
          <w:bCs/>
        </w:rPr>
      </w:pPr>
      <w:r>
        <w:rPr>
          <w:rFonts w:hint="eastAsia" w:ascii="仿宋_GB2312" w:hAnsi="仿宋_GB2312" w:eastAsia="仿宋_GB2312" w:cs="仿宋_GB2312"/>
          <w:b/>
          <w:bCs/>
        </w:rPr>
        <w:t>附件1-2适应气候变化类项目</w:t>
      </w:r>
    </w:p>
    <w:tbl>
      <w:tblPr>
        <w:tblStyle w:val="15"/>
        <w:tblW w:w="4996" w:type="pct"/>
        <w:tblInd w:w="0" w:type="dxa"/>
        <w:tblLayout w:type="fixed"/>
        <w:tblCellMar>
          <w:top w:w="0" w:type="dxa"/>
          <w:left w:w="108" w:type="dxa"/>
          <w:bottom w:w="0" w:type="dxa"/>
          <w:right w:w="108" w:type="dxa"/>
        </w:tblCellMar>
      </w:tblPr>
      <w:tblGrid>
        <w:gridCol w:w="1281"/>
        <w:gridCol w:w="1474"/>
        <w:gridCol w:w="1904"/>
        <w:gridCol w:w="6159"/>
        <w:gridCol w:w="1219"/>
        <w:gridCol w:w="1147"/>
        <w:gridCol w:w="978"/>
      </w:tblGrid>
      <w:tr w14:paraId="691A2396">
        <w:tblPrEx>
          <w:tblCellMar>
            <w:top w:w="0" w:type="dxa"/>
            <w:left w:w="108" w:type="dxa"/>
            <w:bottom w:w="0" w:type="dxa"/>
            <w:right w:w="108" w:type="dxa"/>
          </w:tblCellMar>
        </w:tblPrEx>
        <w:trPr>
          <w:cantSplit/>
          <w:trHeight w:val="760" w:hRule="atLeast"/>
          <w:tblHeader/>
        </w:trPr>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CC37AA">
            <w:pPr>
              <w:widowControl/>
              <w:spacing w:line="240" w:lineRule="auto"/>
              <w:ind w:firstLine="0" w:firstLineChars="0"/>
              <w:jc w:val="center"/>
              <w:textAlignment w:val="center"/>
              <w:rPr>
                <w:rFonts w:eastAsia="仿宋" w:cs="Times New Roman"/>
                <w:b/>
                <w:bCs/>
                <w:sz w:val="20"/>
                <w:szCs w:val="20"/>
              </w:rPr>
            </w:pPr>
            <w:r>
              <w:rPr>
                <w:rFonts w:eastAsia="仿宋" w:cs="Times New Roman"/>
                <w:b/>
                <w:bCs/>
                <w:kern w:val="0"/>
                <w:sz w:val="20"/>
                <w:szCs w:val="20"/>
                <w:lang w:bidi="ar"/>
              </w:rPr>
              <w:t>一级分类</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69D5A9">
            <w:pPr>
              <w:widowControl/>
              <w:spacing w:line="240" w:lineRule="auto"/>
              <w:ind w:firstLine="0" w:firstLineChars="0"/>
              <w:jc w:val="center"/>
              <w:textAlignment w:val="center"/>
              <w:rPr>
                <w:rFonts w:eastAsia="仿宋" w:cs="Times New Roman"/>
                <w:b/>
                <w:bCs/>
                <w:sz w:val="20"/>
                <w:szCs w:val="20"/>
              </w:rPr>
            </w:pPr>
            <w:r>
              <w:rPr>
                <w:rFonts w:eastAsia="仿宋" w:cs="Times New Roman"/>
                <w:b/>
                <w:bCs/>
                <w:kern w:val="0"/>
                <w:sz w:val="20"/>
                <w:szCs w:val="20"/>
                <w:lang w:bidi="ar"/>
              </w:rPr>
              <w:t>二级分类</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854333">
            <w:pPr>
              <w:widowControl/>
              <w:spacing w:line="240" w:lineRule="auto"/>
              <w:ind w:firstLine="0" w:firstLineChars="0"/>
              <w:jc w:val="center"/>
              <w:textAlignment w:val="center"/>
              <w:rPr>
                <w:rFonts w:eastAsia="仿宋" w:cs="Times New Roman"/>
                <w:b/>
                <w:bCs/>
                <w:sz w:val="20"/>
                <w:szCs w:val="20"/>
              </w:rPr>
            </w:pPr>
            <w:r>
              <w:rPr>
                <w:rFonts w:eastAsia="仿宋" w:cs="Times New Roman"/>
                <w:b/>
                <w:bCs/>
                <w:kern w:val="0"/>
                <w:sz w:val="20"/>
                <w:szCs w:val="20"/>
                <w:lang w:bidi="ar"/>
              </w:rPr>
              <w:t>三级分类</w:t>
            </w:r>
          </w:p>
        </w:tc>
        <w:tc>
          <w:tcPr>
            <w:tcW w:w="21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6381A9">
            <w:pPr>
              <w:widowControl/>
              <w:spacing w:line="240" w:lineRule="auto"/>
              <w:ind w:firstLine="0" w:firstLineChars="0"/>
              <w:jc w:val="center"/>
              <w:textAlignment w:val="center"/>
              <w:rPr>
                <w:rFonts w:eastAsia="仿宋" w:cs="Times New Roman"/>
                <w:b/>
                <w:bCs/>
                <w:sz w:val="20"/>
                <w:szCs w:val="20"/>
              </w:rPr>
            </w:pPr>
            <w:r>
              <w:rPr>
                <w:rFonts w:eastAsia="仿宋" w:cs="Times New Roman"/>
                <w:b/>
                <w:bCs/>
                <w:kern w:val="0"/>
                <w:sz w:val="20"/>
                <w:szCs w:val="20"/>
                <w:lang w:bidi="ar"/>
              </w:rPr>
              <w:t>解释说明</w:t>
            </w:r>
          </w:p>
        </w:tc>
        <w:tc>
          <w:tcPr>
            <w:tcW w:w="430" w:type="pct"/>
            <w:tcBorders>
              <w:top w:val="single" w:color="000000" w:sz="4" w:space="0"/>
              <w:left w:val="single" w:color="000000" w:sz="4" w:space="0"/>
              <w:bottom w:val="single" w:color="000000" w:sz="4" w:space="0"/>
              <w:right w:val="nil"/>
            </w:tcBorders>
            <w:shd w:val="clear" w:color="auto" w:fill="auto"/>
            <w:vAlign w:val="center"/>
          </w:tcPr>
          <w:p w14:paraId="45D73677">
            <w:pPr>
              <w:widowControl/>
              <w:spacing w:line="240" w:lineRule="auto"/>
              <w:ind w:firstLine="0" w:firstLineChars="0"/>
              <w:jc w:val="center"/>
              <w:textAlignment w:val="center"/>
              <w:rPr>
                <w:rFonts w:eastAsia="仿宋" w:cs="Times New Roman"/>
                <w:b/>
                <w:bCs/>
                <w:sz w:val="20"/>
                <w:szCs w:val="20"/>
              </w:rPr>
            </w:pPr>
            <w:r>
              <w:rPr>
                <w:rFonts w:eastAsia="仿宋" w:cs="Times New Roman"/>
                <w:b/>
                <w:bCs/>
                <w:kern w:val="0"/>
                <w:sz w:val="20"/>
                <w:szCs w:val="20"/>
                <w:lang w:bidi="ar"/>
              </w:rPr>
              <w:t>绿色低碳转型产业指导目录（2024 年版）</w:t>
            </w:r>
          </w:p>
        </w:tc>
        <w:tc>
          <w:tcPr>
            <w:tcW w:w="405" w:type="pct"/>
            <w:tcBorders>
              <w:top w:val="single" w:color="000000" w:sz="4" w:space="0"/>
              <w:left w:val="single" w:color="000000" w:sz="4" w:space="0"/>
              <w:bottom w:val="single" w:color="000000" w:sz="4" w:space="0"/>
              <w:right w:val="nil"/>
            </w:tcBorders>
            <w:shd w:val="clear" w:color="auto" w:fill="auto"/>
            <w:vAlign w:val="center"/>
          </w:tcPr>
          <w:p w14:paraId="445685A7">
            <w:pPr>
              <w:widowControl/>
              <w:spacing w:line="240" w:lineRule="auto"/>
              <w:ind w:firstLine="0" w:firstLineChars="0"/>
              <w:jc w:val="center"/>
              <w:textAlignment w:val="center"/>
              <w:rPr>
                <w:rFonts w:eastAsia="仿宋" w:cs="Times New Roman"/>
                <w:b/>
                <w:bCs/>
                <w:sz w:val="20"/>
                <w:szCs w:val="20"/>
              </w:rPr>
            </w:pPr>
            <w:r>
              <w:rPr>
                <w:rFonts w:eastAsia="仿宋" w:cs="Times New Roman"/>
                <w:b/>
                <w:bCs/>
                <w:kern w:val="0"/>
                <w:sz w:val="20"/>
                <w:szCs w:val="20"/>
                <w:lang w:bidi="ar"/>
              </w:rPr>
              <w:t>绿色债券支持项目目录（2021年版）</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72C9E1">
            <w:pPr>
              <w:widowControl/>
              <w:spacing w:line="240" w:lineRule="auto"/>
              <w:ind w:firstLine="0" w:firstLineChars="0"/>
              <w:jc w:val="center"/>
              <w:textAlignment w:val="center"/>
              <w:rPr>
                <w:rFonts w:eastAsia="仿宋" w:cs="Times New Roman"/>
                <w:b/>
                <w:bCs/>
                <w:sz w:val="20"/>
                <w:szCs w:val="20"/>
              </w:rPr>
            </w:pPr>
            <w:r>
              <w:rPr>
                <w:rFonts w:eastAsia="仿宋" w:cs="Times New Roman"/>
                <w:b/>
                <w:bCs/>
                <w:kern w:val="0"/>
                <w:sz w:val="20"/>
                <w:szCs w:val="20"/>
                <w:lang w:bidi="ar"/>
              </w:rPr>
              <w:t>绿色融资统计(2020年版)</w:t>
            </w:r>
          </w:p>
        </w:tc>
      </w:tr>
      <w:tr w14:paraId="1879C1ED">
        <w:tblPrEx>
          <w:tblCellMar>
            <w:top w:w="0" w:type="dxa"/>
            <w:left w:w="108" w:type="dxa"/>
            <w:bottom w:w="0" w:type="dxa"/>
            <w:right w:w="108" w:type="dxa"/>
          </w:tblCellMar>
        </w:tblPrEx>
        <w:trPr>
          <w:trHeight w:val="90" w:hRule="atLeast"/>
        </w:trPr>
        <w:tc>
          <w:tcPr>
            <w:tcW w:w="4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0BC71D">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A.1 气候变化监测预警和风险管理类项目</w:t>
            </w:r>
          </w:p>
        </w:tc>
        <w:tc>
          <w:tcPr>
            <w:tcW w:w="52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B31273">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A.1.1 完善气候变化观测网络</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EE49FD">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A.1.1.1 大气圈观测网络建设和运营</w:t>
            </w:r>
          </w:p>
        </w:tc>
        <w:tc>
          <w:tcPr>
            <w:tcW w:w="2173" w:type="pct"/>
            <w:tcBorders>
              <w:top w:val="single" w:color="000000" w:sz="4" w:space="0"/>
              <w:left w:val="single" w:color="000000" w:sz="4" w:space="0"/>
              <w:bottom w:val="single" w:color="000000" w:sz="4" w:space="0"/>
              <w:right w:val="nil"/>
            </w:tcBorders>
            <w:shd w:val="clear" w:color="auto" w:fill="auto"/>
            <w:vAlign w:val="center"/>
          </w:tcPr>
          <w:p w14:paraId="3B1E11DF">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包括大气圈观测、气候观测系统的建设和运营；卫星、雷达为主的观测设备和“地空天”协同观测技术的应用；开展基准辐射观测、大气本底观测、臭氧立体监测、温室气体及碳监测等。</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52F6E1">
            <w:pPr>
              <w:spacing w:line="240" w:lineRule="auto"/>
              <w:ind w:firstLine="0" w:firstLineChars="0"/>
              <w:jc w:val="center"/>
              <w:rPr>
                <w:rFonts w:eastAsia="宋体" w:cs="Times New Roman"/>
                <w:sz w:val="20"/>
                <w:szCs w:val="20"/>
              </w:rPr>
            </w:pP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3E8BF8">
            <w:pPr>
              <w:spacing w:line="240" w:lineRule="auto"/>
              <w:ind w:firstLine="0" w:firstLineChars="0"/>
              <w:jc w:val="center"/>
              <w:rPr>
                <w:rFonts w:eastAsia="宋体" w:cs="Times New Roman"/>
                <w:sz w:val="20"/>
                <w:szCs w:val="20"/>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47E492">
            <w:pPr>
              <w:spacing w:line="240" w:lineRule="auto"/>
              <w:ind w:firstLine="0" w:firstLineChars="0"/>
              <w:jc w:val="center"/>
              <w:rPr>
                <w:rFonts w:eastAsia="宋体" w:cs="Times New Roman"/>
                <w:sz w:val="20"/>
                <w:szCs w:val="20"/>
              </w:rPr>
            </w:pPr>
          </w:p>
        </w:tc>
      </w:tr>
      <w:tr w14:paraId="652FD238">
        <w:tblPrEx>
          <w:tblCellMar>
            <w:top w:w="0" w:type="dxa"/>
            <w:left w:w="108" w:type="dxa"/>
            <w:bottom w:w="0" w:type="dxa"/>
            <w:right w:w="108" w:type="dxa"/>
          </w:tblCellMar>
        </w:tblPrEx>
        <w:trPr>
          <w:trHeight w:val="761" w:hRule="atLeast"/>
        </w:trPr>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FD6E5A">
            <w:pPr>
              <w:spacing w:line="240" w:lineRule="auto"/>
              <w:ind w:firstLine="0" w:firstLineChars="0"/>
              <w:jc w:val="left"/>
              <w:rPr>
                <w:rFonts w:eastAsia="仿宋" w:cs="Times New Roman"/>
                <w:sz w:val="20"/>
                <w:szCs w:val="20"/>
              </w:rPr>
            </w:pPr>
          </w:p>
        </w:tc>
        <w:tc>
          <w:tcPr>
            <w:tcW w:w="5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0F6612">
            <w:pPr>
              <w:spacing w:line="240" w:lineRule="auto"/>
              <w:ind w:firstLine="0" w:firstLineChars="0"/>
              <w:jc w:val="left"/>
              <w:rPr>
                <w:rFonts w:eastAsia="仿宋" w:cs="Times New Roman"/>
                <w:sz w:val="20"/>
                <w:szCs w:val="20"/>
              </w:rPr>
            </w:pP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D233C9">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A.1.1.2 多圈层观测网络建设和运营</w:t>
            </w:r>
          </w:p>
        </w:tc>
        <w:tc>
          <w:tcPr>
            <w:tcW w:w="2173" w:type="pct"/>
            <w:tcBorders>
              <w:top w:val="single" w:color="000000" w:sz="4" w:space="0"/>
              <w:left w:val="single" w:color="000000" w:sz="4" w:space="0"/>
              <w:bottom w:val="single" w:color="000000" w:sz="4" w:space="0"/>
              <w:right w:val="nil"/>
            </w:tcBorders>
            <w:shd w:val="clear" w:color="auto" w:fill="auto"/>
            <w:vAlign w:val="center"/>
          </w:tcPr>
          <w:p w14:paraId="5643F996">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包括生态系统观测、人类活动排放观测、下垫面变化以及重要人工生态系统变化等的观测。</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6C4DE2">
            <w:pPr>
              <w:spacing w:line="240" w:lineRule="auto"/>
              <w:ind w:firstLine="0" w:firstLineChars="0"/>
              <w:jc w:val="center"/>
              <w:rPr>
                <w:rFonts w:eastAsia="宋体" w:cs="Times New Roman"/>
                <w:sz w:val="20"/>
                <w:szCs w:val="20"/>
              </w:rPr>
            </w:pP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668F65">
            <w:pPr>
              <w:spacing w:line="240" w:lineRule="auto"/>
              <w:ind w:firstLine="0" w:firstLineChars="0"/>
              <w:jc w:val="center"/>
              <w:rPr>
                <w:rFonts w:eastAsia="宋体" w:cs="Times New Roman"/>
                <w:sz w:val="20"/>
                <w:szCs w:val="20"/>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91B397">
            <w:pPr>
              <w:spacing w:line="240" w:lineRule="auto"/>
              <w:ind w:firstLine="0" w:firstLineChars="0"/>
              <w:jc w:val="center"/>
              <w:rPr>
                <w:rFonts w:eastAsia="宋体" w:cs="Times New Roman"/>
                <w:sz w:val="20"/>
                <w:szCs w:val="20"/>
              </w:rPr>
            </w:pPr>
          </w:p>
        </w:tc>
      </w:tr>
      <w:tr w14:paraId="777679F9">
        <w:tblPrEx>
          <w:tblCellMar>
            <w:top w:w="0" w:type="dxa"/>
            <w:left w:w="108" w:type="dxa"/>
            <w:bottom w:w="0" w:type="dxa"/>
            <w:right w:w="108" w:type="dxa"/>
          </w:tblCellMar>
        </w:tblPrEx>
        <w:trPr>
          <w:trHeight w:val="720" w:hRule="atLeast"/>
        </w:trPr>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5FC9BC">
            <w:pPr>
              <w:spacing w:line="240" w:lineRule="auto"/>
              <w:ind w:firstLine="0" w:firstLineChars="0"/>
              <w:jc w:val="left"/>
              <w:rPr>
                <w:rFonts w:eastAsia="仿宋" w:cs="Times New Roman"/>
                <w:sz w:val="20"/>
                <w:szCs w:val="20"/>
              </w:rPr>
            </w:pPr>
          </w:p>
        </w:tc>
        <w:tc>
          <w:tcPr>
            <w:tcW w:w="52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687F8F">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A.1.2 强化气候变化监测预测预警</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EBF599">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A.1.2.1 气候系统监测分析项目</w:t>
            </w:r>
          </w:p>
        </w:tc>
        <w:tc>
          <w:tcPr>
            <w:tcW w:w="2173" w:type="pct"/>
            <w:tcBorders>
              <w:top w:val="single" w:color="000000" w:sz="4" w:space="0"/>
              <w:left w:val="single" w:color="000000" w:sz="4" w:space="0"/>
              <w:bottom w:val="single" w:color="000000" w:sz="4" w:space="0"/>
              <w:right w:val="nil"/>
            </w:tcBorders>
            <w:shd w:val="clear" w:color="auto" w:fill="auto"/>
            <w:vAlign w:val="center"/>
          </w:tcPr>
          <w:p w14:paraId="7999A940">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包括多圈层多源观测、定量化监测项目，区域气候变化监测项目，气候系统变化事实和主要天气气候事件全过程监测项目等。</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D5FBA2">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6.4.9</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BADF67">
            <w:pPr>
              <w:spacing w:line="240" w:lineRule="auto"/>
              <w:ind w:firstLine="0" w:firstLineChars="0"/>
              <w:jc w:val="center"/>
              <w:rPr>
                <w:rFonts w:eastAsia="宋体" w:cs="Times New Roman"/>
                <w:sz w:val="20"/>
                <w:szCs w:val="20"/>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5C77A4">
            <w:pPr>
              <w:spacing w:line="240" w:lineRule="auto"/>
              <w:ind w:firstLine="0" w:firstLineChars="0"/>
              <w:jc w:val="center"/>
              <w:rPr>
                <w:rFonts w:eastAsia="宋体" w:cs="Times New Roman"/>
                <w:sz w:val="20"/>
                <w:szCs w:val="20"/>
              </w:rPr>
            </w:pPr>
          </w:p>
        </w:tc>
      </w:tr>
      <w:tr w14:paraId="29BDD9A4">
        <w:tblPrEx>
          <w:tblCellMar>
            <w:top w:w="0" w:type="dxa"/>
            <w:left w:w="108" w:type="dxa"/>
            <w:bottom w:w="0" w:type="dxa"/>
            <w:right w:w="108" w:type="dxa"/>
          </w:tblCellMar>
        </w:tblPrEx>
        <w:trPr>
          <w:trHeight w:val="580" w:hRule="atLeast"/>
        </w:trPr>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575B00">
            <w:pPr>
              <w:spacing w:line="240" w:lineRule="auto"/>
              <w:ind w:firstLine="0" w:firstLineChars="0"/>
              <w:jc w:val="left"/>
              <w:rPr>
                <w:rFonts w:eastAsia="仿宋" w:cs="Times New Roman"/>
                <w:sz w:val="20"/>
                <w:szCs w:val="20"/>
              </w:rPr>
            </w:pPr>
          </w:p>
        </w:tc>
        <w:tc>
          <w:tcPr>
            <w:tcW w:w="5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BAEBB0">
            <w:pPr>
              <w:spacing w:line="240" w:lineRule="auto"/>
              <w:ind w:firstLine="0" w:firstLineChars="0"/>
              <w:jc w:val="left"/>
              <w:rPr>
                <w:rFonts w:eastAsia="仿宋" w:cs="Times New Roman"/>
                <w:sz w:val="20"/>
                <w:szCs w:val="20"/>
              </w:rPr>
            </w:pP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519BF6">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A.1.2.2 气候变化预报预测项目</w:t>
            </w:r>
          </w:p>
        </w:tc>
        <w:tc>
          <w:tcPr>
            <w:tcW w:w="2173" w:type="pct"/>
            <w:tcBorders>
              <w:top w:val="single" w:color="000000" w:sz="4" w:space="0"/>
              <w:left w:val="single" w:color="000000" w:sz="4" w:space="0"/>
              <w:bottom w:val="single" w:color="000000" w:sz="4" w:space="0"/>
              <w:right w:val="nil"/>
            </w:tcBorders>
            <w:shd w:val="clear" w:color="auto" w:fill="auto"/>
            <w:vAlign w:val="center"/>
          </w:tcPr>
          <w:p w14:paraId="4E851EA0">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包括天气气候一体化数值预报系统、精细化网格预报预测等项目。</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C4F4A6">
            <w:pPr>
              <w:spacing w:line="240" w:lineRule="auto"/>
              <w:ind w:firstLine="0" w:firstLineChars="0"/>
              <w:jc w:val="center"/>
              <w:rPr>
                <w:rFonts w:eastAsia="宋体" w:cs="Times New Roman"/>
                <w:sz w:val="20"/>
                <w:szCs w:val="20"/>
              </w:rPr>
            </w:pP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3F3238">
            <w:pPr>
              <w:spacing w:line="240" w:lineRule="auto"/>
              <w:ind w:firstLine="0" w:firstLineChars="0"/>
              <w:jc w:val="center"/>
              <w:rPr>
                <w:rFonts w:eastAsia="宋体" w:cs="Times New Roman"/>
                <w:sz w:val="20"/>
                <w:szCs w:val="20"/>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41B97B">
            <w:pPr>
              <w:spacing w:line="240" w:lineRule="auto"/>
              <w:ind w:firstLine="0" w:firstLineChars="0"/>
              <w:jc w:val="center"/>
              <w:rPr>
                <w:rFonts w:eastAsia="宋体" w:cs="Times New Roman"/>
                <w:sz w:val="20"/>
                <w:szCs w:val="20"/>
              </w:rPr>
            </w:pPr>
          </w:p>
        </w:tc>
      </w:tr>
      <w:tr w14:paraId="28850F2F">
        <w:tblPrEx>
          <w:tblCellMar>
            <w:top w:w="0" w:type="dxa"/>
            <w:left w:w="108" w:type="dxa"/>
            <w:bottom w:w="0" w:type="dxa"/>
            <w:right w:w="108" w:type="dxa"/>
          </w:tblCellMar>
        </w:tblPrEx>
        <w:trPr>
          <w:trHeight w:val="920" w:hRule="atLeast"/>
        </w:trPr>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BFFA4C">
            <w:pPr>
              <w:spacing w:line="240" w:lineRule="auto"/>
              <w:ind w:firstLine="0" w:firstLineChars="0"/>
              <w:jc w:val="left"/>
              <w:rPr>
                <w:rFonts w:eastAsia="仿宋" w:cs="Times New Roman"/>
                <w:sz w:val="20"/>
                <w:szCs w:val="20"/>
              </w:rPr>
            </w:pPr>
          </w:p>
        </w:tc>
        <w:tc>
          <w:tcPr>
            <w:tcW w:w="5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2C4D13">
            <w:pPr>
              <w:spacing w:line="240" w:lineRule="auto"/>
              <w:ind w:firstLine="0" w:firstLineChars="0"/>
              <w:jc w:val="left"/>
              <w:rPr>
                <w:rFonts w:eastAsia="仿宋" w:cs="Times New Roman"/>
                <w:sz w:val="20"/>
                <w:szCs w:val="20"/>
              </w:rPr>
            </w:pP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66748E">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A.1.2.3 极端天气气候事件预警项目</w:t>
            </w:r>
          </w:p>
        </w:tc>
        <w:tc>
          <w:tcPr>
            <w:tcW w:w="2173" w:type="pct"/>
            <w:tcBorders>
              <w:top w:val="single" w:color="000000" w:sz="4" w:space="0"/>
              <w:left w:val="single" w:color="000000" w:sz="4" w:space="0"/>
              <w:bottom w:val="single" w:color="000000" w:sz="4" w:space="0"/>
              <w:right w:val="nil"/>
            </w:tcBorders>
            <w:shd w:val="clear" w:color="auto" w:fill="auto"/>
            <w:vAlign w:val="center"/>
          </w:tcPr>
          <w:p w14:paraId="3A0A7141">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包括重大极端天气气候事件归因分析，极端天气气候事件和复合型灾害预测预警技术，使用气候变化风险早期预警平台、分灾种气象灾害监测预报预警系统等项目。</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272823">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6.4.10</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DA0D51">
            <w:pPr>
              <w:spacing w:line="240" w:lineRule="auto"/>
              <w:ind w:firstLine="0" w:firstLineChars="0"/>
              <w:jc w:val="center"/>
              <w:rPr>
                <w:rFonts w:eastAsia="宋体" w:cs="Times New Roman"/>
                <w:sz w:val="20"/>
                <w:szCs w:val="20"/>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A67C6F">
            <w:pPr>
              <w:spacing w:line="240" w:lineRule="auto"/>
              <w:ind w:firstLine="0" w:firstLineChars="0"/>
              <w:jc w:val="center"/>
              <w:rPr>
                <w:rFonts w:eastAsia="宋体" w:cs="Times New Roman"/>
                <w:sz w:val="20"/>
                <w:szCs w:val="20"/>
              </w:rPr>
            </w:pPr>
          </w:p>
        </w:tc>
      </w:tr>
      <w:tr w14:paraId="7DDD8837">
        <w:tblPrEx>
          <w:tblCellMar>
            <w:top w:w="0" w:type="dxa"/>
            <w:left w:w="108" w:type="dxa"/>
            <w:bottom w:w="0" w:type="dxa"/>
            <w:right w:w="108" w:type="dxa"/>
          </w:tblCellMar>
        </w:tblPrEx>
        <w:trPr>
          <w:trHeight w:val="1197" w:hRule="atLeast"/>
        </w:trPr>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EBF788">
            <w:pPr>
              <w:spacing w:line="240" w:lineRule="auto"/>
              <w:ind w:firstLine="0" w:firstLineChars="0"/>
              <w:jc w:val="left"/>
              <w:rPr>
                <w:rFonts w:eastAsia="仿宋" w:cs="Times New Roman"/>
                <w:sz w:val="20"/>
                <w:szCs w:val="20"/>
              </w:rPr>
            </w:pPr>
          </w:p>
        </w:tc>
        <w:tc>
          <w:tcPr>
            <w:tcW w:w="52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4FCD2B">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A.1.3 加强气候变化影响和风险评估</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78F018">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A.1.3.1 评估技术水平和基础能力建设项目</w:t>
            </w:r>
          </w:p>
        </w:tc>
        <w:tc>
          <w:tcPr>
            <w:tcW w:w="2173" w:type="pct"/>
            <w:tcBorders>
              <w:top w:val="single" w:color="000000" w:sz="4" w:space="0"/>
              <w:left w:val="single" w:color="000000" w:sz="4" w:space="0"/>
              <w:bottom w:val="single" w:color="000000" w:sz="4" w:space="0"/>
              <w:right w:val="nil"/>
            </w:tcBorders>
            <w:shd w:val="clear" w:color="auto" w:fill="auto"/>
            <w:vAlign w:val="center"/>
          </w:tcPr>
          <w:p w14:paraId="7BB4A675">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包括气候变化数据中心，涵盖多圈层及人类活动的大数据共享平台建设，全球百年以上气温、降水等关键气候变量分析产品，以及基于地面观测和卫星遥感的多圈层长时间序列气候数据集。</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F74E80">
            <w:pPr>
              <w:spacing w:line="240" w:lineRule="auto"/>
              <w:ind w:firstLine="0" w:firstLineChars="0"/>
              <w:jc w:val="center"/>
              <w:rPr>
                <w:rFonts w:eastAsia="宋体" w:cs="Times New Roman"/>
                <w:sz w:val="20"/>
                <w:szCs w:val="20"/>
              </w:rPr>
            </w:pP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F47518">
            <w:pPr>
              <w:spacing w:line="240" w:lineRule="auto"/>
              <w:ind w:firstLine="0" w:firstLineChars="0"/>
              <w:jc w:val="center"/>
              <w:rPr>
                <w:rFonts w:eastAsia="宋体" w:cs="Times New Roman"/>
                <w:sz w:val="20"/>
                <w:szCs w:val="20"/>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32A4E4">
            <w:pPr>
              <w:spacing w:line="240" w:lineRule="auto"/>
              <w:ind w:firstLine="0" w:firstLineChars="0"/>
              <w:jc w:val="center"/>
              <w:rPr>
                <w:rFonts w:eastAsia="宋体" w:cs="Times New Roman"/>
                <w:sz w:val="20"/>
                <w:szCs w:val="20"/>
              </w:rPr>
            </w:pPr>
          </w:p>
        </w:tc>
      </w:tr>
      <w:tr w14:paraId="35436F75">
        <w:tblPrEx>
          <w:tblCellMar>
            <w:top w:w="0" w:type="dxa"/>
            <w:left w:w="108" w:type="dxa"/>
            <w:bottom w:w="0" w:type="dxa"/>
            <w:right w:w="108" w:type="dxa"/>
          </w:tblCellMar>
        </w:tblPrEx>
        <w:trPr>
          <w:trHeight w:val="820" w:hRule="atLeast"/>
        </w:trPr>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777A0D">
            <w:pPr>
              <w:spacing w:line="240" w:lineRule="auto"/>
              <w:ind w:firstLine="0" w:firstLineChars="0"/>
              <w:jc w:val="left"/>
              <w:rPr>
                <w:rFonts w:eastAsia="仿宋" w:cs="Times New Roman"/>
                <w:sz w:val="20"/>
                <w:szCs w:val="20"/>
              </w:rPr>
            </w:pPr>
          </w:p>
        </w:tc>
        <w:tc>
          <w:tcPr>
            <w:tcW w:w="5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95E436">
            <w:pPr>
              <w:spacing w:line="240" w:lineRule="auto"/>
              <w:ind w:firstLine="0" w:firstLineChars="0"/>
              <w:jc w:val="left"/>
              <w:rPr>
                <w:rFonts w:eastAsia="仿宋" w:cs="Times New Roman"/>
                <w:sz w:val="20"/>
                <w:szCs w:val="20"/>
              </w:rPr>
            </w:pP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51226F">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A.1.3.2 加强敏感领域和重点区域气候变化影响和风险评估</w:t>
            </w:r>
          </w:p>
        </w:tc>
        <w:tc>
          <w:tcPr>
            <w:tcW w:w="2173" w:type="pct"/>
            <w:tcBorders>
              <w:top w:val="single" w:color="000000" w:sz="4" w:space="0"/>
              <w:left w:val="single" w:color="000000" w:sz="4" w:space="0"/>
              <w:bottom w:val="single" w:color="000000" w:sz="4" w:space="0"/>
              <w:right w:val="nil"/>
            </w:tcBorders>
            <w:shd w:val="clear" w:color="auto" w:fill="auto"/>
            <w:vAlign w:val="center"/>
          </w:tcPr>
          <w:p w14:paraId="3F0D07BA">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指重点领域和气候敏感行业的定量化、动态化气候变化影响和风险评估，包括风能、太阳能等气候资源普查、区划、监测和精细化评估，城市和城市群气候变化风险评估等。</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C8E7D8">
            <w:pPr>
              <w:spacing w:line="240" w:lineRule="auto"/>
              <w:ind w:firstLine="0" w:firstLineChars="0"/>
              <w:jc w:val="center"/>
              <w:rPr>
                <w:rFonts w:eastAsia="宋体" w:cs="Times New Roman"/>
                <w:sz w:val="20"/>
                <w:szCs w:val="20"/>
              </w:rPr>
            </w:pP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3DD91D">
            <w:pPr>
              <w:spacing w:line="240" w:lineRule="auto"/>
              <w:ind w:firstLine="0" w:firstLineChars="0"/>
              <w:jc w:val="center"/>
              <w:rPr>
                <w:rFonts w:eastAsia="宋体" w:cs="Times New Roman"/>
                <w:sz w:val="20"/>
                <w:szCs w:val="20"/>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B09393">
            <w:pPr>
              <w:spacing w:line="240" w:lineRule="auto"/>
              <w:ind w:firstLine="0" w:firstLineChars="0"/>
              <w:jc w:val="center"/>
              <w:rPr>
                <w:rFonts w:eastAsia="宋体" w:cs="Times New Roman"/>
                <w:sz w:val="20"/>
                <w:szCs w:val="20"/>
              </w:rPr>
            </w:pPr>
          </w:p>
        </w:tc>
      </w:tr>
      <w:tr w14:paraId="0EE6A831">
        <w:tblPrEx>
          <w:tblCellMar>
            <w:top w:w="0" w:type="dxa"/>
            <w:left w:w="108" w:type="dxa"/>
            <w:bottom w:w="0" w:type="dxa"/>
            <w:right w:w="108" w:type="dxa"/>
          </w:tblCellMar>
        </w:tblPrEx>
        <w:trPr>
          <w:trHeight w:val="615" w:hRule="atLeast"/>
        </w:trPr>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B1316F">
            <w:pPr>
              <w:spacing w:line="240" w:lineRule="auto"/>
              <w:ind w:firstLine="0" w:firstLineChars="0"/>
              <w:jc w:val="left"/>
              <w:rPr>
                <w:rFonts w:eastAsia="仿宋" w:cs="Times New Roman"/>
                <w:sz w:val="20"/>
                <w:szCs w:val="20"/>
              </w:rPr>
            </w:pPr>
          </w:p>
        </w:tc>
        <w:tc>
          <w:tcPr>
            <w:tcW w:w="52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06E7BB">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A.1.4 强化综合防灾减灾</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023BEE">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A.1.4.1 灾害风险管理</w:t>
            </w:r>
          </w:p>
        </w:tc>
        <w:tc>
          <w:tcPr>
            <w:tcW w:w="2173" w:type="pct"/>
            <w:tcBorders>
              <w:top w:val="single" w:color="000000" w:sz="4" w:space="0"/>
              <w:left w:val="single" w:color="000000" w:sz="4" w:space="0"/>
              <w:bottom w:val="nil"/>
              <w:right w:val="nil"/>
            </w:tcBorders>
            <w:shd w:val="clear" w:color="auto" w:fill="auto"/>
            <w:vAlign w:val="center"/>
          </w:tcPr>
          <w:p w14:paraId="62947E54">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包括全球气候变化对自然灾害孕育、发生、发展及其影响，例如气候变化引起的自然灾害新特点与演变趋势，灾害风险管理和综合减灾理念。</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E60912">
            <w:pPr>
              <w:spacing w:line="240" w:lineRule="auto"/>
              <w:ind w:firstLine="0" w:firstLineChars="0"/>
              <w:jc w:val="center"/>
              <w:rPr>
                <w:rFonts w:eastAsia="宋体" w:cs="Times New Roman"/>
                <w:sz w:val="20"/>
                <w:szCs w:val="20"/>
              </w:rPr>
            </w:pP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DD7B8E">
            <w:pPr>
              <w:spacing w:line="240" w:lineRule="auto"/>
              <w:ind w:firstLine="0" w:firstLineChars="0"/>
              <w:jc w:val="center"/>
              <w:rPr>
                <w:rFonts w:eastAsia="宋体" w:cs="Times New Roman"/>
                <w:sz w:val="20"/>
                <w:szCs w:val="20"/>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BB5E8C">
            <w:pPr>
              <w:spacing w:line="240" w:lineRule="auto"/>
              <w:ind w:firstLine="0" w:firstLineChars="0"/>
              <w:jc w:val="center"/>
              <w:rPr>
                <w:rFonts w:eastAsia="宋体" w:cs="Times New Roman"/>
                <w:sz w:val="20"/>
                <w:szCs w:val="20"/>
              </w:rPr>
            </w:pPr>
          </w:p>
        </w:tc>
      </w:tr>
      <w:tr w14:paraId="2B956083">
        <w:tblPrEx>
          <w:tblCellMar>
            <w:top w:w="0" w:type="dxa"/>
            <w:left w:w="108" w:type="dxa"/>
            <w:bottom w:w="0" w:type="dxa"/>
            <w:right w:w="108" w:type="dxa"/>
          </w:tblCellMar>
        </w:tblPrEx>
        <w:trPr>
          <w:trHeight w:val="630" w:hRule="atLeast"/>
        </w:trPr>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78C886">
            <w:pPr>
              <w:spacing w:line="240" w:lineRule="auto"/>
              <w:ind w:firstLine="0" w:firstLineChars="0"/>
              <w:jc w:val="left"/>
              <w:rPr>
                <w:rFonts w:eastAsia="仿宋" w:cs="Times New Roman"/>
                <w:sz w:val="20"/>
                <w:szCs w:val="20"/>
              </w:rPr>
            </w:pPr>
          </w:p>
        </w:tc>
        <w:tc>
          <w:tcPr>
            <w:tcW w:w="5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9506A2">
            <w:pPr>
              <w:spacing w:line="240" w:lineRule="auto"/>
              <w:ind w:firstLine="0" w:firstLineChars="0"/>
              <w:jc w:val="left"/>
              <w:rPr>
                <w:rFonts w:eastAsia="仿宋" w:cs="Times New Roman"/>
                <w:sz w:val="20"/>
                <w:szCs w:val="20"/>
              </w:rPr>
            </w:pPr>
          </w:p>
        </w:tc>
        <w:tc>
          <w:tcPr>
            <w:tcW w:w="672" w:type="pct"/>
            <w:tcBorders>
              <w:top w:val="single" w:color="000000" w:sz="4" w:space="0"/>
              <w:left w:val="single" w:color="000000" w:sz="4" w:space="0"/>
              <w:bottom w:val="single" w:color="000000" w:sz="4" w:space="0"/>
              <w:right w:val="nil"/>
            </w:tcBorders>
            <w:shd w:val="clear" w:color="auto" w:fill="auto"/>
            <w:vAlign w:val="center"/>
          </w:tcPr>
          <w:p w14:paraId="189ADE72">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A.1.4.2 防范化解重大风险</w:t>
            </w:r>
          </w:p>
        </w:tc>
        <w:tc>
          <w:tcPr>
            <w:tcW w:w="2173" w:type="pct"/>
            <w:tcBorders>
              <w:top w:val="single" w:color="000000" w:sz="4" w:space="0"/>
              <w:left w:val="single" w:color="000000" w:sz="4" w:space="0"/>
              <w:bottom w:val="single" w:color="000000" w:sz="4" w:space="0"/>
              <w:right w:val="nil"/>
            </w:tcBorders>
            <w:shd w:val="clear" w:color="auto" w:fill="auto"/>
            <w:vAlign w:val="center"/>
          </w:tcPr>
          <w:p w14:paraId="73356DA6">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在气候变化影响下，灾害综合风险监测预警和评估，例如常态化灾害隐患排查与周期性综合风险普查，动态风险评估，自然灾害风险区划和综合防治区划。</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9461D3">
            <w:pPr>
              <w:spacing w:line="240" w:lineRule="auto"/>
              <w:ind w:firstLine="0" w:firstLineChars="0"/>
              <w:jc w:val="center"/>
              <w:rPr>
                <w:rFonts w:eastAsia="宋体" w:cs="Times New Roman"/>
                <w:sz w:val="20"/>
                <w:szCs w:val="20"/>
              </w:rPr>
            </w:pP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D1CE1C">
            <w:pPr>
              <w:spacing w:line="240" w:lineRule="auto"/>
              <w:ind w:firstLine="0" w:firstLineChars="0"/>
              <w:jc w:val="center"/>
              <w:rPr>
                <w:rFonts w:eastAsia="宋体" w:cs="Times New Roman"/>
                <w:sz w:val="20"/>
                <w:szCs w:val="20"/>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7AF24B">
            <w:pPr>
              <w:spacing w:line="240" w:lineRule="auto"/>
              <w:ind w:firstLine="0" w:firstLineChars="0"/>
              <w:jc w:val="center"/>
              <w:rPr>
                <w:rFonts w:eastAsia="宋体" w:cs="Times New Roman"/>
                <w:sz w:val="20"/>
                <w:szCs w:val="20"/>
              </w:rPr>
            </w:pPr>
          </w:p>
        </w:tc>
      </w:tr>
      <w:tr w14:paraId="4DCB17A7">
        <w:tblPrEx>
          <w:tblCellMar>
            <w:top w:w="0" w:type="dxa"/>
            <w:left w:w="108" w:type="dxa"/>
            <w:bottom w:w="0" w:type="dxa"/>
            <w:right w:w="108" w:type="dxa"/>
          </w:tblCellMar>
        </w:tblPrEx>
        <w:trPr>
          <w:trHeight w:val="540" w:hRule="atLeast"/>
        </w:trPr>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954C85">
            <w:pPr>
              <w:spacing w:line="240" w:lineRule="auto"/>
              <w:ind w:firstLine="0" w:firstLineChars="0"/>
              <w:jc w:val="left"/>
              <w:rPr>
                <w:rFonts w:eastAsia="仿宋" w:cs="Times New Roman"/>
                <w:sz w:val="20"/>
                <w:szCs w:val="20"/>
              </w:rPr>
            </w:pPr>
          </w:p>
        </w:tc>
        <w:tc>
          <w:tcPr>
            <w:tcW w:w="5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2327FB">
            <w:pPr>
              <w:spacing w:line="240" w:lineRule="auto"/>
              <w:ind w:firstLine="0" w:firstLineChars="0"/>
              <w:jc w:val="left"/>
              <w:rPr>
                <w:rFonts w:eastAsia="仿宋" w:cs="Times New Roman"/>
                <w:sz w:val="20"/>
                <w:szCs w:val="20"/>
              </w:rPr>
            </w:pP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117829">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A.1.4.3 强化自然灾害综合治理</w:t>
            </w:r>
          </w:p>
        </w:tc>
        <w:tc>
          <w:tcPr>
            <w:tcW w:w="2173" w:type="pct"/>
            <w:tcBorders>
              <w:top w:val="nil"/>
              <w:left w:val="single" w:color="000000" w:sz="4" w:space="0"/>
              <w:bottom w:val="single" w:color="000000" w:sz="4" w:space="0"/>
              <w:right w:val="nil"/>
            </w:tcBorders>
            <w:shd w:val="clear" w:color="auto" w:fill="auto"/>
            <w:vAlign w:val="center"/>
          </w:tcPr>
          <w:p w14:paraId="585F78F0">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包括气候灾害加重地区和灾害风险可能发生显著变化区域的综合治理，例如优化重大基础设施空间布局，应用智能化防控技术。</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9D2C49">
            <w:pPr>
              <w:spacing w:line="240" w:lineRule="auto"/>
              <w:ind w:firstLine="0" w:firstLineChars="0"/>
              <w:jc w:val="center"/>
              <w:rPr>
                <w:rFonts w:eastAsia="宋体" w:cs="Times New Roman"/>
                <w:sz w:val="20"/>
                <w:szCs w:val="20"/>
              </w:rPr>
            </w:pP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DF7F2D">
            <w:pPr>
              <w:spacing w:line="240" w:lineRule="auto"/>
              <w:ind w:firstLine="0" w:firstLineChars="0"/>
              <w:jc w:val="center"/>
              <w:rPr>
                <w:rFonts w:eastAsia="宋体" w:cs="Times New Roman"/>
                <w:sz w:val="20"/>
                <w:szCs w:val="20"/>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363F2A">
            <w:pPr>
              <w:spacing w:line="240" w:lineRule="auto"/>
              <w:ind w:firstLine="0" w:firstLineChars="0"/>
              <w:jc w:val="center"/>
              <w:rPr>
                <w:rFonts w:eastAsia="宋体" w:cs="Times New Roman"/>
                <w:sz w:val="20"/>
                <w:szCs w:val="20"/>
              </w:rPr>
            </w:pPr>
          </w:p>
        </w:tc>
      </w:tr>
      <w:tr w14:paraId="59D10637">
        <w:tblPrEx>
          <w:tblCellMar>
            <w:top w:w="0" w:type="dxa"/>
            <w:left w:w="108" w:type="dxa"/>
            <w:bottom w:w="0" w:type="dxa"/>
            <w:right w:w="108" w:type="dxa"/>
          </w:tblCellMar>
        </w:tblPrEx>
        <w:trPr>
          <w:trHeight w:val="620" w:hRule="atLeast"/>
        </w:trPr>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7C3096">
            <w:pPr>
              <w:spacing w:line="240" w:lineRule="auto"/>
              <w:ind w:firstLine="0" w:firstLineChars="0"/>
              <w:jc w:val="left"/>
              <w:rPr>
                <w:rFonts w:eastAsia="仿宋" w:cs="Times New Roman"/>
                <w:sz w:val="20"/>
                <w:szCs w:val="20"/>
              </w:rPr>
            </w:pPr>
          </w:p>
        </w:tc>
        <w:tc>
          <w:tcPr>
            <w:tcW w:w="5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224275">
            <w:pPr>
              <w:spacing w:line="240" w:lineRule="auto"/>
              <w:ind w:firstLine="0" w:firstLineChars="0"/>
              <w:jc w:val="left"/>
              <w:rPr>
                <w:rFonts w:eastAsia="仿宋" w:cs="Times New Roman"/>
                <w:sz w:val="20"/>
                <w:szCs w:val="20"/>
              </w:rPr>
            </w:pP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13873F">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A.1.4.4 强化应急机制和处置力量建设</w:t>
            </w:r>
          </w:p>
        </w:tc>
        <w:tc>
          <w:tcPr>
            <w:tcW w:w="2173" w:type="pct"/>
            <w:tcBorders>
              <w:top w:val="single" w:color="000000" w:sz="4" w:space="0"/>
              <w:left w:val="single" w:color="000000" w:sz="4" w:space="0"/>
              <w:bottom w:val="single" w:color="000000" w:sz="4" w:space="0"/>
              <w:right w:val="nil"/>
            </w:tcBorders>
            <w:shd w:val="clear" w:color="auto" w:fill="auto"/>
            <w:vAlign w:val="center"/>
          </w:tcPr>
          <w:p w14:paraId="4DF67A44">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应急响应机制，实现灾害应急响应救援扁平化、防范救援救灾一体化，例如适用装备配备、新技术应用、极端天气气候事件下综合救援能力。</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2ADC85">
            <w:pPr>
              <w:spacing w:line="240" w:lineRule="auto"/>
              <w:ind w:firstLine="0" w:firstLineChars="0"/>
              <w:jc w:val="center"/>
              <w:rPr>
                <w:rFonts w:eastAsia="宋体" w:cs="Times New Roman"/>
                <w:sz w:val="20"/>
                <w:szCs w:val="20"/>
              </w:rPr>
            </w:pP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32B9B1">
            <w:pPr>
              <w:spacing w:line="240" w:lineRule="auto"/>
              <w:ind w:firstLine="0" w:firstLineChars="0"/>
              <w:jc w:val="center"/>
              <w:rPr>
                <w:rFonts w:eastAsia="宋体" w:cs="Times New Roman"/>
                <w:sz w:val="20"/>
                <w:szCs w:val="20"/>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2C6A70">
            <w:pPr>
              <w:spacing w:line="240" w:lineRule="auto"/>
              <w:ind w:firstLine="0" w:firstLineChars="0"/>
              <w:jc w:val="center"/>
              <w:rPr>
                <w:rFonts w:eastAsia="宋体" w:cs="Times New Roman"/>
                <w:sz w:val="20"/>
                <w:szCs w:val="20"/>
              </w:rPr>
            </w:pPr>
          </w:p>
        </w:tc>
      </w:tr>
      <w:tr w14:paraId="3DE37A21">
        <w:tblPrEx>
          <w:tblCellMar>
            <w:top w:w="0" w:type="dxa"/>
            <w:left w:w="108" w:type="dxa"/>
            <w:bottom w:w="0" w:type="dxa"/>
            <w:right w:w="108" w:type="dxa"/>
          </w:tblCellMar>
        </w:tblPrEx>
        <w:trPr>
          <w:trHeight w:val="1060" w:hRule="atLeast"/>
        </w:trPr>
        <w:tc>
          <w:tcPr>
            <w:tcW w:w="452" w:type="pct"/>
            <w:vMerge w:val="restart"/>
            <w:tcBorders>
              <w:top w:val="single" w:color="000000" w:sz="4" w:space="0"/>
              <w:left w:val="single" w:color="000000" w:sz="4" w:space="0"/>
              <w:bottom w:val="nil"/>
              <w:right w:val="single" w:color="000000" w:sz="4" w:space="0"/>
            </w:tcBorders>
            <w:shd w:val="clear" w:color="auto" w:fill="auto"/>
            <w:vAlign w:val="center"/>
          </w:tcPr>
          <w:p w14:paraId="518C2B94">
            <w:pPr>
              <w:widowControl/>
              <w:spacing w:line="240" w:lineRule="auto"/>
              <w:ind w:firstLine="0" w:firstLineChars="0"/>
              <w:jc w:val="center"/>
              <w:textAlignment w:val="center"/>
              <w:rPr>
                <w:rFonts w:eastAsia="仿宋" w:cs="Times New Roman"/>
                <w:sz w:val="20"/>
                <w:szCs w:val="20"/>
              </w:rPr>
            </w:pPr>
            <w:r>
              <w:rPr>
                <w:rFonts w:eastAsia="仿宋" w:cs="Times New Roman"/>
                <w:kern w:val="0"/>
                <w:sz w:val="20"/>
                <w:szCs w:val="20"/>
                <w:lang w:bidi="ar"/>
              </w:rPr>
              <w:t>A.2 提升自然生态系统适应气候变化能力项目</w:t>
            </w:r>
          </w:p>
        </w:tc>
        <w:tc>
          <w:tcPr>
            <w:tcW w:w="52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D856A9">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A.2.1 水资源</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C525E8">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A.2.1.1 构建水资源及洪涝干旱灾害智能化监测体系</w:t>
            </w:r>
          </w:p>
        </w:tc>
        <w:tc>
          <w:tcPr>
            <w:tcW w:w="2173" w:type="pct"/>
            <w:tcBorders>
              <w:top w:val="single" w:color="000000" w:sz="4" w:space="0"/>
              <w:left w:val="single" w:color="000000" w:sz="4" w:space="0"/>
              <w:bottom w:val="single" w:color="000000" w:sz="4" w:space="0"/>
              <w:right w:val="nil"/>
            </w:tcBorders>
            <w:shd w:val="clear" w:color="auto" w:fill="auto"/>
            <w:vAlign w:val="center"/>
          </w:tcPr>
          <w:p w14:paraId="47424778">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包括密云水库、潮河、白河等重点水环境监测体系建设；国家基本水文站提档升级，新型监测手段的研发推广；数字孪生流域建设，空天地一体化流域全覆盖监测系统建设，冰川、冻土、积雪和水资源涵养区的水文监测体系建设等。</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680AAD">
            <w:pPr>
              <w:spacing w:line="240" w:lineRule="auto"/>
              <w:ind w:firstLine="0" w:firstLineChars="0"/>
              <w:jc w:val="center"/>
              <w:rPr>
                <w:rFonts w:eastAsia="宋体" w:cs="Times New Roman"/>
                <w:sz w:val="20"/>
                <w:szCs w:val="20"/>
              </w:rPr>
            </w:pP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799205">
            <w:pPr>
              <w:spacing w:line="240" w:lineRule="auto"/>
              <w:ind w:firstLine="0" w:firstLineChars="0"/>
              <w:jc w:val="center"/>
              <w:rPr>
                <w:rFonts w:eastAsia="宋体" w:cs="Times New Roman"/>
                <w:sz w:val="20"/>
                <w:szCs w:val="20"/>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7797A6">
            <w:pPr>
              <w:spacing w:line="240" w:lineRule="auto"/>
              <w:ind w:firstLine="0" w:firstLineChars="0"/>
              <w:jc w:val="center"/>
              <w:rPr>
                <w:rFonts w:eastAsia="宋体" w:cs="Times New Roman"/>
                <w:sz w:val="20"/>
                <w:szCs w:val="20"/>
              </w:rPr>
            </w:pPr>
          </w:p>
        </w:tc>
      </w:tr>
      <w:tr w14:paraId="0E51EBD5">
        <w:tblPrEx>
          <w:tblCellMar>
            <w:top w:w="0" w:type="dxa"/>
            <w:left w:w="108" w:type="dxa"/>
            <w:bottom w:w="0" w:type="dxa"/>
            <w:right w:w="108" w:type="dxa"/>
          </w:tblCellMar>
        </w:tblPrEx>
        <w:trPr>
          <w:trHeight w:val="580" w:hRule="atLeast"/>
        </w:trPr>
        <w:tc>
          <w:tcPr>
            <w:tcW w:w="452" w:type="pct"/>
            <w:vMerge w:val="continue"/>
            <w:tcBorders>
              <w:top w:val="single" w:color="000000" w:sz="4" w:space="0"/>
              <w:left w:val="single" w:color="000000" w:sz="4" w:space="0"/>
              <w:bottom w:val="nil"/>
              <w:right w:val="single" w:color="000000" w:sz="4" w:space="0"/>
            </w:tcBorders>
            <w:shd w:val="clear" w:color="auto" w:fill="auto"/>
            <w:vAlign w:val="center"/>
          </w:tcPr>
          <w:p w14:paraId="17554B56">
            <w:pPr>
              <w:spacing w:line="240" w:lineRule="auto"/>
              <w:ind w:firstLine="0" w:firstLineChars="0"/>
              <w:jc w:val="center"/>
              <w:rPr>
                <w:rFonts w:eastAsia="仿宋" w:cs="Times New Roman"/>
                <w:sz w:val="20"/>
                <w:szCs w:val="20"/>
              </w:rPr>
            </w:pPr>
          </w:p>
        </w:tc>
        <w:tc>
          <w:tcPr>
            <w:tcW w:w="5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596C5D">
            <w:pPr>
              <w:spacing w:line="240" w:lineRule="auto"/>
              <w:ind w:firstLine="0" w:firstLineChars="0"/>
              <w:jc w:val="left"/>
              <w:rPr>
                <w:rFonts w:eastAsia="仿宋" w:cs="Times New Roman"/>
                <w:sz w:val="20"/>
                <w:szCs w:val="20"/>
              </w:rPr>
            </w:pP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3E26BF">
            <w:pPr>
              <w:widowControl/>
              <w:spacing w:line="240" w:lineRule="auto"/>
              <w:ind w:firstLine="0" w:firstLineChars="0"/>
              <w:jc w:val="left"/>
              <w:textAlignment w:val="center"/>
              <w:rPr>
                <w:rFonts w:eastAsia="仿宋" w:cs="Times New Roman"/>
                <w:sz w:val="20"/>
                <w:szCs w:val="20"/>
              </w:rPr>
            </w:pPr>
            <w:r>
              <w:rPr>
                <w:rFonts w:eastAsia="仿宋" w:cs="Times New Roman"/>
                <w:b/>
                <w:bCs/>
                <w:kern w:val="0"/>
                <w:sz w:val="20"/>
                <w:szCs w:val="20"/>
                <w:lang w:bidi="ar"/>
              </w:rPr>
              <w:t>A.2.1.2 推进水资源节约利用（*）</w:t>
            </w:r>
          </w:p>
        </w:tc>
        <w:tc>
          <w:tcPr>
            <w:tcW w:w="2173" w:type="pct"/>
            <w:tcBorders>
              <w:top w:val="single" w:color="000000" w:sz="4" w:space="0"/>
              <w:left w:val="single" w:color="000000" w:sz="4" w:space="0"/>
              <w:bottom w:val="single" w:color="000000" w:sz="4" w:space="0"/>
              <w:right w:val="nil"/>
            </w:tcBorders>
            <w:shd w:val="clear" w:color="auto" w:fill="auto"/>
            <w:vAlign w:val="center"/>
          </w:tcPr>
          <w:p w14:paraId="5DCC1291">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包括为了降低供水管网的漏失率而进行的城市供水管网改造、节水控制系统建设项目，水资源综合利用项目，</w:t>
            </w:r>
            <w:r>
              <w:rPr>
                <w:rFonts w:eastAsia="仿宋" w:cs="Times New Roman"/>
                <w:b/>
                <w:bCs/>
                <w:kern w:val="0"/>
                <w:sz w:val="20"/>
                <w:szCs w:val="20"/>
                <w:lang w:bidi="ar"/>
              </w:rPr>
              <w:t>雨水和再生水利用项目</w:t>
            </w:r>
            <w:r>
              <w:rPr>
                <w:rFonts w:eastAsia="仿宋" w:cs="Times New Roman"/>
                <w:kern w:val="0"/>
                <w:sz w:val="20"/>
                <w:szCs w:val="20"/>
                <w:lang w:bidi="ar"/>
              </w:rPr>
              <w:t>，以及其他城市节水项目等。</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363854">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3.2.2；6.4.3</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B76DD9">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1.4.1.2；5.4.1.1</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A47FEE">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5.3.1.1</w:t>
            </w:r>
          </w:p>
        </w:tc>
      </w:tr>
      <w:tr w14:paraId="719FD60F">
        <w:tblPrEx>
          <w:tblCellMar>
            <w:top w:w="0" w:type="dxa"/>
            <w:left w:w="108" w:type="dxa"/>
            <w:bottom w:w="0" w:type="dxa"/>
            <w:right w:w="108" w:type="dxa"/>
          </w:tblCellMar>
        </w:tblPrEx>
        <w:trPr>
          <w:trHeight w:val="580" w:hRule="atLeast"/>
        </w:trPr>
        <w:tc>
          <w:tcPr>
            <w:tcW w:w="452" w:type="pct"/>
            <w:vMerge w:val="continue"/>
            <w:tcBorders>
              <w:top w:val="single" w:color="000000" w:sz="4" w:space="0"/>
              <w:left w:val="single" w:color="000000" w:sz="4" w:space="0"/>
              <w:bottom w:val="nil"/>
              <w:right w:val="single" w:color="000000" w:sz="4" w:space="0"/>
            </w:tcBorders>
            <w:shd w:val="clear" w:color="auto" w:fill="auto"/>
            <w:vAlign w:val="center"/>
          </w:tcPr>
          <w:p w14:paraId="02817541">
            <w:pPr>
              <w:spacing w:line="240" w:lineRule="auto"/>
              <w:ind w:firstLine="0" w:firstLineChars="0"/>
              <w:jc w:val="center"/>
              <w:rPr>
                <w:rFonts w:eastAsia="仿宋" w:cs="Times New Roman"/>
                <w:sz w:val="20"/>
                <w:szCs w:val="20"/>
              </w:rPr>
            </w:pPr>
          </w:p>
        </w:tc>
        <w:tc>
          <w:tcPr>
            <w:tcW w:w="5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B0B8AE">
            <w:pPr>
              <w:spacing w:line="240" w:lineRule="auto"/>
              <w:ind w:firstLine="0" w:firstLineChars="0"/>
              <w:jc w:val="left"/>
              <w:rPr>
                <w:rFonts w:eastAsia="仿宋" w:cs="Times New Roman"/>
                <w:sz w:val="20"/>
                <w:szCs w:val="20"/>
              </w:rPr>
            </w:pP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48B492">
            <w:pPr>
              <w:widowControl/>
              <w:spacing w:line="240" w:lineRule="auto"/>
              <w:ind w:firstLine="0" w:firstLineChars="0"/>
              <w:jc w:val="left"/>
              <w:textAlignment w:val="center"/>
              <w:rPr>
                <w:rFonts w:eastAsia="仿宋" w:cs="Times New Roman"/>
                <w:sz w:val="20"/>
                <w:szCs w:val="20"/>
              </w:rPr>
            </w:pPr>
            <w:r>
              <w:rPr>
                <w:rFonts w:eastAsia="仿宋" w:cs="Times New Roman"/>
                <w:b/>
                <w:bCs/>
                <w:kern w:val="0"/>
                <w:sz w:val="20"/>
                <w:szCs w:val="20"/>
                <w:lang w:bidi="ar"/>
              </w:rPr>
              <w:t>A.2.1.3 实施国家水网重大工程（*）</w:t>
            </w:r>
          </w:p>
        </w:tc>
        <w:tc>
          <w:tcPr>
            <w:tcW w:w="2173" w:type="pct"/>
            <w:tcBorders>
              <w:top w:val="single" w:color="000000" w:sz="4" w:space="0"/>
              <w:left w:val="single" w:color="000000" w:sz="4" w:space="0"/>
              <w:bottom w:val="single" w:color="000000" w:sz="4" w:space="0"/>
              <w:right w:val="nil"/>
            </w:tcBorders>
            <w:shd w:val="clear" w:color="auto" w:fill="auto"/>
            <w:vAlign w:val="center"/>
          </w:tcPr>
          <w:p w14:paraId="047B4721">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包括引调水工程，南水北调后续工程，跨流域跨区域重大引调水工程，重点水源和区域供水工程建设；大中型灌区续建配套和现代化，城乡供水一体化、农村供水规模化发展及小型供水工程标准化建设等。</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508CCE">
            <w:pPr>
              <w:spacing w:line="240" w:lineRule="auto"/>
              <w:ind w:firstLine="0" w:firstLineChars="0"/>
              <w:jc w:val="center"/>
              <w:rPr>
                <w:rFonts w:eastAsia="宋体" w:cs="Times New Roman"/>
                <w:sz w:val="20"/>
                <w:szCs w:val="20"/>
              </w:rPr>
            </w:pP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AC7462">
            <w:pPr>
              <w:spacing w:line="240" w:lineRule="auto"/>
              <w:ind w:firstLine="0" w:firstLineChars="0"/>
              <w:jc w:val="center"/>
              <w:rPr>
                <w:rFonts w:eastAsia="宋体" w:cs="Times New Roman"/>
                <w:sz w:val="20"/>
                <w:szCs w:val="20"/>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8515F5">
            <w:pPr>
              <w:spacing w:line="240" w:lineRule="auto"/>
              <w:ind w:firstLine="0" w:firstLineChars="0"/>
              <w:jc w:val="center"/>
              <w:rPr>
                <w:rFonts w:eastAsia="宋体" w:cs="Times New Roman"/>
                <w:sz w:val="20"/>
                <w:szCs w:val="20"/>
              </w:rPr>
            </w:pPr>
          </w:p>
        </w:tc>
      </w:tr>
      <w:tr w14:paraId="52C81FF1">
        <w:tblPrEx>
          <w:tblCellMar>
            <w:top w:w="0" w:type="dxa"/>
            <w:left w:w="108" w:type="dxa"/>
            <w:bottom w:w="0" w:type="dxa"/>
            <w:right w:w="108" w:type="dxa"/>
          </w:tblCellMar>
        </w:tblPrEx>
        <w:trPr>
          <w:trHeight w:val="820" w:hRule="atLeast"/>
        </w:trPr>
        <w:tc>
          <w:tcPr>
            <w:tcW w:w="452" w:type="pct"/>
            <w:vMerge w:val="continue"/>
            <w:tcBorders>
              <w:top w:val="single" w:color="000000" w:sz="4" w:space="0"/>
              <w:left w:val="single" w:color="000000" w:sz="4" w:space="0"/>
              <w:bottom w:val="nil"/>
              <w:right w:val="single" w:color="000000" w:sz="4" w:space="0"/>
            </w:tcBorders>
            <w:shd w:val="clear" w:color="auto" w:fill="auto"/>
            <w:vAlign w:val="center"/>
          </w:tcPr>
          <w:p w14:paraId="18CE5CB9">
            <w:pPr>
              <w:spacing w:line="240" w:lineRule="auto"/>
              <w:ind w:firstLine="0" w:firstLineChars="0"/>
              <w:jc w:val="center"/>
              <w:rPr>
                <w:rFonts w:eastAsia="仿宋" w:cs="Times New Roman"/>
                <w:sz w:val="20"/>
                <w:szCs w:val="20"/>
              </w:rPr>
            </w:pPr>
          </w:p>
        </w:tc>
        <w:tc>
          <w:tcPr>
            <w:tcW w:w="5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8A08FD">
            <w:pPr>
              <w:spacing w:line="240" w:lineRule="auto"/>
              <w:ind w:firstLine="0" w:firstLineChars="0"/>
              <w:jc w:val="left"/>
              <w:rPr>
                <w:rFonts w:eastAsia="仿宋" w:cs="Times New Roman"/>
                <w:sz w:val="20"/>
                <w:szCs w:val="20"/>
              </w:rPr>
            </w:pP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1D250C">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A.2.1.4 完善流域防洪工程体系与洪水风险防控体系</w:t>
            </w:r>
          </w:p>
        </w:tc>
        <w:tc>
          <w:tcPr>
            <w:tcW w:w="2173" w:type="pct"/>
            <w:tcBorders>
              <w:top w:val="single" w:color="000000" w:sz="4" w:space="0"/>
              <w:left w:val="single" w:color="000000" w:sz="4" w:space="0"/>
              <w:bottom w:val="single" w:color="000000" w:sz="4" w:space="0"/>
              <w:right w:val="nil"/>
            </w:tcBorders>
            <w:shd w:val="clear" w:color="auto" w:fill="auto"/>
            <w:vAlign w:val="center"/>
          </w:tcPr>
          <w:p w14:paraId="66BE873E">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包括江河湖泊治理，堤防达标建设和河道整治，控制性枢纽工程建设，病险水库水闸除险加固，流域水库群联合调度，蓄滞洪区布局优化调整与建设，山洪灾害防治、城市防洪能力建设等。</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91E5E1">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5.2.11</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5BC3DA">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4.2.1.11；5.4.2.4</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0975EF">
            <w:pPr>
              <w:spacing w:line="240" w:lineRule="auto"/>
              <w:ind w:firstLine="0" w:firstLineChars="0"/>
              <w:jc w:val="center"/>
              <w:rPr>
                <w:rFonts w:eastAsia="宋体" w:cs="Times New Roman"/>
                <w:sz w:val="20"/>
                <w:szCs w:val="20"/>
              </w:rPr>
            </w:pPr>
          </w:p>
        </w:tc>
      </w:tr>
      <w:tr w14:paraId="7C0DD065">
        <w:tblPrEx>
          <w:tblCellMar>
            <w:top w:w="0" w:type="dxa"/>
            <w:left w:w="108" w:type="dxa"/>
            <w:bottom w:w="0" w:type="dxa"/>
            <w:right w:w="108" w:type="dxa"/>
          </w:tblCellMar>
        </w:tblPrEx>
        <w:trPr>
          <w:trHeight w:val="660" w:hRule="atLeast"/>
        </w:trPr>
        <w:tc>
          <w:tcPr>
            <w:tcW w:w="452" w:type="pct"/>
            <w:vMerge w:val="continue"/>
            <w:tcBorders>
              <w:top w:val="single" w:color="000000" w:sz="4" w:space="0"/>
              <w:left w:val="single" w:color="000000" w:sz="4" w:space="0"/>
              <w:bottom w:val="nil"/>
              <w:right w:val="single" w:color="000000" w:sz="4" w:space="0"/>
            </w:tcBorders>
            <w:shd w:val="clear" w:color="auto" w:fill="auto"/>
            <w:vAlign w:val="center"/>
          </w:tcPr>
          <w:p w14:paraId="08BB44D6">
            <w:pPr>
              <w:spacing w:line="240" w:lineRule="auto"/>
              <w:ind w:firstLine="0" w:firstLineChars="0"/>
              <w:jc w:val="center"/>
              <w:rPr>
                <w:rFonts w:eastAsia="仿宋" w:cs="Times New Roman"/>
                <w:sz w:val="20"/>
                <w:szCs w:val="20"/>
              </w:rPr>
            </w:pPr>
          </w:p>
        </w:tc>
        <w:tc>
          <w:tcPr>
            <w:tcW w:w="520" w:type="pct"/>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14:paraId="00AC4AEE">
            <w:pPr>
              <w:spacing w:line="240" w:lineRule="auto"/>
              <w:ind w:firstLine="0" w:firstLineChars="0"/>
              <w:jc w:val="left"/>
              <w:rPr>
                <w:rFonts w:eastAsia="仿宋" w:cs="Times New Roman"/>
                <w:sz w:val="20"/>
                <w:szCs w:val="20"/>
              </w:rPr>
            </w:pPr>
          </w:p>
        </w:tc>
        <w:tc>
          <w:tcPr>
            <w:tcW w:w="672" w:type="pct"/>
            <w:tcBorders>
              <w:top w:val="single" w:color="000000" w:sz="4" w:space="0"/>
              <w:left w:val="single" w:color="000000" w:sz="4" w:space="0"/>
              <w:bottom w:val="single" w:color="auto" w:sz="4" w:space="0"/>
              <w:right w:val="single" w:color="000000" w:sz="4" w:space="0"/>
            </w:tcBorders>
            <w:shd w:val="clear" w:color="auto" w:fill="auto"/>
            <w:vAlign w:val="center"/>
          </w:tcPr>
          <w:p w14:paraId="542E5B2C">
            <w:pPr>
              <w:widowControl/>
              <w:spacing w:line="240" w:lineRule="auto"/>
              <w:ind w:firstLine="0" w:firstLineChars="0"/>
              <w:jc w:val="left"/>
              <w:textAlignment w:val="center"/>
              <w:rPr>
                <w:rFonts w:eastAsia="仿宋" w:cs="Times New Roman"/>
                <w:sz w:val="20"/>
                <w:szCs w:val="20"/>
              </w:rPr>
            </w:pPr>
            <w:r>
              <w:rPr>
                <w:rFonts w:eastAsia="仿宋" w:cs="Times New Roman"/>
                <w:b/>
                <w:bCs/>
                <w:kern w:val="0"/>
                <w:sz w:val="20"/>
                <w:szCs w:val="20"/>
                <w:lang w:bidi="ar"/>
              </w:rPr>
              <w:t>A.2.1.5 强化大江大河大湖生态保护治理项目（*）</w:t>
            </w:r>
          </w:p>
        </w:tc>
        <w:tc>
          <w:tcPr>
            <w:tcW w:w="2173" w:type="pct"/>
            <w:tcBorders>
              <w:top w:val="single" w:color="000000" w:sz="4" w:space="0"/>
              <w:left w:val="single" w:color="000000" w:sz="4" w:space="0"/>
              <w:bottom w:val="single" w:color="auto" w:sz="4" w:space="0"/>
              <w:right w:val="nil"/>
            </w:tcBorders>
            <w:shd w:val="clear" w:color="auto" w:fill="auto"/>
            <w:vAlign w:val="center"/>
          </w:tcPr>
          <w:p w14:paraId="5D855D57">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包括河湖保护、水土保持；</w:t>
            </w:r>
            <w:r>
              <w:rPr>
                <w:rFonts w:eastAsia="仿宋" w:cs="Times New Roman"/>
                <w:b/>
                <w:bCs/>
                <w:kern w:val="0"/>
                <w:sz w:val="20"/>
                <w:szCs w:val="20"/>
                <w:lang w:bidi="ar"/>
              </w:rPr>
              <w:t>地下水超采治理</w:t>
            </w:r>
            <w:r>
              <w:rPr>
                <w:rFonts w:eastAsia="仿宋" w:cs="Times New Roman"/>
                <w:kern w:val="0"/>
                <w:sz w:val="20"/>
                <w:szCs w:val="20"/>
                <w:lang w:bidi="ar"/>
              </w:rPr>
              <w:t>、水土流失治理、受损河湖生态修复；</w:t>
            </w:r>
            <w:r>
              <w:rPr>
                <w:rFonts w:eastAsia="仿宋" w:cs="Times New Roman"/>
                <w:b/>
                <w:bCs/>
                <w:kern w:val="0"/>
                <w:sz w:val="20"/>
                <w:szCs w:val="20"/>
                <w:lang w:bidi="ar"/>
              </w:rPr>
              <w:t>潮白河流域综合治理与生态保护修复、密云水库等重要水源地、应急水源地保护</w:t>
            </w:r>
            <w:r>
              <w:rPr>
                <w:rFonts w:eastAsia="仿宋" w:cs="Times New Roman"/>
                <w:kern w:val="0"/>
                <w:sz w:val="20"/>
                <w:szCs w:val="20"/>
                <w:lang w:bidi="ar"/>
              </w:rPr>
              <w:t>等。</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BD9AB4">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2.3.1；2.3.2；5.3.2</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359ECC">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1.3.2.1；1.3.2.2；4.2.1.12；5.4.2.5</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7E2EFC">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1.6</w:t>
            </w:r>
          </w:p>
        </w:tc>
      </w:tr>
      <w:tr w14:paraId="4F4EF8F9">
        <w:tblPrEx>
          <w:tblCellMar>
            <w:top w:w="0" w:type="dxa"/>
            <w:left w:w="108" w:type="dxa"/>
            <w:bottom w:w="0" w:type="dxa"/>
            <w:right w:w="108" w:type="dxa"/>
          </w:tblCellMar>
        </w:tblPrEx>
        <w:trPr>
          <w:trHeight w:val="1820" w:hRule="atLeast"/>
        </w:trPr>
        <w:tc>
          <w:tcPr>
            <w:tcW w:w="452" w:type="pct"/>
            <w:vMerge w:val="continue"/>
            <w:tcBorders>
              <w:top w:val="single" w:color="000000" w:sz="4" w:space="0"/>
              <w:left w:val="single" w:color="000000" w:sz="4" w:space="0"/>
              <w:bottom w:val="nil"/>
              <w:right w:val="single" w:color="auto" w:sz="4" w:space="0"/>
            </w:tcBorders>
            <w:shd w:val="clear" w:color="auto" w:fill="auto"/>
            <w:vAlign w:val="center"/>
          </w:tcPr>
          <w:p w14:paraId="1A7739E8">
            <w:pPr>
              <w:spacing w:line="240" w:lineRule="auto"/>
              <w:ind w:firstLine="0" w:firstLineChars="0"/>
              <w:jc w:val="center"/>
              <w:rPr>
                <w:rFonts w:eastAsia="仿宋" w:cs="Times New Roman"/>
                <w:sz w:val="20"/>
                <w:szCs w:val="20"/>
              </w:rPr>
            </w:pPr>
          </w:p>
        </w:tc>
        <w:tc>
          <w:tcPr>
            <w:tcW w:w="520" w:type="pct"/>
            <w:vMerge w:val="restart"/>
            <w:tcBorders>
              <w:top w:val="single" w:color="auto" w:sz="4" w:space="0"/>
              <w:left w:val="single" w:color="auto" w:sz="4" w:space="0"/>
              <w:bottom w:val="single" w:color="000000" w:sz="4" w:space="0"/>
              <w:right w:val="single" w:color="000000" w:sz="4" w:space="0"/>
            </w:tcBorders>
            <w:shd w:val="clear" w:color="auto" w:fill="auto"/>
            <w:vAlign w:val="center"/>
          </w:tcPr>
          <w:p w14:paraId="21923BFA">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A.2.2 陆地生态系统</w:t>
            </w:r>
          </w:p>
        </w:tc>
        <w:tc>
          <w:tcPr>
            <w:tcW w:w="672" w:type="pct"/>
            <w:tcBorders>
              <w:top w:val="single" w:color="auto" w:sz="4" w:space="0"/>
              <w:left w:val="single" w:color="000000" w:sz="4" w:space="0"/>
              <w:bottom w:val="single" w:color="000000" w:sz="4" w:space="0"/>
              <w:right w:val="single" w:color="000000" w:sz="4" w:space="0"/>
            </w:tcBorders>
            <w:shd w:val="clear" w:color="auto" w:fill="auto"/>
            <w:vAlign w:val="center"/>
          </w:tcPr>
          <w:p w14:paraId="1A901A6B">
            <w:pPr>
              <w:widowControl/>
              <w:spacing w:line="240" w:lineRule="auto"/>
              <w:ind w:firstLine="0" w:firstLineChars="0"/>
              <w:jc w:val="left"/>
              <w:textAlignment w:val="center"/>
              <w:rPr>
                <w:rFonts w:eastAsia="仿宋" w:cs="Times New Roman"/>
                <w:sz w:val="20"/>
                <w:szCs w:val="20"/>
              </w:rPr>
            </w:pPr>
            <w:r>
              <w:rPr>
                <w:rFonts w:eastAsia="仿宋" w:cs="Times New Roman"/>
                <w:b/>
                <w:bCs/>
                <w:kern w:val="0"/>
                <w:sz w:val="20"/>
                <w:szCs w:val="20"/>
                <w:lang w:bidi="ar"/>
              </w:rPr>
              <w:t>A.2.2.1 构建陆地生态系统综合监测体系（*）</w:t>
            </w:r>
          </w:p>
        </w:tc>
        <w:tc>
          <w:tcPr>
            <w:tcW w:w="2173" w:type="pct"/>
            <w:tcBorders>
              <w:top w:val="single" w:color="auto" w:sz="4" w:space="0"/>
              <w:left w:val="single" w:color="000000" w:sz="4" w:space="0"/>
              <w:bottom w:val="single" w:color="000000" w:sz="4" w:space="0"/>
              <w:right w:val="single" w:color="auto" w:sz="4" w:space="0"/>
            </w:tcBorders>
            <w:shd w:val="clear" w:color="auto" w:fill="auto"/>
            <w:vAlign w:val="center"/>
          </w:tcPr>
          <w:p w14:paraId="7FADB996">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指自然资源与生态状况调查监测，包括密云水库生态涵养区土地、矿产、水、森林、草原、湿地等自然资源调查，构建植被物候、野生动物及其栖息地保护监测评估体系，开展关停矿山地质灾害风险、水源保护中面源污染、耕地质量、流域环境风险和生态建设能力等生态环境现状调查，构建高效的生态保护修复工程全过程动态监测和生态风险评估体系，建立自然资源三维立体时空数据库和管理系统，</w:t>
            </w:r>
            <w:r>
              <w:rPr>
                <w:rFonts w:eastAsia="仿宋" w:cs="Times New Roman"/>
                <w:b/>
                <w:bCs/>
                <w:kern w:val="0"/>
                <w:sz w:val="20"/>
                <w:szCs w:val="20"/>
                <w:lang w:bidi="ar"/>
              </w:rPr>
              <w:t>建设卫星遥感、地面监测、无人机等先进预警监测系统</w:t>
            </w:r>
            <w:r>
              <w:rPr>
                <w:rFonts w:eastAsia="仿宋" w:cs="Times New Roman"/>
                <w:kern w:val="0"/>
                <w:sz w:val="20"/>
                <w:szCs w:val="20"/>
                <w:lang w:bidi="ar"/>
              </w:rPr>
              <w:t>等。</w:t>
            </w:r>
          </w:p>
        </w:tc>
        <w:tc>
          <w:tcPr>
            <w:tcW w:w="430" w:type="pct"/>
            <w:tcBorders>
              <w:top w:val="single" w:color="000000" w:sz="4" w:space="0"/>
              <w:left w:val="single" w:color="auto" w:sz="4" w:space="0"/>
              <w:bottom w:val="single" w:color="000000" w:sz="4" w:space="0"/>
              <w:right w:val="single" w:color="000000" w:sz="4" w:space="0"/>
            </w:tcBorders>
            <w:shd w:val="clear" w:color="auto" w:fill="auto"/>
            <w:vAlign w:val="center"/>
          </w:tcPr>
          <w:p w14:paraId="38B5B2FD">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6.4.9</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6D505F">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5.3.1.4</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0E7CDF">
            <w:pPr>
              <w:spacing w:line="240" w:lineRule="auto"/>
              <w:ind w:firstLine="0" w:firstLineChars="0"/>
              <w:jc w:val="center"/>
              <w:rPr>
                <w:rFonts w:eastAsia="宋体" w:cs="Times New Roman"/>
                <w:sz w:val="20"/>
                <w:szCs w:val="20"/>
              </w:rPr>
            </w:pPr>
          </w:p>
        </w:tc>
      </w:tr>
      <w:tr w14:paraId="6D1D404C">
        <w:tblPrEx>
          <w:tblCellMar>
            <w:top w:w="0" w:type="dxa"/>
            <w:left w:w="108" w:type="dxa"/>
            <w:bottom w:w="0" w:type="dxa"/>
            <w:right w:w="108" w:type="dxa"/>
          </w:tblCellMar>
        </w:tblPrEx>
        <w:trPr>
          <w:trHeight w:val="1560" w:hRule="atLeast"/>
        </w:trPr>
        <w:tc>
          <w:tcPr>
            <w:tcW w:w="452" w:type="pct"/>
            <w:vMerge w:val="continue"/>
            <w:tcBorders>
              <w:top w:val="single" w:color="000000" w:sz="4" w:space="0"/>
              <w:left w:val="single" w:color="000000" w:sz="4" w:space="0"/>
              <w:bottom w:val="nil"/>
              <w:right w:val="single" w:color="auto" w:sz="4" w:space="0"/>
            </w:tcBorders>
            <w:shd w:val="clear" w:color="auto" w:fill="auto"/>
            <w:vAlign w:val="center"/>
          </w:tcPr>
          <w:p w14:paraId="0D5DDDDF">
            <w:pPr>
              <w:spacing w:line="240" w:lineRule="auto"/>
              <w:ind w:firstLine="0" w:firstLineChars="0"/>
              <w:jc w:val="center"/>
              <w:rPr>
                <w:rFonts w:eastAsia="仿宋" w:cs="Times New Roman"/>
                <w:sz w:val="20"/>
                <w:szCs w:val="20"/>
              </w:rPr>
            </w:pPr>
          </w:p>
        </w:tc>
        <w:tc>
          <w:tcPr>
            <w:tcW w:w="520" w:type="pct"/>
            <w:vMerge w:val="continue"/>
            <w:tcBorders>
              <w:top w:val="single" w:color="000000" w:sz="4" w:space="0"/>
              <w:left w:val="single" w:color="auto" w:sz="4" w:space="0"/>
              <w:bottom w:val="single" w:color="auto" w:sz="4" w:space="0"/>
              <w:right w:val="single" w:color="000000" w:sz="4" w:space="0"/>
            </w:tcBorders>
            <w:shd w:val="clear" w:color="auto" w:fill="auto"/>
            <w:vAlign w:val="center"/>
          </w:tcPr>
          <w:p w14:paraId="17E42108">
            <w:pPr>
              <w:spacing w:line="240" w:lineRule="auto"/>
              <w:ind w:firstLine="0" w:firstLineChars="0"/>
              <w:jc w:val="left"/>
              <w:rPr>
                <w:rFonts w:eastAsia="仿宋" w:cs="Times New Roman"/>
                <w:sz w:val="20"/>
                <w:szCs w:val="20"/>
              </w:rPr>
            </w:pPr>
          </w:p>
        </w:tc>
        <w:tc>
          <w:tcPr>
            <w:tcW w:w="672" w:type="pct"/>
            <w:tcBorders>
              <w:top w:val="single" w:color="000000" w:sz="4" w:space="0"/>
              <w:left w:val="single" w:color="000000" w:sz="4" w:space="0"/>
              <w:bottom w:val="single" w:color="auto" w:sz="4" w:space="0"/>
              <w:right w:val="single" w:color="000000" w:sz="4" w:space="0"/>
            </w:tcBorders>
            <w:shd w:val="clear" w:color="auto" w:fill="auto"/>
            <w:vAlign w:val="center"/>
          </w:tcPr>
          <w:p w14:paraId="2C5F50B8">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A.2.2.2 建立完善陆地生态系统保护与监管体系</w:t>
            </w:r>
          </w:p>
        </w:tc>
        <w:tc>
          <w:tcPr>
            <w:tcW w:w="2173" w:type="pct"/>
            <w:tcBorders>
              <w:top w:val="single" w:color="000000" w:sz="4" w:space="0"/>
              <w:left w:val="single" w:color="000000" w:sz="4" w:space="0"/>
              <w:bottom w:val="single" w:color="auto" w:sz="4" w:space="0"/>
              <w:right w:val="single" w:color="auto" w:sz="4" w:space="0"/>
            </w:tcBorders>
            <w:shd w:val="clear" w:color="auto" w:fill="auto"/>
            <w:vAlign w:val="center"/>
          </w:tcPr>
          <w:p w14:paraId="0DEF0D21">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包括国家公园、自然保护区、各类自然公园建设，如雾灵山、云蒙山、云峰山等自然保护区建设；适应气候变化的林草种质资源保存库，保护珍稀濒危和特有林草植物种质资源；建立山水林田湖草生态保护修复相关管理部门协调机制和统一监管机制，建立“源头预防、过程控制、损害赔偿和</w:t>
            </w:r>
            <w:r>
              <w:rPr>
                <w:rFonts w:hint="eastAsia" w:eastAsia="仿宋" w:cs="Times New Roman"/>
                <w:kern w:val="0"/>
                <w:sz w:val="20"/>
                <w:szCs w:val="20"/>
                <w:lang w:eastAsia="zh-CN" w:bidi="ar"/>
              </w:rPr>
              <w:t>责任追究</w:t>
            </w:r>
            <w:r>
              <w:rPr>
                <w:rFonts w:eastAsia="仿宋" w:cs="Times New Roman"/>
                <w:kern w:val="0"/>
                <w:sz w:val="20"/>
                <w:szCs w:val="20"/>
                <w:lang w:bidi="ar"/>
              </w:rPr>
              <w:t>”一体化生态保护修复机制。</w:t>
            </w:r>
          </w:p>
        </w:tc>
        <w:tc>
          <w:tcPr>
            <w:tcW w:w="430" w:type="pct"/>
            <w:tcBorders>
              <w:top w:val="single" w:color="000000" w:sz="4" w:space="0"/>
              <w:left w:val="single" w:color="auto" w:sz="4" w:space="0"/>
              <w:bottom w:val="single" w:color="000000" w:sz="4" w:space="0"/>
              <w:right w:val="single" w:color="000000" w:sz="4" w:space="0"/>
            </w:tcBorders>
            <w:shd w:val="clear" w:color="auto" w:fill="auto"/>
            <w:vAlign w:val="center"/>
          </w:tcPr>
          <w:p w14:paraId="13C3C172">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5.1.10；5.2.2</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CB2ADE">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4.1.1.3；4.2.1.3；4.2.2.5</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43D395">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4.1.4；4.2</w:t>
            </w:r>
          </w:p>
        </w:tc>
      </w:tr>
      <w:tr w14:paraId="38E98C65">
        <w:tblPrEx>
          <w:tblCellMar>
            <w:top w:w="0" w:type="dxa"/>
            <w:left w:w="108" w:type="dxa"/>
            <w:bottom w:w="0" w:type="dxa"/>
            <w:right w:w="108" w:type="dxa"/>
          </w:tblCellMar>
        </w:tblPrEx>
        <w:trPr>
          <w:trHeight w:val="697" w:hRule="atLeast"/>
        </w:trPr>
        <w:tc>
          <w:tcPr>
            <w:tcW w:w="452" w:type="pct"/>
            <w:vMerge w:val="continue"/>
            <w:tcBorders>
              <w:top w:val="single" w:color="000000" w:sz="4" w:space="0"/>
              <w:left w:val="single" w:color="000000" w:sz="4" w:space="0"/>
              <w:bottom w:val="nil"/>
              <w:right w:val="single" w:color="auto" w:sz="4" w:space="0"/>
            </w:tcBorders>
            <w:shd w:val="clear" w:color="auto" w:fill="auto"/>
            <w:vAlign w:val="center"/>
          </w:tcPr>
          <w:p w14:paraId="427A5168">
            <w:pPr>
              <w:spacing w:line="240" w:lineRule="auto"/>
              <w:ind w:firstLine="0" w:firstLineChars="0"/>
              <w:jc w:val="center"/>
              <w:rPr>
                <w:rFonts w:eastAsia="仿宋" w:cs="Times New Roman"/>
                <w:sz w:val="20"/>
                <w:szCs w:val="20"/>
              </w:rPr>
            </w:pPr>
          </w:p>
        </w:tc>
        <w:tc>
          <w:tcPr>
            <w:tcW w:w="520" w:type="pct"/>
            <w:vMerge w:val="continue"/>
            <w:tcBorders>
              <w:top w:val="single" w:color="auto" w:sz="4" w:space="0"/>
              <w:left w:val="single" w:color="auto" w:sz="4" w:space="0"/>
              <w:bottom w:val="single" w:color="000000" w:sz="4" w:space="0"/>
              <w:right w:val="single" w:color="000000" w:sz="4" w:space="0"/>
            </w:tcBorders>
            <w:shd w:val="clear" w:color="auto" w:fill="auto"/>
            <w:vAlign w:val="center"/>
          </w:tcPr>
          <w:p w14:paraId="207160CA">
            <w:pPr>
              <w:spacing w:line="240" w:lineRule="auto"/>
              <w:ind w:firstLine="0" w:firstLineChars="0"/>
              <w:jc w:val="left"/>
              <w:rPr>
                <w:rFonts w:eastAsia="仿宋" w:cs="Times New Roman"/>
                <w:sz w:val="20"/>
                <w:szCs w:val="20"/>
              </w:rPr>
            </w:pPr>
          </w:p>
        </w:tc>
        <w:tc>
          <w:tcPr>
            <w:tcW w:w="672" w:type="pct"/>
            <w:tcBorders>
              <w:top w:val="single" w:color="auto" w:sz="4" w:space="0"/>
              <w:left w:val="single" w:color="000000" w:sz="4" w:space="0"/>
              <w:bottom w:val="single" w:color="000000" w:sz="4" w:space="0"/>
              <w:right w:val="nil"/>
            </w:tcBorders>
            <w:shd w:val="clear" w:color="auto" w:fill="auto"/>
            <w:vAlign w:val="center"/>
          </w:tcPr>
          <w:p w14:paraId="29F06A17">
            <w:pPr>
              <w:widowControl/>
              <w:spacing w:line="240" w:lineRule="auto"/>
              <w:ind w:firstLine="0" w:firstLineChars="0"/>
              <w:jc w:val="left"/>
              <w:textAlignment w:val="center"/>
              <w:rPr>
                <w:rFonts w:eastAsia="仿宋" w:cs="Times New Roman"/>
                <w:sz w:val="20"/>
                <w:szCs w:val="20"/>
              </w:rPr>
            </w:pPr>
            <w:r>
              <w:rPr>
                <w:rFonts w:eastAsia="仿宋" w:cs="Times New Roman"/>
                <w:b/>
                <w:bCs/>
                <w:kern w:val="0"/>
                <w:sz w:val="20"/>
                <w:szCs w:val="20"/>
                <w:lang w:bidi="ar"/>
              </w:rPr>
              <w:t>A.2.2.3 加强典型生态系统保护与退化生态系统恢复（*）</w:t>
            </w:r>
          </w:p>
        </w:tc>
        <w:tc>
          <w:tcPr>
            <w:tcW w:w="2173" w:type="pct"/>
            <w:tcBorders>
              <w:top w:val="single" w:color="auto" w:sz="4" w:space="0"/>
              <w:left w:val="single" w:color="000000" w:sz="4" w:space="0"/>
              <w:bottom w:val="single" w:color="000000" w:sz="4" w:space="0"/>
              <w:right w:val="nil"/>
            </w:tcBorders>
            <w:shd w:val="clear" w:color="auto" w:fill="auto"/>
            <w:vAlign w:val="center"/>
          </w:tcPr>
          <w:p w14:paraId="5F3652ED">
            <w:pPr>
              <w:widowControl/>
              <w:spacing w:line="240" w:lineRule="auto"/>
              <w:ind w:firstLine="0" w:firstLineChars="0"/>
              <w:jc w:val="left"/>
              <w:textAlignment w:val="center"/>
              <w:rPr>
                <w:rFonts w:eastAsia="仿宋" w:cs="Times New Roman"/>
                <w:sz w:val="20"/>
                <w:szCs w:val="20"/>
              </w:rPr>
            </w:pPr>
            <w:r>
              <w:rPr>
                <w:rFonts w:eastAsia="仿宋" w:cs="Times New Roman"/>
                <w:b/>
                <w:bCs/>
                <w:kern w:val="0"/>
                <w:sz w:val="20"/>
                <w:szCs w:val="20"/>
                <w:lang w:bidi="ar"/>
              </w:rPr>
              <w:t>推行森林河流湖泊湿地休养生息</w:t>
            </w:r>
            <w:r>
              <w:rPr>
                <w:rFonts w:eastAsia="仿宋" w:cs="Times New Roman"/>
                <w:kern w:val="0"/>
                <w:sz w:val="20"/>
                <w:szCs w:val="20"/>
                <w:lang w:bidi="ar"/>
              </w:rPr>
              <w:t>，包括增加森林资源总量、天然中幼林抚育、</w:t>
            </w:r>
            <w:r>
              <w:rPr>
                <w:rFonts w:eastAsia="仿宋" w:cs="Times New Roman"/>
                <w:b/>
                <w:bCs/>
                <w:kern w:val="0"/>
                <w:sz w:val="20"/>
                <w:szCs w:val="20"/>
                <w:lang w:bidi="ar"/>
              </w:rPr>
              <w:t>加强森林健康经营和退化林修复</w:t>
            </w:r>
            <w:r>
              <w:rPr>
                <w:rFonts w:eastAsia="仿宋" w:cs="Times New Roman"/>
                <w:kern w:val="0"/>
                <w:sz w:val="20"/>
                <w:szCs w:val="20"/>
                <w:lang w:bidi="ar"/>
              </w:rPr>
              <w:t>、提高人工林树种多样性；湿地保护修复，提升重要湿地生态功能，如以密云水库、潮河、白河、清水河、白马关河、红门川河、西沙河、安达木河为重点，加</w:t>
            </w:r>
            <w:bookmarkStart w:id="29" w:name="_GoBack"/>
            <w:bookmarkEnd w:id="29"/>
            <w:r>
              <w:rPr>
                <w:rFonts w:eastAsia="仿宋" w:cs="Times New Roman"/>
                <w:kern w:val="0"/>
                <w:sz w:val="20"/>
                <w:szCs w:val="20"/>
                <w:lang w:bidi="ar"/>
              </w:rPr>
              <w:t>强滨水湿地景观环境提升和生态修复；</w:t>
            </w:r>
            <w:r>
              <w:rPr>
                <w:rFonts w:hint="eastAsia" w:eastAsia="仿宋" w:cs="Times New Roman"/>
                <w:kern w:val="0"/>
                <w:sz w:val="20"/>
                <w:szCs w:val="20"/>
                <w:lang w:bidi="ar"/>
              </w:rPr>
              <w:t>建立</w:t>
            </w:r>
            <w:r>
              <w:rPr>
                <w:rFonts w:eastAsia="仿宋" w:cs="Times New Roman"/>
                <w:kern w:val="0"/>
                <w:sz w:val="20"/>
                <w:szCs w:val="20"/>
                <w:lang w:bidi="ar"/>
              </w:rPr>
              <w:t>水土流失等退化生态系统的恢复治理技术体系及保护沙区天然植被；</w:t>
            </w:r>
            <w:r>
              <w:rPr>
                <w:rFonts w:eastAsia="仿宋" w:cs="Times New Roman"/>
                <w:b/>
                <w:bCs/>
                <w:kern w:val="0"/>
                <w:sz w:val="20"/>
                <w:szCs w:val="20"/>
                <w:lang w:bidi="ar"/>
              </w:rPr>
              <w:t>因地制宜实施复垦复种、建设矿山公园</w:t>
            </w:r>
            <w:r>
              <w:rPr>
                <w:rFonts w:eastAsia="仿宋" w:cs="Times New Roman"/>
                <w:kern w:val="0"/>
                <w:sz w:val="20"/>
                <w:szCs w:val="20"/>
                <w:lang w:bidi="ar"/>
              </w:rPr>
              <w:t>；重点区域生态修复型人工影响天气项目；</w:t>
            </w:r>
            <w:r>
              <w:rPr>
                <w:rFonts w:eastAsia="仿宋" w:cs="Times New Roman"/>
                <w:b/>
                <w:bCs/>
                <w:kern w:val="0"/>
                <w:sz w:val="20"/>
                <w:szCs w:val="20"/>
                <w:lang w:bidi="ar"/>
              </w:rPr>
              <w:t>保持生态涵养区系统稳定</w:t>
            </w:r>
            <w:r>
              <w:rPr>
                <w:rFonts w:eastAsia="仿宋" w:cs="Times New Roman"/>
                <w:kern w:val="0"/>
                <w:sz w:val="20"/>
                <w:szCs w:val="20"/>
                <w:lang w:bidi="ar"/>
              </w:rPr>
              <w:t>，</w:t>
            </w:r>
            <w:r>
              <w:rPr>
                <w:rFonts w:eastAsia="仿宋" w:cs="Times New Roman"/>
                <w:b/>
                <w:bCs/>
                <w:kern w:val="0"/>
                <w:sz w:val="20"/>
                <w:szCs w:val="20"/>
                <w:lang w:bidi="ar"/>
              </w:rPr>
              <w:t>山水林田湖草沙一体化保护和系统治理项目</w:t>
            </w:r>
            <w:r>
              <w:rPr>
                <w:rFonts w:eastAsia="仿宋" w:cs="Times New Roman"/>
                <w:kern w:val="0"/>
                <w:sz w:val="20"/>
                <w:szCs w:val="20"/>
                <w:lang w:bidi="ar"/>
              </w:rPr>
              <w:t>；</w:t>
            </w:r>
            <w:r>
              <w:rPr>
                <w:rFonts w:eastAsia="仿宋" w:cs="Times New Roman"/>
                <w:b/>
                <w:bCs/>
                <w:kern w:val="0"/>
                <w:sz w:val="20"/>
                <w:szCs w:val="20"/>
                <w:lang w:bidi="ar"/>
              </w:rPr>
              <w:t>大数据、人工智能、5G等新技术在生态保护和治理中的应用</w:t>
            </w:r>
            <w:r>
              <w:rPr>
                <w:rFonts w:eastAsia="仿宋" w:cs="Times New Roman"/>
                <w:kern w:val="0"/>
                <w:sz w:val="20"/>
                <w:szCs w:val="20"/>
                <w:lang w:bidi="ar"/>
              </w:rPr>
              <w:t>等。</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21C2D7">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5.1.9；5.2.3-5.2.4；5.2.6-5.2.7；5.2.9；5.2.12；5.3.4</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BBE894">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4.2.1.4-4.2.1.10；4.2.1.12；4.2.2.1</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B8A58D">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4.1.3；4.2；4.3</w:t>
            </w:r>
          </w:p>
        </w:tc>
      </w:tr>
      <w:tr w14:paraId="6B1CF319">
        <w:tblPrEx>
          <w:tblCellMar>
            <w:top w:w="0" w:type="dxa"/>
            <w:left w:w="108" w:type="dxa"/>
            <w:bottom w:w="0" w:type="dxa"/>
            <w:right w:w="108" w:type="dxa"/>
          </w:tblCellMar>
        </w:tblPrEx>
        <w:trPr>
          <w:trHeight w:val="1020" w:hRule="atLeast"/>
        </w:trPr>
        <w:tc>
          <w:tcPr>
            <w:tcW w:w="452" w:type="pct"/>
            <w:vMerge w:val="continue"/>
            <w:tcBorders>
              <w:top w:val="single" w:color="000000" w:sz="4" w:space="0"/>
              <w:left w:val="single" w:color="000000" w:sz="4" w:space="0"/>
              <w:bottom w:val="nil"/>
              <w:right w:val="single" w:color="auto" w:sz="4" w:space="0"/>
            </w:tcBorders>
            <w:shd w:val="clear" w:color="auto" w:fill="auto"/>
            <w:vAlign w:val="center"/>
          </w:tcPr>
          <w:p w14:paraId="388C4C8D">
            <w:pPr>
              <w:spacing w:line="240" w:lineRule="auto"/>
              <w:ind w:firstLine="0" w:firstLineChars="0"/>
              <w:jc w:val="center"/>
              <w:rPr>
                <w:rFonts w:eastAsia="仿宋" w:cs="Times New Roman"/>
                <w:sz w:val="20"/>
                <w:szCs w:val="20"/>
              </w:rPr>
            </w:pPr>
          </w:p>
        </w:tc>
        <w:tc>
          <w:tcPr>
            <w:tcW w:w="520"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14:paraId="1CA4E79C">
            <w:pPr>
              <w:spacing w:line="240" w:lineRule="auto"/>
              <w:ind w:firstLine="0" w:firstLineChars="0"/>
              <w:jc w:val="left"/>
              <w:rPr>
                <w:rFonts w:eastAsia="仿宋" w:cs="Times New Roman"/>
                <w:sz w:val="20"/>
                <w:szCs w:val="20"/>
              </w:rPr>
            </w:pP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CCE522">
            <w:pPr>
              <w:widowControl/>
              <w:spacing w:line="240" w:lineRule="auto"/>
              <w:ind w:firstLine="0" w:firstLineChars="0"/>
              <w:jc w:val="left"/>
              <w:textAlignment w:val="center"/>
              <w:rPr>
                <w:rFonts w:eastAsia="仿宋" w:cs="Times New Roman"/>
                <w:sz w:val="20"/>
                <w:szCs w:val="20"/>
              </w:rPr>
            </w:pPr>
            <w:r>
              <w:rPr>
                <w:rFonts w:eastAsia="仿宋" w:cs="Times New Roman"/>
                <w:b/>
                <w:bCs/>
                <w:kern w:val="0"/>
                <w:sz w:val="20"/>
                <w:szCs w:val="20"/>
                <w:lang w:bidi="ar"/>
              </w:rPr>
              <w:t>A.2.2.4 提升灾害预警防御与治理能力（*）</w:t>
            </w:r>
          </w:p>
        </w:tc>
        <w:tc>
          <w:tcPr>
            <w:tcW w:w="2173" w:type="pct"/>
            <w:tcBorders>
              <w:top w:val="nil"/>
              <w:left w:val="single" w:color="000000" w:sz="4" w:space="0"/>
              <w:bottom w:val="single" w:color="000000" w:sz="4" w:space="0"/>
              <w:right w:val="nil"/>
            </w:tcBorders>
            <w:shd w:val="clear" w:color="auto" w:fill="auto"/>
            <w:vAlign w:val="center"/>
          </w:tcPr>
          <w:p w14:paraId="777229E8">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包括</w:t>
            </w:r>
            <w:r>
              <w:rPr>
                <w:rFonts w:eastAsia="仿宋" w:cs="Times New Roman"/>
                <w:b/>
                <w:bCs/>
                <w:kern w:val="0"/>
                <w:sz w:val="20"/>
                <w:szCs w:val="20"/>
                <w:lang w:bidi="ar"/>
              </w:rPr>
              <w:t>管控野外火源，森林草原火险预警</w:t>
            </w:r>
            <w:r>
              <w:rPr>
                <w:rFonts w:eastAsia="仿宋" w:cs="Times New Roman"/>
                <w:kern w:val="0"/>
                <w:sz w:val="20"/>
                <w:szCs w:val="20"/>
                <w:lang w:bidi="ar"/>
              </w:rPr>
              <w:t>；生物病虫害监测预警站点网络体系，例如生物防治、生态调控等绿色防控技术；外来入侵物种管理；</w:t>
            </w:r>
            <w:r>
              <w:rPr>
                <w:rFonts w:eastAsia="仿宋" w:cs="Times New Roman"/>
                <w:b/>
                <w:bCs/>
                <w:kern w:val="0"/>
                <w:sz w:val="20"/>
                <w:szCs w:val="20"/>
                <w:lang w:bidi="ar"/>
              </w:rPr>
              <w:t>林草火灾、生物病虫害与生物入侵等灾害治理；防灭火配套设施建设</w:t>
            </w:r>
            <w:r>
              <w:rPr>
                <w:rFonts w:eastAsia="仿宋" w:cs="Times New Roman"/>
                <w:kern w:val="0"/>
                <w:sz w:val="20"/>
                <w:szCs w:val="20"/>
                <w:lang w:bidi="ar"/>
              </w:rPr>
              <w:t>等。</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A743D7">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5.2.5；5.2.10</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3F55B6">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4.1.1.5；4.2.1.1</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7682F0">
            <w:pPr>
              <w:spacing w:line="240" w:lineRule="auto"/>
              <w:ind w:firstLine="0" w:firstLineChars="0"/>
              <w:jc w:val="center"/>
              <w:rPr>
                <w:rFonts w:eastAsia="宋体" w:cs="Times New Roman"/>
                <w:sz w:val="20"/>
                <w:szCs w:val="20"/>
              </w:rPr>
            </w:pPr>
          </w:p>
        </w:tc>
      </w:tr>
      <w:tr w14:paraId="74FD6AA7">
        <w:tblPrEx>
          <w:tblCellMar>
            <w:top w:w="0" w:type="dxa"/>
            <w:left w:w="108" w:type="dxa"/>
            <w:bottom w:w="0" w:type="dxa"/>
            <w:right w:w="108" w:type="dxa"/>
          </w:tblCellMar>
        </w:tblPrEx>
        <w:trPr>
          <w:trHeight w:val="1080" w:hRule="atLeast"/>
        </w:trPr>
        <w:tc>
          <w:tcPr>
            <w:tcW w:w="452" w:type="pct"/>
            <w:vMerge w:val="continue"/>
            <w:tcBorders>
              <w:top w:val="single" w:color="000000" w:sz="4" w:space="0"/>
              <w:left w:val="single" w:color="000000" w:sz="4" w:space="0"/>
              <w:bottom w:val="nil"/>
              <w:right w:val="single" w:color="auto" w:sz="4" w:space="0"/>
            </w:tcBorders>
            <w:shd w:val="clear" w:color="auto" w:fill="auto"/>
            <w:vAlign w:val="center"/>
          </w:tcPr>
          <w:p w14:paraId="72FFC9D8">
            <w:pPr>
              <w:spacing w:line="240" w:lineRule="auto"/>
              <w:ind w:firstLine="0" w:firstLineChars="0"/>
              <w:jc w:val="center"/>
              <w:rPr>
                <w:rFonts w:eastAsia="仿宋" w:cs="Times New Roman"/>
                <w:sz w:val="20"/>
                <w:szCs w:val="20"/>
              </w:rPr>
            </w:pPr>
          </w:p>
        </w:tc>
        <w:tc>
          <w:tcPr>
            <w:tcW w:w="520"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14:paraId="1DDA0BF5">
            <w:pPr>
              <w:spacing w:line="240" w:lineRule="auto"/>
              <w:ind w:firstLine="0" w:firstLineChars="0"/>
              <w:jc w:val="left"/>
              <w:rPr>
                <w:rFonts w:eastAsia="仿宋" w:cs="Times New Roman"/>
                <w:sz w:val="20"/>
                <w:szCs w:val="20"/>
              </w:rPr>
            </w:pP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FD5F02">
            <w:pPr>
              <w:widowControl/>
              <w:spacing w:line="240" w:lineRule="auto"/>
              <w:ind w:firstLine="0" w:firstLineChars="0"/>
              <w:jc w:val="left"/>
              <w:textAlignment w:val="center"/>
              <w:rPr>
                <w:rFonts w:eastAsia="仿宋" w:cs="Times New Roman"/>
                <w:b/>
                <w:bCs/>
                <w:sz w:val="20"/>
                <w:szCs w:val="20"/>
              </w:rPr>
            </w:pPr>
            <w:r>
              <w:rPr>
                <w:rFonts w:eastAsia="仿宋" w:cs="Times New Roman"/>
                <w:b/>
                <w:bCs/>
                <w:kern w:val="0"/>
                <w:sz w:val="20"/>
                <w:szCs w:val="20"/>
                <w:lang w:bidi="ar"/>
              </w:rPr>
              <w:t>A.2.2.5 实施生态保护和修复重大工程规划与建设（*）</w:t>
            </w:r>
          </w:p>
        </w:tc>
        <w:tc>
          <w:tcPr>
            <w:tcW w:w="2173" w:type="pct"/>
            <w:tcBorders>
              <w:top w:val="single" w:color="000000" w:sz="4" w:space="0"/>
              <w:left w:val="single" w:color="000000" w:sz="4" w:space="0"/>
              <w:bottom w:val="single" w:color="000000" w:sz="4" w:space="0"/>
              <w:right w:val="nil"/>
            </w:tcBorders>
            <w:shd w:val="clear" w:color="auto" w:fill="auto"/>
            <w:vAlign w:val="center"/>
          </w:tcPr>
          <w:p w14:paraId="0C671BDB">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包括</w:t>
            </w:r>
            <w:r>
              <w:rPr>
                <w:rFonts w:eastAsia="仿宋" w:cs="Times New Roman"/>
                <w:b/>
                <w:bCs/>
                <w:kern w:val="0"/>
                <w:sz w:val="20"/>
                <w:szCs w:val="20"/>
                <w:lang w:bidi="ar"/>
              </w:rPr>
              <w:t>密云水库生态涵养区生态保护与修复重大工程</w:t>
            </w:r>
            <w:r>
              <w:rPr>
                <w:rFonts w:eastAsia="仿宋" w:cs="Times New Roman"/>
                <w:kern w:val="0"/>
                <w:sz w:val="20"/>
                <w:szCs w:val="20"/>
                <w:lang w:bidi="ar"/>
              </w:rPr>
              <w:t>；符合《全国重要生态系统保护和修复重大工程总体规划（2021-2035年）》以及国家公园等自然保护地建设及</w:t>
            </w:r>
            <w:r>
              <w:rPr>
                <w:rFonts w:eastAsia="仿宋" w:cs="Times New Roman"/>
                <w:b/>
                <w:bCs/>
                <w:kern w:val="0"/>
                <w:sz w:val="20"/>
                <w:szCs w:val="20"/>
                <w:lang w:bidi="ar"/>
              </w:rPr>
              <w:t>野生动植物保护</w:t>
            </w:r>
            <w:r>
              <w:rPr>
                <w:rFonts w:eastAsia="仿宋" w:cs="Times New Roman"/>
                <w:kern w:val="0"/>
                <w:sz w:val="20"/>
                <w:szCs w:val="20"/>
                <w:lang w:bidi="ar"/>
              </w:rPr>
              <w:t>、生态保护和修复支撑体系重大工程专项建设等。</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E871EF">
            <w:pPr>
              <w:spacing w:line="240" w:lineRule="auto"/>
              <w:ind w:firstLine="0" w:firstLineChars="0"/>
              <w:jc w:val="center"/>
              <w:rPr>
                <w:rFonts w:eastAsia="宋体" w:cs="Times New Roman"/>
                <w:sz w:val="20"/>
                <w:szCs w:val="20"/>
              </w:rPr>
            </w:pP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E5C9C5">
            <w:pPr>
              <w:spacing w:line="240" w:lineRule="auto"/>
              <w:ind w:firstLine="0" w:firstLineChars="0"/>
              <w:jc w:val="center"/>
              <w:rPr>
                <w:rFonts w:eastAsia="宋体" w:cs="Times New Roman"/>
                <w:sz w:val="20"/>
                <w:szCs w:val="20"/>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D64F2E">
            <w:pPr>
              <w:spacing w:line="240" w:lineRule="auto"/>
              <w:ind w:firstLine="0" w:firstLineChars="0"/>
              <w:jc w:val="center"/>
              <w:rPr>
                <w:rFonts w:eastAsia="宋体" w:cs="Times New Roman"/>
                <w:sz w:val="20"/>
                <w:szCs w:val="20"/>
              </w:rPr>
            </w:pPr>
          </w:p>
        </w:tc>
      </w:tr>
      <w:tr w14:paraId="06CE3580">
        <w:tblPrEx>
          <w:tblCellMar>
            <w:top w:w="0" w:type="dxa"/>
            <w:left w:w="108" w:type="dxa"/>
            <w:bottom w:w="0" w:type="dxa"/>
            <w:right w:w="108" w:type="dxa"/>
          </w:tblCellMar>
        </w:tblPrEx>
        <w:trPr>
          <w:trHeight w:val="90" w:hRule="atLeast"/>
        </w:trPr>
        <w:tc>
          <w:tcPr>
            <w:tcW w:w="452" w:type="pct"/>
            <w:vMerge w:val="continue"/>
            <w:tcBorders>
              <w:top w:val="single" w:color="000000" w:sz="4" w:space="0"/>
              <w:left w:val="single" w:color="000000" w:sz="4" w:space="0"/>
              <w:bottom w:val="nil"/>
              <w:right w:val="single" w:color="auto" w:sz="4" w:space="0"/>
            </w:tcBorders>
            <w:shd w:val="clear" w:color="auto" w:fill="auto"/>
            <w:vAlign w:val="center"/>
          </w:tcPr>
          <w:p w14:paraId="20B13717">
            <w:pPr>
              <w:spacing w:line="240" w:lineRule="auto"/>
              <w:ind w:firstLine="0" w:firstLineChars="0"/>
              <w:jc w:val="center"/>
              <w:rPr>
                <w:rFonts w:eastAsia="仿宋" w:cs="Times New Roman"/>
                <w:sz w:val="20"/>
                <w:szCs w:val="20"/>
              </w:rPr>
            </w:pPr>
          </w:p>
        </w:tc>
        <w:tc>
          <w:tcPr>
            <w:tcW w:w="520"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14:paraId="2A53E4F4">
            <w:pPr>
              <w:spacing w:line="240" w:lineRule="auto"/>
              <w:ind w:firstLine="0" w:firstLineChars="0"/>
              <w:jc w:val="left"/>
              <w:rPr>
                <w:rFonts w:eastAsia="仿宋" w:cs="Times New Roman"/>
                <w:sz w:val="20"/>
                <w:szCs w:val="20"/>
              </w:rPr>
            </w:pP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166FE6">
            <w:pPr>
              <w:widowControl/>
              <w:spacing w:line="240" w:lineRule="auto"/>
              <w:ind w:firstLine="0" w:firstLineChars="0"/>
              <w:jc w:val="left"/>
              <w:textAlignment w:val="center"/>
              <w:rPr>
                <w:rFonts w:eastAsia="仿宋" w:cs="Times New Roman"/>
                <w:b/>
                <w:bCs/>
                <w:sz w:val="20"/>
                <w:szCs w:val="20"/>
              </w:rPr>
            </w:pPr>
            <w:r>
              <w:rPr>
                <w:rFonts w:eastAsia="仿宋" w:cs="Times New Roman"/>
                <w:b/>
                <w:bCs/>
                <w:kern w:val="0"/>
                <w:sz w:val="20"/>
                <w:szCs w:val="20"/>
                <w:lang w:bidi="ar"/>
              </w:rPr>
              <w:t>A.2.2.6 加强陆地生态系统生物多样性保护（*）</w:t>
            </w:r>
          </w:p>
        </w:tc>
        <w:tc>
          <w:tcPr>
            <w:tcW w:w="2173" w:type="pct"/>
            <w:tcBorders>
              <w:top w:val="single" w:color="000000" w:sz="4" w:space="0"/>
              <w:left w:val="single" w:color="000000" w:sz="4" w:space="0"/>
              <w:bottom w:val="single" w:color="000000" w:sz="4" w:space="0"/>
              <w:right w:val="nil"/>
            </w:tcBorders>
            <w:shd w:val="clear" w:color="auto" w:fill="auto"/>
            <w:vAlign w:val="center"/>
          </w:tcPr>
          <w:p w14:paraId="4B954301">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包括</w:t>
            </w:r>
            <w:r>
              <w:rPr>
                <w:rFonts w:eastAsia="仿宋" w:cs="Times New Roman"/>
                <w:b/>
                <w:bCs/>
                <w:kern w:val="0"/>
                <w:sz w:val="20"/>
                <w:szCs w:val="20"/>
                <w:lang w:bidi="ar"/>
              </w:rPr>
              <w:t>生物多样性监测保护网络建设</w:t>
            </w:r>
            <w:r>
              <w:rPr>
                <w:rFonts w:eastAsia="仿宋" w:cs="Times New Roman"/>
                <w:kern w:val="0"/>
                <w:sz w:val="20"/>
                <w:szCs w:val="20"/>
                <w:lang w:bidi="ar"/>
              </w:rPr>
              <w:t>，生物多样性保护优先区域调查与评估，</w:t>
            </w:r>
            <w:r>
              <w:rPr>
                <w:rFonts w:eastAsia="仿宋" w:cs="Times New Roman"/>
                <w:b/>
                <w:bCs/>
                <w:kern w:val="0"/>
                <w:sz w:val="20"/>
                <w:szCs w:val="20"/>
                <w:lang w:bidi="ar"/>
              </w:rPr>
              <w:t>生物多样性保护和监管</w:t>
            </w:r>
            <w:r>
              <w:rPr>
                <w:rFonts w:eastAsia="仿宋" w:cs="Times New Roman"/>
                <w:kern w:val="0"/>
                <w:sz w:val="20"/>
                <w:szCs w:val="20"/>
                <w:lang w:bidi="ar"/>
              </w:rPr>
              <w:t>等。</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507DF4">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5.2.1</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8CD569">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4.2.1.2</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E00411">
            <w:pPr>
              <w:spacing w:line="240" w:lineRule="auto"/>
              <w:ind w:firstLine="0" w:firstLineChars="0"/>
              <w:jc w:val="center"/>
              <w:rPr>
                <w:rFonts w:eastAsia="宋体" w:cs="Times New Roman"/>
                <w:sz w:val="20"/>
                <w:szCs w:val="20"/>
              </w:rPr>
            </w:pPr>
          </w:p>
        </w:tc>
      </w:tr>
      <w:tr w14:paraId="34B7DAFA">
        <w:tblPrEx>
          <w:tblCellMar>
            <w:top w:w="0" w:type="dxa"/>
            <w:left w:w="108" w:type="dxa"/>
            <w:bottom w:w="0" w:type="dxa"/>
            <w:right w:w="108" w:type="dxa"/>
          </w:tblCellMar>
        </w:tblPrEx>
        <w:trPr>
          <w:trHeight w:val="520" w:hRule="atLeast"/>
        </w:trPr>
        <w:tc>
          <w:tcPr>
            <w:tcW w:w="4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098A0C">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A.3 强化经济社会系统适应气候变化能力类项目</w:t>
            </w:r>
          </w:p>
        </w:tc>
        <w:tc>
          <w:tcPr>
            <w:tcW w:w="52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6E2560">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A.3.1 农业与粮食安全</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33E0AD">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A.3.1.1 优化农业气候资源利用格局</w:t>
            </w:r>
          </w:p>
        </w:tc>
        <w:tc>
          <w:tcPr>
            <w:tcW w:w="2173" w:type="pct"/>
            <w:tcBorders>
              <w:top w:val="single" w:color="000000" w:sz="4" w:space="0"/>
              <w:left w:val="single" w:color="000000" w:sz="4" w:space="0"/>
              <w:bottom w:val="single" w:color="000000" w:sz="4" w:space="0"/>
              <w:right w:val="nil"/>
            </w:tcBorders>
            <w:shd w:val="clear" w:color="auto" w:fill="auto"/>
            <w:vAlign w:val="center"/>
          </w:tcPr>
          <w:p w14:paraId="53373AB9">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包括农业气候资源动态评估和精细区划，优化产业布局、种植结构和作物品种配置等。</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4CAEA0">
            <w:pPr>
              <w:spacing w:line="240" w:lineRule="auto"/>
              <w:ind w:firstLine="0" w:firstLineChars="0"/>
              <w:jc w:val="center"/>
              <w:rPr>
                <w:rFonts w:eastAsia="宋体" w:cs="Times New Roman"/>
                <w:sz w:val="20"/>
                <w:szCs w:val="20"/>
              </w:rPr>
            </w:pP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6E82B8">
            <w:pPr>
              <w:spacing w:line="240" w:lineRule="auto"/>
              <w:ind w:firstLine="0" w:firstLineChars="0"/>
              <w:jc w:val="center"/>
              <w:rPr>
                <w:rFonts w:eastAsia="宋体" w:cs="Times New Roman"/>
                <w:sz w:val="20"/>
                <w:szCs w:val="20"/>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0F7B01">
            <w:pPr>
              <w:spacing w:line="240" w:lineRule="auto"/>
              <w:ind w:firstLine="0" w:firstLineChars="0"/>
              <w:jc w:val="center"/>
              <w:rPr>
                <w:rFonts w:eastAsia="宋体" w:cs="Times New Roman"/>
                <w:sz w:val="20"/>
                <w:szCs w:val="20"/>
              </w:rPr>
            </w:pPr>
          </w:p>
        </w:tc>
      </w:tr>
      <w:tr w14:paraId="3384F908">
        <w:tblPrEx>
          <w:tblCellMar>
            <w:top w:w="0" w:type="dxa"/>
            <w:left w:w="108" w:type="dxa"/>
            <w:bottom w:w="0" w:type="dxa"/>
            <w:right w:w="108" w:type="dxa"/>
          </w:tblCellMar>
        </w:tblPrEx>
        <w:trPr>
          <w:trHeight w:val="900" w:hRule="atLeast"/>
        </w:trPr>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EFF727">
            <w:pPr>
              <w:spacing w:line="240" w:lineRule="auto"/>
              <w:ind w:firstLine="0" w:firstLineChars="0"/>
              <w:jc w:val="left"/>
              <w:rPr>
                <w:rFonts w:eastAsia="仿宋" w:cs="Times New Roman"/>
                <w:sz w:val="20"/>
                <w:szCs w:val="20"/>
              </w:rPr>
            </w:pPr>
          </w:p>
        </w:tc>
        <w:tc>
          <w:tcPr>
            <w:tcW w:w="5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3AC167">
            <w:pPr>
              <w:spacing w:line="240" w:lineRule="auto"/>
              <w:ind w:firstLine="0" w:firstLineChars="0"/>
              <w:jc w:val="left"/>
              <w:rPr>
                <w:rFonts w:eastAsia="仿宋" w:cs="Times New Roman"/>
                <w:sz w:val="20"/>
                <w:szCs w:val="20"/>
              </w:rPr>
            </w:pP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7B783F">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A.3.1.2 强化农业应变减灾工作体系</w:t>
            </w:r>
          </w:p>
        </w:tc>
        <w:tc>
          <w:tcPr>
            <w:tcW w:w="2173" w:type="pct"/>
            <w:tcBorders>
              <w:top w:val="single" w:color="000000" w:sz="4" w:space="0"/>
              <w:left w:val="single" w:color="000000" w:sz="4" w:space="0"/>
              <w:bottom w:val="single" w:color="000000" w:sz="4" w:space="0"/>
              <w:right w:val="nil"/>
            </w:tcBorders>
            <w:shd w:val="clear" w:color="auto" w:fill="auto"/>
            <w:vAlign w:val="center"/>
          </w:tcPr>
          <w:p w14:paraId="6E10E6C0">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包括灾害监测预警和响应机制建设，灾害诊断技术与标准编制，不同区域、不同灾种和农业物种的减灾预案编制，防灾减灾物资储备；农田智能化排灌、气候适应型作物、林果应变栽植和畜禽、水产健康养殖技术体系建设；节水农业、旱作农业、抗旱保墒、排涝去渍等适应技术研发与应用；农业生产者和经营者防灾减灾与适应技术培训等。</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F348AB">
            <w:pPr>
              <w:spacing w:line="240" w:lineRule="auto"/>
              <w:ind w:firstLine="0" w:firstLineChars="0"/>
              <w:jc w:val="center"/>
              <w:rPr>
                <w:rFonts w:eastAsia="宋体" w:cs="Times New Roman"/>
                <w:sz w:val="20"/>
                <w:szCs w:val="20"/>
              </w:rPr>
            </w:pP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DB46B1">
            <w:pPr>
              <w:spacing w:line="240" w:lineRule="auto"/>
              <w:ind w:firstLine="0" w:firstLineChars="0"/>
              <w:jc w:val="center"/>
              <w:rPr>
                <w:rFonts w:eastAsia="宋体" w:cs="Times New Roman"/>
                <w:sz w:val="20"/>
                <w:szCs w:val="20"/>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28D48F">
            <w:pPr>
              <w:spacing w:line="240" w:lineRule="auto"/>
              <w:ind w:firstLine="0" w:firstLineChars="0"/>
              <w:jc w:val="center"/>
              <w:rPr>
                <w:rFonts w:eastAsia="宋体" w:cs="Times New Roman"/>
                <w:sz w:val="20"/>
                <w:szCs w:val="20"/>
              </w:rPr>
            </w:pPr>
          </w:p>
        </w:tc>
      </w:tr>
      <w:tr w14:paraId="6B46AB27">
        <w:tblPrEx>
          <w:tblCellMar>
            <w:top w:w="0" w:type="dxa"/>
            <w:left w:w="108" w:type="dxa"/>
            <w:bottom w:w="0" w:type="dxa"/>
            <w:right w:w="108" w:type="dxa"/>
          </w:tblCellMar>
        </w:tblPrEx>
        <w:trPr>
          <w:trHeight w:val="720" w:hRule="atLeast"/>
        </w:trPr>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DA9C14">
            <w:pPr>
              <w:spacing w:line="240" w:lineRule="auto"/>
              <w:ind w:firstLine="0" w:firstLineChars="0"/>
              <w:jc w:val="left"/>
              <w:rPr>
                <w:rFonts w:eastAsia="仿宋" w:cs="Times New Roman"/>
                <w:sz w:val="20"/>
                <w:szCs w:val="20"/>
              </w:rPr>
            </w:pPr>
          </w:p>
        </w:tc>
        <w:tc>
          <w:tcPr>
            <w:tcW w:w="5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855B50">
            <w:pPr>
              <w:spacing w:line="240" w:lineRule="auto"/>
              <w:ind w:firstLine="0" w:firstLineChars="0"/>
              <w:jc w:val="left"/>
              <w:rPr>
                <w:rFonts w:eastAsia="仿宋" w:cs="Times New Roman"/>
                <w:sz w:val="20"/>
                <w:szCs w:val="20"/>
              </w:rPr>
            </w:pP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CE2016">
            <w:pPr>
              <w:widowControl/>
              <w:spacing w:line="240" w:lineRule="auto"/>
              <w:ind w:firstLine="0" w:firstLineChars="0"/>
              <w:jc w:val="left"/>
              <w:textAlignment w:val="center"/>
              <w:rPr>
                <w:rFonts w:eastAsia="仿宋" w:cs="Times New Roman"/>
                <w:sz w:val="20"/>
                <w:szCs w:val="20"/>
              </w:rPr>
            </w:pPr>
            <w:r>
              <w:rPr>
                <w:rFonts w:eastAsia="仿宋" w:cs="Times New Roman"/>
                <w:b/>
                <w:bCs/>
                <w:kern w:val="0"/>
                <w:sz w:val="20"/>
                <w:szCs w:val="20"/>
                <w:lang w:bidi="ar"/>
              </w:rPr>
              <w:t>A.3.1.3 增强农业生态系统气候韧性(*)</w:t>
            </w:r>
          </w:p>
        </w:tc>
        <w:tc>
          <w:tcPr>
            <w:tcW w:w="2173" w:type="pct"/>
            <w:tcBorders>
              <w:top w:val="single" w:color="000000" w:sz="4" w:space="0"/>
              <w:left w:val="single" w:color="000000" w:sz="4" w:space="0"/>
              <w:bottom w:val="single" w:color="000000" w:sz="4" w:space="0"/>
              <w:right w:val="nil"/>
            </w:tcBorders>
            <w:shd w:val="clear" w:color="auto" w:fill="auto"/>
            <w:vAlign w:val="center"/>
          </w:tcPr>
          <w:p w14:paraId="55D2C377">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包括</w:t>
            </w:r>
            <w:r>
              <w:rPr>
                <w:rFonts w:eastAsia="仿宋" w:cs="Times New Roman"/>
                <w:b/>
                <w:bCs/>
                <w:kern w:val="0"/>
                <w:sz w:val="20"/>
                <w:szCs w:val="20"/>
                <w:lang w:bidi="ar"/>
              </w:rPr>
              <w:t>混林农业</w:t>
            </w:r>
            <w:r>
              <w:rPr>
                <w:rFonts w:eastAsia="仿宋" w:cs="Times New Roman"/>
                <w:kern w:val="0"/>
                <w:sz w:val="20"/>
                <w:szCs w:val="20"/>
                <w:lang w:bidi="ar"/>
              </w:rPr>
              <w:t>、间作套作体系、外来入侵生物防控体系建设；化肥减量增效，科学施肥；耕地保护与质量提升项目；种质资源保护基地和种子库建设，农业动植物濒危物种保护；传统农业文化遗产保护，农田景观设施优化等。</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69CC84">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5.1.2；5.1.8</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4C1C92">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4.1.1.1；4.1.1.6；4.1.2.1</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5228AB">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1.6</w:t>
            </w:r>
          </w:p>
        </w:tc>
      </w:tr>
      <w:tr w14:paraId="1BEBA25A">
        <w:tblPrEx>
          <w:tblCellMar>
            <w:top w:w="0" w:type="dxa"/>
            <w:left w:w="108" w:type="dxa"/>
            <w:bottom w:w="0" w:type="dxa"/>
            <w:right w:w="108" w:type="dxa"/>
          </w:tblCellMar>
        </w:tblPrEx>
        <w:trPr>
          <w:trHeight w:val="720" w:hRule="atLeast"/>
        </w:trPr>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BB021E">
            <w:pPr>
              <w:spacing w:line="240" w:lineRule="auto"/>
              <w:ind w:firstLine="0" w:firstLineChars="0"/>
              <w:jc w:val="left"/>
              <w:rPr>
                <w:rFonts w:eastAsia="仿宋" w:cs="Times New Roman"/>
                <w:sz w:val="20"/>
                <w:szCs w:val="20"/>
              </w:rPr>
            </w:pPr>
          </w:p>
        </w:tc>
        <w:tc>
          <w:tcPr>
            <w:tcW w:w="5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61D4D0">
            <w:pPr>
              <w:spacing w:line="240" w:lineRule="auto"/>
              <w:ind w:firstLine="0" w:firstLineChars="0"/>
              <w:jc w:val="left"/>
              <w:rPr>
                <w:rFonts w:eastAsia="仿宋" w:cs="Times New Roman"/>
                <w:sz w:val="20"/>
                <w:szCs w:val="20"/>
              </w:rPr>
            </w:pP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BD7369">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A.3.1.4 建立适应气候变化的粮食安全保障体系</w:t>
            </w:r>
          </w:p>
        </w:tc>
        <w:tc>
          <w:tcPr>
            <w:tcW w:w="2173" w:type="pct"/>
            <w:tcBorders>
              <w:top w:val="single" w:color="000000" w:sz="4" w:space="0"/>
              <w:left w:val="single" w:color="000000" w:sz="4" w:space="0"/>
              <w:bottom w:val="single" w:color="000000" w:sz="4" w:space="0"/>
              <w:right w:val="nil"/>
            </w:tcBorders>
            <w:shd w:val="clear" w:color="auto" w:fill="auto"/>
            <w:vAlign w:val="center"/>
          </w:tcPr>
          <w:p w14:paraId="4281A622">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包括主产区粮食产量和生产潜力监测、预测、供需及风险预估系统建设；耕地保护与质量建设；推进高标准农田建设；气候智慧型农业建设；农业适应气候变化技术创新研发；农业主产区适应气候变化技术示范基地建设；农业气象服务体系和风险分担机制建设等。</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2DF978">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5.1.5；5.3.3</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0A37A0">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4.1.1.2</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7AAA2D">
            <w:pPr>
              <w:spacing w:line="240" w:lineRule="auto"/>
              <w:ind w:firstLine="0" w:firstLineChars="0"/>
              <w:jc w:val="center"/>
              <w:rPr>
                <w:rFonts w:eastAsia="宋体" w:cs="Times New Roman"/>
                <w:sz w:val="20"/>
                <w:szCs w:val="20"/>
              </w:rPr>
            </w:pPr>
          </w:p>
        </w:tc>
      </w:tr>
      <w:tr w14:paraId="0CA22AE6">
        <w:tblPrEx>
          <w:tblCellMar>
            <w:top w:w="0" w:type="dxa"/>
            <w:left w:w="108" w:type="dxa"/>
            <w:bottom w:w="0" w:type="dxa"/>
            <w:right w:w="108" w:type="dxa"/>
          </w:tblCellMar>
        </w:tblPrEx>
        <w:trPr>
          <w:trHeight w:val="700" w:hRule="atLeast"/>
        </w:trPr>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A39E9A">
            <w:pPr>
              <w:spacing w:line="240" w:lineRule="auto"/>
              <w:ind w:firstLine="0" w:firstLineChars="0"/>
              <w:jc w:val="left"/>
              <w:rPr>
                <w:rFonts w:eastAsia="仿宋" w:cs="Times New Roman"/>
                <w:sz w:val="20"/>
                <w:szCs w:val="20"/>
              </w:rPr>
            </w:pPr>
          </w:p>
        </w:tc>
        <w:tc>
          <w:tcPr>
            <w:tcW w:w="52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17D95A">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A.3.2 健康与公共卫生</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5D602E">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A.3.2.1 开展气候变化健康风险和适应能力评估</w:t>
            </w:r>
          </w:p>
        </w:tc>
        <w:tc>
          <w:tcPr>
            <w:tcW w:w="2173" w:type="pct"/>
            <w:tcBorders>
              <w:top w:val="single" w:color="000000" w:sz="4" w:space="0"/>
              <w:left w:val="single" w:color="000000" w:sz="4" w:space="0"/>
              <w:bottom w:val="single" w:color="000000" w:sz="4" w:space="0"/>
              <w:right w:val="nil"/>
            </w:tcBorders>
            <w:shd w:val="clear" w:color="auto" w:fill="auto"/>
            <w:vAlign w:val="center"/>
          </w:tcPr>
          <w:p w14:paraId="4E8E5D62">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包括制定气候变化健康风险评估方案和指南，厘清和识别气候变化健康风险及脆弱人群；评估医疗卫生系统及重点脆弱人群适应气候变化能力，制定适应能力提升计划等。</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4A12E1">
            <w:pPr>
              <w:spacing w:line="240" w:lineRule="auto"/>
              <w:ind w:firstLine="0" w:firstLineChars="0"/>
              <w:jc w:val="center"/>
              <w:rPr>
                <w:rFonts w:eastAsia="宋体" w:cs="Times New Roman"/>
                <w:sz w:val="20"/>
                <w:szCs w:val="20"/>
              </w:rPr>
            </w:pP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8EFA1E">
            <w:pPr>
              <w:spacing w:line="240" w:lineRule="auto"/>
              <w:ind w:firstLine="0" w:firstLineChars="0"/>
              <w:jc w:val="center"/>
              <w:rPr>
                <w:rFonts w:eastAsia="宋体" w:cs="Times New Roman"/>
                <w:sz w:val="20"/>
                <w:szCs w:val="20"/>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BA6A8E">
            <w:pPr>
              <w:spacing w:line="240" w:lineRule="auto"/>
              <w:ind w:firstLine="0" w:firstLineChars="0"/>
              <w:jc w:val="center"/>
              <w:rPr>
                <w:rFonts w:eastAsia="宋体" w:cs="Times New Roman"/>
                <w:sz w:val="20"/>
                <w:szCs w:val="20"/>
              </w:rPr>
            </w:pPr>
          </w:p>
        </w:tc>
      </w:tr>
      <w:tr w14:paraId="7C1A851A">
        <w:tblPrEx>
          <w:tblCellMar>
            <w:top w:w="0" w:type="dxa"/>
            <w:left w:w="108" w:type="dxa"/>
            <w:bottom w:w="0" w:type="dxa"/>
            <w:right w:w="108" w:type="dxa"/>
          </w:tblCellMar>
        </w:tblPrEx>
        <w:trPr>
          <w:trHeight w:val="1010" w:hRule="atLeast"/>
        </w:trPr>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DD658A">
            <w:pPr>
              <w:spacing w:line="240" w:lineRule="auto"/>
              <w:ind w:firstLine="0" w:firstLineChars="0"/>
              <w:jc w:val="left"/>
              <w:rPr>
                <w:rFonts w:eastAsia="仿宋" w:cs="Times New Roman"/>
                <w:sz w:val="20"/>
                <w:szCs w:val="20"/>
              </w:rPr>
            </w:pPr>
          </w:p>
        </w:tc>
        <w:tc>
          <w:tcPr>
            <w:tcW w:w="5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8F5362">
            <w:pPr>
              <w:spacing w:line="240" w:lineRule="auto"/>
              <w:ind w:firstLine="0" w:firstLineChars="0"/>
              <w:jc w:val="left"/>
              <w:rPr>
                <w:rFonts w:eastAsia="仿宋" w:cs="Times New Roman"/>
                <w:sz w:val="20"/>
                <w:szCs w:val="20"/>
              </w:rPr>
            </w:pP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B58A9D">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A.3.2.2 加强气候敏感疾病的监测预警及防控</w:t>
            </w:r>
          </w:p>
        </w:tc>
        <w:tc>
          <w:tcPr>
            <w:tcW w:w="2173" w:type="pct"/>
            <w:tcBorders>
              <w:top w:val="single" w:color="000000" w:sz="4" w:space="0"/>
              <w:left w:val="single" w:color="000000" w:sz="4" w:space="0"/>
              <w:bottom w:val="single" w:color="000000" w:sz="4" w:space="0"/>
              <w:right w:val="nil"/>
            </w:tcBorders>
            <w:shd w:val="clear" w:color="auto" w:fill="auto"/>
            <w:vAlign w:val="center"/>
          </w:tcPr>
          <w:p w14:paraId="1E420738">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包括气候敏感疾病和人兽共患病的监测网络和数据报告系统，例如实时监测、检疫和早期预警，制定应急预案、应急救治管理等。</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75CB27">
            <w:pPr>
              <w:spacing w:line="240" w:lineRule="auto"/>
              <w:ind w:firstLine="0" w:firstLineChars="0"/>
              <w:jc w:val="center"/>
              <w:rPr>
                <w:rFonts w:eastAsia="宋体" w:cs="Times New Roman"/>
                <w:sz w:val="20"/>
                <w:szCs w:val="20"/>
              </w:rPr>
            </w:pP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7A9F00">
            <w:pPr>
              <w:spacing w:line="240" w:lineRule="auto"/>
              <w:ind w:firstLine="0" w:firstLineChars="0"/>
              <w:jc w:val="center"/>
              <w:rPr>
                <w:rFonts w:eastAsia="宋体" w:cs="Times New Roman"/>
                <w:sz w:val="20"/>
                <w:szCs w:val="20"/>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4AA70D">
            <w:pPr>
              <w:spacing w:line="240" w:lineRule="auto"/>
              <w:ind w:firstLine="0" w:firstLineChars="0"/>
              <w:jc w:val="center"/>
              <w:rPr>
                <w:rFonts w:eastAsia="宋体" w:cs="Times New Roman"/>
                <w:sz w:val="20"/>
                <w:szCs w:val="20"/>
              </w:rPr>
            </w:pPr>
          </w:p>
        </w:tc>
      </w:tr>
      <w:tr w14:paraId="1B52FCA3">
        <w:tblPrEx>
          <w:tblCellMar>
            <w:top w:w="0" w:type="dxa"/>
            <w:left w:w="108" w:type="dxa"/>
            <w:bottom w:w="0" w:type="dxa"/>
            <w:right w:w="108" w:type="dxa"/>
          </w:tblCellMar>
        </w:tblPrEx>
        <w:trPr>
          <w:trHeight w:val="357" w:hRule="atLeast"/>
        </w:trPr>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57F5B8">
            <w:pPr>
              <w:spacing w:line="240" w:lineRule="auto"/>
              <w:ind w:firstLine="0" w:firstLineChars="0"/>
              <w:jc w:val="left"/>
              <w:rPr>
                <w:rFonts w:eastAsia="仿宋" w:cs="Times New Roman"/>
                <w:sz w:val="20"/>
                <w:szCs w:val="20"/>
              </w:rPr>
            </w:pPr>
          </w:p>
        </w:tc>
        <w:tc>
          <w:tcPr>
            <w:tcW w:w="5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7C28CF">
            <w:pPr>
              <w:spacing w:line="240" w:lineRule="auto"/>
              <w:ind w:firstLine="0" w:firstLineChars="0"/>
              <w:jc w:val="left"/>
              <w:rPr>
                <w:rFonts w:eastAsia="仿宋" w:cs="Times New Roman"/>
                <w:sz w:val="20"/>
                <w:szCs w:val="20"/>
              </w:rPr>
            </w:pP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F33C22">
            <w:pPr>
              <w:widowControl/>
              <w:spacing w:line="240" w:lineRule="auto"/>
              <w:ind w:firstLine="0" w:firstLineChars="0"/>
              <w:jc w:val="left"/>
              <w:textAlignment w:val="center"/>
              <w:rPr>
                <w:rFonts w:eastAsia="仿宋" w:cs="Times New Roman"/>
                <w:sz w:val="20"/>
                <w:szCs w:val="20"/>
              </w:rPr>
            </w:pPr>
            <w:r>
              <w:rPr>
                <w:rFonts w:eastAsia="仿宋" w:cs="Times New Roman"/>
                <w:b/>
                <w:bCs/>
                <w:kern w:val="0"/>
                <w:sz w:val="20"/>
                <w:szCs w:val="20"/>
                <w:lang w:bidi="ar"/>
              </w:rPr>
              <w:t>A.3.2.3 增强医疗卫生系统韧性（*）</w:t>
            </w:r>
          </w:p>
        </w:tc>
        <w:tc>
          <w:tcPr>
            <w:tcW w:w="2173" w:type="pct"/>
            <w:tcBorders>
              <w:top w:val="single" w:color="000000" w:sz="4" w:space="0"/>
              <w:left w:val="single" w:color="000000" w:sz="4" w:space="0"/>
              <w:bottom w:val="single" w:color="000000" w:sz="4" w:space="0"/>
              <w:right w:val="nil"/>
            </w:tcBorders>
            <w:shd w:val="clear" w:color="auto" w:fill="auto"/>
            <w:vAlign w:val="center"/>
          </w:tcPr>
          <w:p w14:paraId="6374F707">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包括</w:t>
            </w:r>
            <w:r>
              <w:rPr>
                <w:rFonts w:eastAsia="仿宋" w:cs="Times New Roman"/>
                <w:b/>
                <w:bCs/>
                <w:kern w:val="0"/>
                <w:sz w:val="20"/>
                <w:szCs w:val="20"/>
                <w:lang w:bidi="ar"/>
              </w:rPr>
              <w:t>基层公共卫生应急能力建设</w:t>
            </w:r>
            <w:r>
              <w:rPr>
                <w:rFonts w:eastAsia="仿宋" w:cs="Times New Roman"/>
                <w:kern w:val="0"/>
                <w:sz w:val="20"/>
                <w:szCs w:val="20"/>
                <w:lang w:bidi="ar"/>
              </w:rPr>
              <w:t>，如公共卫生应急物资与医疗物资储备体系、制药与医疗器械生产系统应急产能储备体系建设；医疗卫生系统能源资源管理信息化建设，如气候敏感疾病的分级分层急救、治疗、护理与康复网络，极端天气气候事件的心理健康和精神卫生服务等。</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3AEFC8">
            <w:pPr>
              <w:spacing w:line="240" w:lineRule="auto"/>
              <w:ind w:firstLine="0" w:firstLineChars="0"/>
              <w:jc w:val="center"/>
              <w:rPr>
                <w:rFonts w:eastAsia="宋体" w:cs="Times New Roman"/>
                <w:sz w:val="20"/>
                <w:szCs w:val="20"/>
              </w:rPr>
            </w:pP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F2259A">
            <w:pPr>
              <w:spacing w:line="240" w:lineRule="auto"/>
              <w:ind w:firstLine="0" w:firstLineChars="0"/>
              <w:jc w:val="center"/>
              <w:rPr>
                <w:rFonts w:eastAsia="宋体" w:cs="Times New Roman"/>
                <w:sz w:val="20"/>
                <w:szCs w:val="20"/>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8B8E32">
            <w:pPr>
              <w:spacing w:line="240" w:lineRule="auto"/>
              <w:ind w:firstLine="0" w:firstLineChars="0"/>
              <w:jc w:val="center"/>
              <w:rPr>
                <w:rFonts w:eastAsia="宋体" w:cs="Times New Roman"/>
                <w:sz w:val="20"/>
                <w:szCs w:val="20"/>
              </w:rPr>
            </w:pPr>
          </w:p>
        </w:tc>
      </w:tr>
      <w:tr w14:paraId="637AA7BE">
        <w:tblPrEx>
          <w:tblCellMar>
            <w:top w:w="0" w:type="dxa"/>
            <w:left w:w="108" w:type="dxa"/>
            <w:bottom w:w="0" w:type="dxa"/>
            <w:right w:w="108" w:type="dxa"/>
          </w:tblCellMar>
        </w:tblPrEx>
        <w:trPr>
          <w:trHeight w:val="615" w:hRule="atLeast"/>
        </w:trPr>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EB8CC7">
            <w:pPr>
              <w:spacing w:line="240" w:lineRule="auto"/>
              <w:ind w:firstLine="0" w:firstLineChars="0"/>
              <w:jc w:val="left"/>
              <w:rPr>
                <w:rFonts w:eastAsia="仿宋" w:cs="Times New Roman"/>
                <w:sz w:val="20"/>
                <w:szCs w:val="20"/>
              </w:rPr>
            </w:pPr>
          </w:p>
        </w:tc>
        <w:tc>
          <w:tcPr>
            <w:tcW w:w="5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73A6D5">
            <w:pPr>
              <w:spacing w:line="240" w:lineRule="auto"/>
              <w:ind w:firstLine="0" w:firstLineChars="0"/>
              <w:jc w:val="left"/>
              <w:rPr>
                <w:rFonts w:eastAsia="仿宋" w:cs="Times New Roman"/>
                <w:sz w:val="20"/>
                <w:szCs w:val="20"/>
              </w:rPr>
            </w:pP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ED5B84">
            <w:pPr>
              <w:widowControl/>
              <w:spacing w:line="240" w:lineRule="auto"/>
              <w:ind w:firstLine="0" w:firstLineChars="0"/>
              <w:jc w:val="left"/>
              <w:textAlignment w:val="center"/>
              <w:rPr>
                <w:rFonts w:eastAsia="仿宋" w:cs="Times New Roman"/>
                <w:sz w:val="20"/>
                <w:szCs w:val="20"/>
              </w:rPr>
            </w:pPr>
            <w:r>
              <w:rPr>
                <w:rFonts w:eastAsia="仿宋" w:cs="Times New Roman"/>
                <w:b/>
                <w:bCs/>
                <w:kern w:val="0"/>
                <w:sz w:val="20"/>
                <w:szCs w:val="20"/>
                <w:lang w:bidi="ar"/>
              </w:rPr>
              <w:t xml:space="preserve">A.3.2.4 </w:t>
            </w:r>
            <w:r>
              <w:rPr>
                <w:rFonts w:hint="eastAsia" w:eastAsia="仿宋" w:cs="Times New Roman"/>
                <w:b/>
                <w:bCs/>
                <w:kern w:val="0"/>
                <w:sz w:val="20"/>
                <w:szCs w:val="20"/>
                <w:lang w:bidi="ar"/>
              </w:rPr>
              <w:t>全面推进气候变化健康适应行动</w:t>
            </w:r>
            <w:r>
              <w:rPr>
                <w:rFonts w:eastAsia="仿宋" w:cs="Times New Roman"/>
                <w:b/>
                <w:bCs/>
                <w:kern w:val="0"/>
                <w:sz w:val="20"/>
                <w:szCs w:val="20"/>
                <w:lang w:bidi="ar"/>
              </w:rPr>
              <w:t>（*）</w:t>
            </w:r>
          </w:p>
        </w:tc>
        <w:tc>
          <w:tcPr>
            <w:tcW w:w="2173" w:type="pct"/>
            <w:tcBorders>
              <w:top w:val="single" w:color="000000" w:sz="4" w:space="0"/>
              <w:left w:val="single" w:color="000000" w:sz="4" w:space="0"/>
              <w:bottom w:val="single" w:color="000000" w:sz="4" w:space="0"/>
              <w:right w:val="nil"/>
            </w:tcBorders>
            <w:shd w:val="clear" w:color="auto" w:fill="auto"/>
            <w:vAlign w:val="center"/>
          </w:tcPr>
          <w:p w14:paraId="10726F86">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包括气候变化健康适应行动，提升气候变化和极端天气气候事件下健康适应水平；开展</w:t>
            </w:r>
            <w:r>
              <w:rPr>
                <w:rFonts w:hint="eastAsia" w:eastAsia="仿宋" w:cs="Times New Roman"/>
                <w:b/>
                <w:bCs/>
                <w:kern w:val="0"/>
                <w:sz w:val="20"/>
                <w:szCs w:val="20"/>
                <w:lang w:bidi="ar"/>
              </w:rPr>
              <w:t>气候变化健康适应乡村、康养场所</w:t>
            </w:r>
            <w:r>
              <w:rPr>
                <w:rFonts w:hint="eastAsia" w:eastAsia="仿宋" w:cs="Times New Roman"/>
                <w:kern w:val="0"/>
                <w:sz w:val="20"/>
                <w:szCs w:val="20"/>
                <w:lang w:bidi="ar"/>
              </w:rPr>
              <w:t>等</w:t>
            </w:r>
            <w:r>
              <w:rPr>
                <w:rFonts w:eastAsia="仿宋" w:cs="Times New Roman"/>
                <w:kern w:val="0"/>
                <w:sz w:val="20"/>
                <w:szCs w:val="20"/>
                <w:lang w:bidi="ar"/>
              </w:rPr>
              <w:t>行动试点，总结可推广的适应模式</w:t>
            </w:r>
            <w:r>
              <w:rPr>
                <w:rFonts w:hint="eastAsia" w:eastAsia="仿宋" w:cs="Times New Roman"/>
                <w:kern w:val="0"/>
                <w:sz w:val="20"/>
                <w:szCs w:val="20"/>
                <w:lang w:bidi="ar"/>
              </w:rPr>
              <w:t>；</w:t>
            </w:r>
            <w:r>
              <w:rPr>
                <w:rFonts w:eastAsia="仿宋" w:cs="Times New Roman"/>
                <w:kern w:val="0"/>
                <w:sz w:val="20"/>
                <w:szCs w:val="20"/>
                <w:lang w:bidi="ar"/>
              </w:rPr>
              <w:t>建设气候变化与健康专家咨询委员会、技术联盟、重点实验室等平台等。</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8E5109">
            <w:pPr>
              <w:spacing w:line="240" w:lineRule="auto"/>
              <w:ind w:firstLine="0" w:firstLineChars="0"/>
              <w:jc w:val="center"/>
              <w:rPr>
                <w:rFonts w:eastAsia="宋体" w:cs="Times New Roman"/>
                <w:sz w:val="20"/>
                <w:szCs w:val="20"/>
              </w:rPr>
            </w:pP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00CFDE">
            <w:pPr>
              <w:spacing w:line="240" w:lineRule="auto"/>
              <w:ind w:firstLine="0" w:firstLineChars="0"/>
              <w:jc w:val="center"/>
              <w:rPr>
                <w:rFonts w:eastAsia="宋体" w:cs="Times New Roman"/>
                <w:sz w:val="20"/>
                <w:szCs w:val="20"/>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EEB60A">
            <w:pPr>
              <w:spacing w:line="240" w:lineRule="auto"/>
              <w:ind w:firstLine="0" w:firstLineChars="0"/>
              <w:jc w:val="center"/>
              <w:rPr>
                <w:rFonts w:eastAsia="宋体" w:cs="Times New Roman"/>
                <w:sz w:val="20"/>
                <w:szCs w:val="20"/>
              </w:rPr>
            </w:pPr>
          </w:p>
        </w:tc>
      </w:tr>
      <w:tr w14:paraId="1DE79667">
        <w:tblPrEx>
          <w:tblCellMar>
            <w:top w:w="0" w:type="dxa"/>
            <w:left w:w="108" w:type="dxa"/>
            <w:bottom w:w="0" w:type="dxa"/>
            <w:right w:w="108" w:type="dxa"/>
          </w:tblCellMar>
        </w:tblPrEx>
        <w:trPr>
          <w:trHeight w:val="480" w:hRule="atLeast"/>
        </w:trPr>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F179C9">
            <w:pPr>
              <w:spacing w:line="240" w:lineRule="auto"/>
              <w:ind w:firstLine="0" w:firstLineChars="0"/>
              <w:jc w:val="left"/>
              <w:rPr>
                <w:rFonts w:eastAsia="仿宋" w:cs="Times New Roman"/>
                <w:sz w:val="20"/>
                <w:szCs w:val="20"/>
              </w:rPr>
            </w:pPr>
          </w:p>
        </w:tc>
        <w:tc>
          <w:tcPr>
            <w:tcW w:w="52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F1DDDC">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A.3.3 基础设施与重大工程</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8E18B4">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A.3.3.1 加强基础设施与重大工程气候风险管理</w:t>
            </w:r>
          </w:p>
        </w:tc>
        <w:tc>
          <w:tcPr>
            <w:tcW w:w="2173" w:type="pct"/>
            <w:tcBorders>
              <w:top w:val="single" w:color="000000" w:sz="4" w:space="0"/>
              <w:left w:val="single" w:color="000000" w:sz="4" w:space="0"/>
              <w:bottom w:val="single" w:color="000000" w:sz="4" w:space="0"/>
              <w:right w:val="nil"/>
            </w:tcBorders>
            <w:shd w:val="clear" w:color="auto" w:fill="auto"/>
            <w:vAlign w:val="center"/>
          </w:tcPr>
          <w:p w14:paraId="3232249B">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包括基础设施与重大工程气候变化影响监测和风险预警，如监控薄弱环节和各类风险点，评估风险等级与强度等。</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E7FC6E">
            <w:pPr>
              <w:spacing w:line="240" w:lineRule="auto"/>
              <w:ind w:firstLine="0" w:firstLineChars="0"/>
              <w:jc w:val="center"/>
              <w:rPr>
                <w:rFonts w:eastAsia="宋体" w:cs="Times New Roman"/>
                <w:sz w:val="20"/>
                <w:szCs w:val="20"/>
              </w:rPr>
            </w:pP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DB49CC">
            <w:pPr>
              <w:spacing w:line="240" w:lineRule="auto"/>
              <w:ind w:firstLine="0" w:firstLineChars="0"/>
              <w:jc w:val="center"/>
              <w:rPr>
                <w:rFonts w:eastAsia="宋体" w:cs="Times New Roman"/>
                <w:sz w:val="20"/>
                <w:szCs w:val="20"/>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9DFB73">
            <w:pPr>
              <w:spacing w:line="240" w:lineRule="auto"/>
              <w:ind w:firstLine="0" w:firstLineChars="0"/>
              <w:jc w:val="center"/>
              <w:rPr>
                <w:rFonts w:eastAsia="宋体" w:cs="Times New Roman"/>
                <w:sz w:val="20"/>
                <w:szCs w:val="20"/>
              </w:rPr>
            </w:pPr>
          </w:p>
        </w:tc>
      </w:tr>
      <w:tr w14:paraId="1116ECA3">
        <w:tblPrEx>
          <w:tblCellMar>
            <w:top w:w="0" w:type="dxa"/>
            <w:left w:w="108" w:type="dxa"/>
            <w:bottom w:w="0" w:type="dxa"/>
            <w:right w:w="108" w:type="dxa"/>
          </w:tblCellMar>
        </w:tblPrEx>
        <w:trPr>
          <w:trHeight w:val="720" w:hRule="atLeast"/>
        </w:trPr>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4A66DD">
            <w:pPr>
              <w:spacing w:line="240" w:lineRule="auto"/>
              <w:ind w:firstLine="0" w:firstLineChars="0"/>
              <w:jc w:val="left"/>
              <w:rPr>
                <w:rFonts w:eastAsia="仿宋" w:cs="Times New Roman"/>
                <w:sz w:val="20"/>
                <w:szCs w:val="20"/>
              </w:rPr>
            </w:pPr>
          </w:p>
        </w:tc>
        <w:tc>
          <w:tcPr>
            <w:tcW w:w="5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AA249F">
            <w:pPr>
              <w:spacing w:line="240" w:lineRule="auto"/>
              <w:ind w:firstLine="0" w:firstLineChars="0"/>
              <w:jc w:val="left"/>
              <w:rPr>
                <w:rFonts w:eastAsia="仿宋" w:cs="Times New Roman"/>
                <w:sz w:val="20"/>
                <w:szCs w:val="20"/>
              </w:rPr>
            </w:pP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66DD59">
            <w:pPr>
              <w:widowControl/>
              <w:spacing w:line="240" w:lineRule="auto"/>
              <w:ind w:firstLine="0" w:firstLineChars="0"/>
              <w:jc w:val="left"/>
              <w:textAlignment w:val="center"/>
              <w:rPr>
                <w:rFonts w:eastAsia="仿宋" w:cs="Times New Roman"/>
                <w:sz w:val="20"/>
                <w:szCs w:val="20"/>
              </w:rPr>
            </w:pPr>
            <w:r>
              <w:rPr>
                <w:rFonts w:eastAsia="仿宋" w:cs="Times New Roman"/>
                <w:b/>
                <w:bCs/>
                <w:kern w:val="0"/>
                <w:sz w:val="20"/>
                <w:szCs w:val="20"/>
                <w:lang w:bidi="ar"/>
              </w:rPr>
              <w:t>A.3.3.2 推动基础设施与重大工程气候韧性建设（*）</w:t>
            </w:r>
          </w:p>
        </w:tc>
        <w:tc>
          <w:tcPr>
            <w:tcW w:w="2173" w:type="pct"/>
            <w:tcBorders>
              <w:top w:val="single" w:color="000000" w:sz="4" w:space="0"/>
              <w:left w:val="single" w:color="000000" w:sz="4" w:space="0"/>
              <w:bottom w:val="single" w:color="000000" w:sz="4" w:space="0"/>
              <w:right w:val="nil"/>
            </w:tcBorders>
            <w:shd w:val="clear" w:color="auto" w:fill="auto"/>
            <w:vAlign w:val="center"/>
          </w:tcPr>
          <w:p w14:paraId="44CC3D37">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包括韧性交通基础设施建设；提高能源基础设施耐受风暴潮、高温、冰冻等极端天气气候事件能力；</w:t>
            </w:r>
            <w:r>
              <w:rPr>
                <w:rFonts w:eastAsia="仿宋" w:cs="Times New Roman"/>
                <w:b/>
                <w:bCs/>
                <w:kern w:val="0"/>
                <w:sz w:val="20"/>
                <w:szCs w:val="20"/>
                <w:lang w:bidi="ar"/>
              </w:rPr>
              <w:t>充分运用大数据、云计算、区块链、人工智能等前沿技术，落地一批智慧生态环保、智慧园林、智慧水务、智慧文旅、智慧社区</w:t>
            </w:r>
            <w:r>
              <w:rPr>
                <w:rFonts w:eastAsia="仿宋" w:cs="Times New Roman"/>
                <w:kern w:val="0"/>
                <w:sz w:val="20"/>
                <w:szCs w:val="20"/>
                <w:lang w:bidi="ar"/>
              </w:rPr>
              <w:t>等。</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14B197">
            <w:pPr>
              <w:spacing w:line="240" w:lineRule="auto"/>
              <w:ind w:firstLine="0" w:firstLineChars="0"/>
              <w:jc w:val="center"/>
              <w:rPr>
                <w:rFonts w:eastAsia="宋体" w:cs="Times New Roman"/>
                <w:sz w:val="20"/>
                <w:szCs w:val="20"/>
              </w:rPr>
            </w:pP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92E2D1">
            <w:pPr>
              <w:spacing w:line="240" w:lineRule="auto"/>
              <w:ind w:firstLine="0" w:firstLineChars="0"/>
              <w:jc w:val="center"/>
              <w:rPr>
                <w:rFonts w:eastAsia="宋体" w:cs="Times New Roman"/>
                <w:sz w:val="20"/>
                <w:szCs w:val="20"/>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4D2B1E">
            <w:pPr>
              <w:spacing w:line="240" w:lineRule="auto"/>
              <w:ind w:firstLine="0" w:firstLineChars="0"/>
              <w:jc w:val="center"/>
              <w:rPr>
                <w:rFonts w:eastAsia="宋体" w:cs="Times New Roman"/>
                <w:sz w:val="20"/>
                <w:szCs w:val="20"/>
              </w:rPr>
            </w:pPr>
          </w:p>
        </w:tc>
      </w:tr>
      <w:tr w14:paraId="20A5062D">
        <w:tblPrEx>
          <w:tblCellMar>
            <w:top w:w="0" w:type="dxa"/>
            <w:left w:w="108" w:type="dxa"/>
            <w:bottom w:w="0" w:type="dxa"/>
            <w:right w:w="108" w:type="dxa"/>
          </w:tblCellMar>
        </w:tblPrEx>
        <w:trPr>
          <w:trHeight w:val="337" w:hRule="atLeast"/>
        </w:trPr>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734136">
            <w:pPr>
              <w:spacing w:line="240" w:lineRule="auto"/>
              <w:ind w:firstLine="0" w:firstLineChars="0"/>
              <w:jc w:val="left"/>
              <w:rPr>
                <w:rFonts w:eastAsia="仿宋" w:cs="Times New Roman"/>
                <w:sz w:val="20"/>
                <w:szCs w:val="20"/>
              </w:rPr>
            </w:pPr>
          </w:p>
        </w:tc>
        <w:tc>
          <w:tcPr>
            <w:tcW w:w="5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4FE8FC">
            <w:pPr>
              <w:spacing w:line="240" w:lineRule="auto"/>
              <w:ind w:firstLine="0" w:firstLineChars="0"/>
              <w:jc w:val="left"/>
              <w:rPr>
                <w:rFonts w:eastAsia="仿宋" w:cs="Times New Roman"/>
                <w:sz w:val="20"/>
                <w:szCs w:val="20"/>
              </w:rPr>
            </w:pP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984B70">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A.3.3.3 完善基础设施与重大工程技术标准体系</w:t>
            </w:r>
          </w:p>
        </w:tc>
        <w:tc>
          <w:tcPr>
            <w:tcW w:w="2173" w:type="pct"/>
            <w:tcBorders>
              <w:top w:val="single" w:color="000000" w:sz="4" w:space="0"/>
              <w:left w:val="single" w:color="000000" w:sz="4" w:space="0"/>
              <w:bottom w:val="single" w:color="000000" w:sz="4" w:space="0"/>
              <w:right w:val="nil"/>
            </w:tcBorders>
            <w:shd w:val="clear" w:color="auto" w:fill="auto"/>
            <w:vAlign w:val="center"/>
          </w:tcPr>
          <w:p w14:paraId="00BC7F20">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包括适应气候变化融入基础设施与重大工程技术标准制定，如结合气候变化及其影响和风险评估，对现行技术标准复审及修订；开展未来工程技术标准调整和修订计划及研究等。</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A28B5A">
            <w:pPr>
              <w:spacing w:line="240" w:lineRule="auto"/>
              <w:ind w:firstLine="0" w:firstLineChars="0"/>
              <w:jc w:val="center"/>
              <w:rPr>
                <w:rFonts w:eastAsia="宋体" w:cs="Times New Roman"/>
                <w:sz w:val="20"/>
                <w:szCs w:val="20"/>
              </w:rPr>
            </w:pP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613F3D">
            <w:pPr>
              <w:spacing w:line="240" w:lineRule="auto"/>
              <w:ind w:firstLine="0" w:firstLineChars="0"/>
              <w:jc w:val="center"/>
              <w:rPr>
                <w:rFonts w:eastAsia="宋体" w:cs="Times New Roman"/>
                <w:sz w:val="20"/>
                <w:szCs w:val="20"/>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97EDC6">
            <w:pPr>
              <w:spacing w:line="240" w:lineRule="auto"/>
              <w:ind w:firstLine="0" w:firstLineChars="0"/>
              <w:jc w:val="center"/>
              <w:rPr>
                <w:rFonts w:eastAsia="宋体" w:cs="Times New Roman"/>
                <w:sz w:val="20"/>
                <w:szCs w:val="20"/>
              </w:rPr>
            </w:pPr>
          </w:p>
        </w:tc>
      </w:tr>
      <w:tr w14:paraId="33DA7223">
        <w:tblPrEx>
          <w:tblCellMar>
            <w:top w:w="0" w:type="dxa"/>
            <w:left w:w="108" w:type="dxa"/>
            <w:bottom w:w="0" w:type="dxa"/>
            <w:right w:w="108" w:type="dxa"/>
          </w:tblCellMar>
        </w:tblPrEx>
        <w:trPr>
          <w:trHeight w:val="444" w:hRule="atLeast"/>
        </w:trPr>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E15535">
            <w:pPr>
              <w:spacing w:line="240" w:lineRule="auto"/>
              <w:ind w:firstLine="0" w:firstLineChars="0"/>
              <w:jc w:val="left"/>
              <w:rPr>
                <w:rFonts w:eastAsia="仿宋" w:cs="Times New Roman"/>
                <w:sz w:val="20"/>
                <w:szCs w:val="20"/>
              </w:rPr>
            </w:pPr>
          </w:p>
        </w:tc>
        <w:tc>
          <w:tcPr>
            <w:tcW w:w="5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2E4BF9">
            <w:pPr>
              <w:spacing w:line="240" w:lineRule="auto"/>
              <w:ind w:firstLine="0" w:firstLineChars="0"/>
              <w:jc w:val="left"/>
              <w:rPr>
                <w:rFonts w:eastAsia="仿宋" w:cs="Times New Roman"/>
                <w:sz w:val="20"/>
                <w:szCs w:val="20"/>
              </w:rPr>
            </w:pP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F4BFF0">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A.3.3.4 突破基础设施与重大工程关键适应技术</w:t>
            </w:r>
          </w:p>
        </w:tc>
        <w:tc>
          <w:tcPr>
            <w:tcW w:w="2173" w:type="pct"/>
            <w:tcBorders>
              <w:top w:val="single" w:color="000000" w:sz="4" w:space="0"/>
              <w:left w:val="single" w:color="000000" w:sz="4" w:space="0"/>
              <w:bottom w:val="single" w:color="000000" w:sz="4" w:space="0"/>
              <w:right w:val="nil"/>
            </w:tcBorders>
            <w:shd w:val="clear" w:color="auto" w:fill="auto"/>
            <w:vAlign w:val="center"/>
          </w:tcPr>
          <w:p w14:paraId="152B7526">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包括基础设施与重大工程气候影响监测和风险预警技术，如预防交通基础设施领域的低温冰雪和风暴潮等；水利基础设施领域适应技术，如干旱高温、旱涝急转、极端低温等不利工况的耐腐蚀性新型筑坝材料；能源工程与电网安全技术，如多电网联合并网、消纳和调度等；城乡基础设施适应技术，如提升供水、供电、交通和应急通讯等的综合适应能力的技术。</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D0AE36">
            <w:pPr>
              <w:spacing w:line="240" w:lineRule="auto"/>
              <w:ind w:firstLine="0" w:firstLineChars="0"/>
              <w:jc w:val="center"/>
              <w:rPr>
                <w:rFonts w:eastAsia="宋体" w:cs="Times New Roman"/>
                <w:sz w:val="20"/>
                <w:szCs w:val="20"/>
              </w:rPr>
            </w:pP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D19EE2">
            <w:pPr>
              <w:spacing w:line="240" w:lineRule="auto"/>
              <w:ind w:firstLine="0" w:firstLineChars="0"/>
              <w:jc w:val="center"/>
              <w:rPr>
                <w:rFonts w:eastAsia="宋体" w:cs="Times New Roman"/>
                <w:sz w:val="20"/>
                <w:szCs w:val="20"/>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E642B3">
            <w:pPr>
              <w:spacing w:line="240" w:lineRule="auto"/>
              <w:ind w:firstLine="0" w:firstLineChars="0"/>
              <w:jc w:val="center"/>
              <w:rPr>
                <w:rFonts w:eastAsia="宋体" w:cs="Times New Roman"/>
                <w:sz w:val="20"/>
                <w:szCs w:val="20"/>
              </w:rPr>
            </w:pPr>
          </w:p>
        </w:tc>
      </w:tr>
      <w:tr w14:paraId="1CBA6220">
        <w:tblPrEx>
          <w:tblCellMar>
            <w:top w:w="0" w:type="dxa"/>
            <w:left w:w="108" w:type="dxa"/>
            <w:bottom w:w="0" w:type="dxa"/>
            <w:right w:w="108" w:type="dxa"/>
          </w:tblCellMar>
        </w:tblPrEx>
        <w:trPr>
          <w:trHeight w:val="699" w:hRule="atLeast"/>
        </w:trPr>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2D4376">
            <w:pPr>
              <w:spacing w:line="240" w:lineRule="auto"/>
              <w:ind w:firstLine="0" w:firstLineChars="0"/>
              <w:jc w:val="left"/>
              <w:rPr>
                <w:rFonts w:eastAsia="仿宋" w:cs="Times New Roman"/>
                <w:sz w:val="20"/>
                <w:szCs w:val="20"/>
              </w:rPr>
            </w:pPr>
          </w:p>
        </w:tc>
        <w:tc>
          <w:tcPr>
            <w:tcW w:w="52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E921BE">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A.3.4 城市与人居环境</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B6A8A8">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A.3.4.1 强化城市气候风险评估</w:t>
            </w:r>
          </w:p>
        </w:tc>
        <w:tc>
          <w:tcPr>
            <w:tcW w:w="2173" w:type="pct"/>
            <w:tcBorders>
              <w:top w:val="single" w:color="000000" w:sz="4" w:space="0"/>
              <w:left w:val="single" w:color="000000" w:sz="4" w:space="0"/>
              <w:bottom w:val="single" w:color="000000" w:sz="4" w:space="0"/>
              <w:right w:val="nil"/>
            </w:tcBorders>
            <w:shd w:val="clear" w:color="auto" w:fill="auto"/>
            <w:vAlign w:val="center"/>
          </w:tcPr>
          <w:p w14:paraId="327CF4C4">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包括气候变化对城市社会、经济与生态的主要影响和风险评估，如城市不同领域、区域和人群的脆弱性评估。</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44D0E3">
            <w:pPr>
              <w:spacing w:line="240" w:lineRule="auto"/>
              <w:ind w:firstLine="0" w:firstLineChars="0"/>
              <w:jc w:val="center"/>
              <w:rPr>
                <w:rFonts w:eastAsia="宋体" w:cs="Times New Roman"/>
                <w:sz w:val="20"/>
                <w:szCs w:val="20"/>
              </w:rPr>
            </w:pP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9DBEB7">
            <w:pPr>
              <w:spacing w:line="240" w:lineRule="auto"/>
              <w:ind w:firstLine="0" w:firstLineChars="0"/>
              <w:jc w:val="center"/>
              <w:rPr>
                <w:rFonts w:eastAsia="宋体" w:cs="Times New Roman"/>
                <w:sz w:val="20"/>
                <w:szCs w:val="20"/>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319CB6">
            <w:pPr>
              <w:spacing w:line="240" w:lineRule="auto"/>
              <w:ind w:firstLine="0" w:firstLineChars="0"/>
              <w:jc w:val="center"/>
              <w:rPr>
                <w:rFonts w:eastAsia="宋体" w:cs="Times New Roman"/>
                <w:sz w:val="20"/>
                <w:szCs w:val="20"/>
              </w:rPr>
            </w:pPr>
          </w:p>
        </w:tc>
      </w:tr>
      <w:tr w14:paraId="2EFA4881">
        <w:tblPrEx>
          <w:tblCellMar>
            <w:top w:w="0" w:type="dxa"/>
            <w:left w:w="108" w:type="dxa"/>
            <w:bottom w:w="0" w:type="dxa"/>
            <w:right w:w="108" w:type="dxa"/>
          </w:tblCellMar>
        </w:tblPrEx>
        <w:trPr>
          <w:trHeight w:val="1678" w:hRule="atLeast"/>
        </w:trPr>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80D65E">
            <w:pPr>
              <w:spacing w:line="240" w:lineRule="auto"/>
              <w:ind w:firstLine="0" w:firstLineChars="0"/>
              <w:jc w:val="left"/>
              <w:rPr>
                <w:rFonts w:eastAsia="仿宋" w:cs="Times New Roman"/>
                <w:sz w:val="20"/>
                <w:szCs w:val="20"/>
              </w:rPr>
            </w:pPr>
          </w:p>
        </w:tc>
        <w:tc>
          <w:tcPr>
            <w:tcW w:w="5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588701">
            <w:pPr>
              <w:spacing w:line="240" w:lineRule="auto"/>
              <w:ind w:firstLine="0" w:firstLineChars="0"/>
              <w:jc w:val="left"/>
              <w:rPr>
                <w:rFonts w:eastAsia="仿宋" w:cs="Times New Roman"/>
                <w:sz w:val="20"/>
                <w:szCs w:val="20"/>
              </w:rPr>
            </w:pP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32C9F3">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A.3.4.2 调整优化城市功能布局</w:t>
            </w:r>
          </w:p>
        </w:tc>
        <w:tc>
          <w:tcPr>
            <w:tcW w:w="2173" w:type="pct"/>
            <w:tcBorders>
              <w:top w:val="single" w:color="000000" w:sz="4" w:space="0"/>
              <w:left w:val="single" w:color="000000" w:sz="4" w:space="0"/>
              <w:bottom w:val="single" w:color="000000" w:sz="4" w:space="0"/>
              <w:right w:val="nil"/>
            </w:tcBorders>
            <w:shd w:val="clear" w:color="auto" w:fill="auto"/>
            <w:vAlign w:val="center"/>
          </w:tcPr>
          <w:p w14:paraId="136620D8">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指充分考虑气候承载力，统筹安排城市建设、产业发展、生态涵养、基础设施和公共服务，合理规划城市布局与功能，遏制可能导致区域气候恶化、灾害风险增大与城市病加剧的无序扩张。包括城乡基础设施和公共服务设施建设，城乡设施联动建设，公共消防、人防设施以及防灾避险场所建设，社区基本公共服务设施及无障碍环境建设等。</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5C7AA3">
            <w:pPr>
              <w:spacing w:line="240" w:lineRule="auto"/>
              <w:ind w:firstLine="0" w:firstLineChars="0"/>
              <w:jc w:val="center"/>
              <w:rPr>
                <w:rFonts w:eastAsia="宋体" w:cs="Times New Roman"/>
                <w:sz w:val="20"/>
                <w:szCs w:val="20"/>
              </w:rPr>
            </w:pP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C92C90">
            <w:pPr>
              <w:spacing w:line="240" w:lineRule="auto"/>
              <w:ind w:firstLine="0" w:firstLineChars="0"/>
              <w:jc w:val="center"/>
              <w:rPr>
                <w:rFonts w:eastAsia="宋体" w:cs="Times New Roman"/>
                <w:sz w:val="20"/>
                <w:szCs w:val="20"/>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50ED3E">
            <w:pPr>
              <w:spacing w:line="240" w:lineRule="auto"/>
              <w:ind w:firstLine="0" w:firstLineChars="0"/>
              <w:jc w:val="center"/>
              <w:rPr>
                <w:rFonts w:eastAsia="宋体" w:cs="Times New Roman"/>
                <w:sz w:val="20"/>
                <w:szCs w:val="20"/>
              </w:rPr>
            </w:pPr>
          </w:p>
        </w:tc>
      </w:tr>
      <w:tr w14:paraId="699C5D19">
        <w:tblPrEx>
          <w:tblCellMar>
            <w:top w:w="0" w:type="dxa"/>
            <w:left w:w="108" w:type="dxa"/>
            <w:bottom w:w="0" w:type="dxa"/>
            <w:right w:w="108" w:type="dxa"/>
          </w:tblCellMar>
        </w:tblPrEx>
        <w:trPr>
          <w:trHeight w:val="1415" w:hRule="atLeast"/>
        </w:trPr>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B92240">
            <w:pPr>
              <w:spacing w:line="240" w:lineRule="auto"/>
              <w:ind w:firstLine="0" w:firstLineChars="0"/>
              <w:jc w:val="left"/>
              <w:rPr>
                <w:rFonts w:eastAsia="仿宋" w:cs="Times New Roman"/>
                <w:sz w:val="20"/>
                <w:szCs w:val="20"/>
              </w:rPr>
            </w:pPr>
          </w:p>
        </w:tc>
        <w:tc>
          <w:tcPr>
            <w:tcW w:w="5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2843BB">
            <w:pPr>
              <w:spacing w:line="240" w:lineRule="auto"/>
              <w:ind w:firstLine="0" w:firstLineChars="0"/>
              <w:jc w:val="left"/>
              <w:rPr>
                <w:rFonts w:eastAsia="仿宋" w:cs="Times New Roman"/>
                <w:sz w:val="20"/>
                <w:szCs w:val="20"/>
              </w:rPr>
            </w:pP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40F9B8">
            <w:pPr>
              <w:widowControl/>
              <w:spacing w:line="240" w:lineRule="auto"/>
              <w:ind w:firstLine="0" w:firstLineChars="0"/>
              <w:jc w:val="left"/>
              <w:textAlignment w:val="center"/>
              <w:rPr>
                <w:rFonts w:eastAsia="仿宋" w:cs="Times New Roman"/>
                <w:b/>
                <w:bCs/>
                <w:sz w:val="20"/>
                <w:szCs w:val="20"/>
              </w:rPr>
            </w:pPr>
            <w:r>
              <w:rPr>
                <w:rFonts w:eastAsia="仿宋" w:cs="Times New Roman"/>
                <w:b/>
                <w:bCs/>
                <w:kern w:val="0"/>
                <w:sz w:val="20"/>
                <w:szCs w:val="20"/>
                <w:lang w:bidi="ar"/>
              </w:rPr>
              <w:t>A.3.4.3 保障城市基础设施安全运行（*）</w:t>
            </w:r>
          </w:p>
        </w:tc>
        <w:tc>
          <w:tcPr>
            <w:tcW w:w="2173" w:type="pct"/>
            <w:tcBorders>
              <w:top w:val="single" w:color="000000" w:sz="4" w:space="0"/>
              <w:left w:val="single" w:color="000000" w:sz="4" w:space="0"/>
              <w:bottom w:val="single" w:color="000000" w:sz="4" w:space="0"/>
              <w:right w:val="nil"/>
            </w:tcBorders>
            <w:shd w:val="clear" w:color="auto" w:fill="auto"/>
            <w:vAlign w:val="center"/>
          </w:tcPr>
          <w:p w14:paraId="39EB3A46">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包括城市基础设施普查归档和体检评估，城市地下工程在排水、通风、墙体强度和地基稳定等方面建设标准的制订与修订；</w:t>
            </w:r>
            <w:r>
              <w:rPr>
                <w:rFonts w:eastAsia="仿宋" w:cs="Times New Roman"/>
                <w:b/>
                <w:bCs/>
                <w:kern w:val="0"/>
                <w:sz w:val="20"/>
                <w:szCs w:val="20"/>
                <w:lang w:bidi="ar"/>
              </w:rPr>
              <w:t>城市电力电缆通道建设，城镇老旧供热、燃气管网设施更新改造；新型城市基础设施建设及基础设施体系化、智能化、绿色化建设等</w:t>
            </w:r>
            <w:r>
              <w:rPr>
                <w:rFonts w:eastAsia="仿宋" w:cs="Times New Roman"/>
                <w:kern w:val="0"/>
                <w:sz w:val="20"/>
                <w:szCs w:val="20"/>
                <w:lang w:bidi="ar"/>
              </w:rPr>
              <w:t>。</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A93BC1">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6.4.4；6.4.5</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AD7733">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5.3.1.3；5.3.1.5</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8AD39B">
            <w:pPr>
              <w:spacing w:line="240" w:lineRule="auto"/>
              <w:ind w:firstLine="0" w:firstLineChars="0"/>
              <w:jc w:val="center"/>
              <w:rPr>
                <w:rFonts w:eastAsia="宋体" w:cs="Times New Roman"/>
                <w:sz w:val="20"/>
                <w:szCs w:val="20"/>
              </w:rPr>
            </w:pPr>
          </w:p>
        </w:tc>
      </w:tr>
      <w:tr w14:paraId="50198BA2">
        <w:tblPrEx>
          <w:tblCellMar>
            <w:top w:w="0" w:type="dxa"/>
            <w:left w:w="108" w:type="dxa"/>
            <w:bottom w:w="0" w:type="dxa"/>
            <w:right w:w="108" w:type="dxa"/>
          </w:tblCellMar>
        </w:tblPrEx>
        <w:trPr>
          <w:trHeight w:val="1291" w:hRule="atLeast"/>
        </w:trPr>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07E0AC">
            <w:pPr>
              <w:spacing w:line="240" w:lineRule="auto"/>
              <w:ind w:firstLine="0" w:firstLineChars="0"/>
              <w:jc w:val="left"/>
              <w:rPr>
                <w:rFonts w:eastAsia="仿宋" w:cs="Times New Roman"/>
                <w:sz w:val="20"/>
                <w:szCs w:val="20"/>
              </w:rPr>
            </w:pPr>
          </w:p>
        </w:tc>
        <w:tc>
          <w:tcPr>
            <w:tcW w:w="5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4ECF0C">
            <w:pPr>
              <w:spacing w:line="240" w:lineRule="auto"/>
              <w:ind w:firstLine="0" w:firstLineChars="0"/>
              <w:jc w:val="left"/>
              <w:rPr>
                <w:rFonts w:eastAsia="仿宋" w:cs="Times New Roman"/>
                <w:sz w:val="20"/>
                <w:szCs w:val="20"/>
              </w:rPr>
            </w:pP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B78641">
            <w:pPr>
              <w:widowControl/>
              <w:spacing w:line="240" w:lineRule="auto"/>
              <w:ind w:firstLine="0" w:firstLineChars="0"/>
              <w:jc w:val="left"/>
              <w:textAlignment w:val="center"/>
              <w:rPr>
                <w:rFonts w:eastAsia="仿宋" w:cs="Times New Roman"/>
                <w:b/>
                <w:bCs/>
                <w:sz w:val="20"/>
                <w:szCs w:val="20"/>
              </w:rPr>
            </w:pPr>
            <w:r>
              <w:rPr>
                <w:rFonts w:eastAsia="仿宋" w:cs="Times New Roman"/>
                <w:b/>
                <w:bCs/>
                <w:kern w:val="0"/>
                <w:sz w:val="20"/>
                <w:szCs w:val="20"/>
                <w:lang w:bidi="ar"/>
              </w:rPr>
              <w:t>A.3.4.4 完善城市生态系统服务功能（*）</w:t>
            </w:r>
          </w:p>
        </w:tc>
        <w:tc>
          <w:tcPr>
            <w:tcW w:w="2173" w:type="pct"/>
            <w:tcBorders>
              <w:top w:val="single" w:color="000000" w:sz="4" w:space="0"/>
              <w:left w:val="single" w:color="000000" w:sz="4" w:space="0"/>
              <w:bottom w:val="single" w:color="000000" w:sz="4" w:space="0"/>
              <w:right w:val="nil"/>
            </w:tcBorders>
            <w:shd w:val="clear" w:color="auto" w:fill="auto"/>
            <w:vAlign w:val="center"/>
          </w:tcPr>
          <w:p w14:paraId="016C7CAC">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增强城市生态系统在涵养水源、净化水质、蓄洪抗旱、调节气候和维护生物多样性等方面的服务功能，有效缓解城市热岛效应、内涝和重污染天气等问题。包括</w:t>
            </w:r>
            <w:r>
              <w:rPr>
                <w:rFonts w:eastAsia="仿宋" w:cs="Times New Roman"/>
                <w:b/>
                <w:bCs/>
                <w:kern w:val="0"/>
                <w:sz w:val="20"/>
                <w:szCs w:val="20"/>
                <w:lang w:bidi="ar"/>
              </w:rPr>
              <w:t>城市绿道和森林步道体系建设</w:t>
            </w:r>
            <w:r>
              <w:rPr>
                <w:rFonts w:eastAsia="仿宋" w:cs="Times New Roman"/>
                <w:kern w:val="0"/>
                <w:sz w:val="20"/>
                <w:szCs w:val="20"/>
                <w:lang w:bidi="ar"/>
              </w:rPr>
              <w:t>，城市生态修复，</w:t>
            </w:r>
            <w:r>
              <w:rPr>
                <w:rFonts w:eastAsia="仿宋" w:cs="Times New Roman"/>
                <w:b/>
                <w:bCs/>
                <w:kern w:val="0"/>
                <w:sz w:val="20"/>
                <w:szCs w:val="20"/>
                <w:lang w:bidi="ar"/>
              </w:rPr>
              <w:t>城市绿地系统以及城市公园体系建设</w:t>
            </w:r>
            <w:r>
              <w:rPr>
                <w:rFonts w:eastAsia="仿宋" w:cs="Times New Roman"/>
                <w:kern w:val="0"/>
                <w:sz w:val="20"/>
                <w:szCs w:val="20"/>
                <w:lang w:bidi="ar"/>
              </w:rPr>
              <w:t>等。</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15A96F">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6.4.1</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AAF39D">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5.6.1</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E2081E">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5.6</w:t>
            </w:r>
          </w:p>
        </w:tc>
      </w:tr>
      <w:tr w14:paraId="7ECB7C79">
        <w:tblPrEx>
          <w:tblCellMar>
            <w:top w:w="0" w:type="dxa"/>
            <w:left w:w="108" w:type="dxa"/>
            <w:bottom w:w="0" w:type="dxa"/>
            <w:right w:w="108" w:type="dxa"/>
          </w:tblCellMar>
        </w:tblPrEx>
        <w:trPr>
          <w:trHeight w:val="1003" w:hRule="atLeast"/>
        </w:trPr>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FCA6FB">
            <w:pPr>
              <w:spacing w:line="240" w:lineRule="auto"/>
              <w:ind w:firstLine="0" w:firstLineChars="0"/>
              <w:jc w:val="left"/>
              <w:rPr>
                <w:rFonts w:eastAsia="仿宋" w:cs="Times New Roman"/>
                <w:sz w:val="20"/>
                <w:szCs w:val="20"/>
              </w:rPr>
            </w:pPr>
          </w:p>
        </w:tc>
        <w:tc>
          <w:tcPr>
            <w:tcW w:w="5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918A0C">
            <w:pPr>
              <w:spacing w:line="240" w:lineRule="auto"/>
              <w:ind w:firstLine="0" w:firstLineChars="0"/>
              <w:jc w:val="left"/>
              <w:rPr>
                <w:rFonts w:eastAsia="仿宋" w:cs="Times New Roman"/>
                <w:sz w:val="20"/>
                <w:szCs w:val="20"/>
              </w:rPr>
            </w:pP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3ED9E5">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A.3.4.5 加强城市洪涝防御能力建设与供水保障</w:t>
            </w:r>
          </w:p>
        </w:tc>
        <w:tc>
          <w:tcPr>
            <w:tcW w:w="2173" w:type="pct"/>
            <w:tcBorders>
              <w:top w:val="single" w:color="000000" w:sz="4" w:space="0"/>
              <w:left w:val="single" w:color="000000" w:sz="4" w:space="0"/>
              <w:bottom w:val="single" w:color="000000" w:sz="4" w:space="0"/>
              <w:right w:val="nil"/>
            </w:tcBorders>
            <w:shd w:val="clear" w:color="auto" w:fill="auto"/>
            <w:vAlign w:val="center"/>
          </w:tcPr>
          <w:p w14:paraId="638FA3E6">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包括城市防洪排涝体系建设，海绵城市建设，城市多水源供水格局建设，供水应急备用水源建设，控制城市公共供水管网漏损等。</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52FDDB">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6.4.2；6.4.3</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EC05C9">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5.4.2</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DDEB2F">
            <w:pPr>
              <w:widowControl/>
              <w:spacing w:line="240" w:lineRule="auto"/>
              <w:ind w:firstLine="0" w:firstLineChars="0"/>
              <w:jc w:val="center"/>
              <w:textAlignment w:val="center"/>
              <w:rPr>
                <w:rFonts w:eastAsia="宋体" w:cs="Times New Roman"/>
                <w:sz w:val="20"/>
                <w:szCs w:val="20"/>
              </w:rPr>
            </w:pPr>
            <w:r>
              <w:rPr>
                <w:rFonts w:eastAsia="宋体" w:cs="Times New Roman"/>
                <w:kern w:val="0"/>
                <w:sz w:val="20"/>
                <w:szCs w:val="20"/>
                <w:lang w:bidi="ar"/>
              </w:rPr>
              <w:t>5.3；5.5</w:t>
            </w:r>
          </w:p>
        </w:tc>
      </w:tr>
      <w:tr w14:paraId="1FD3E375">
        <w:tblPrEx>
          <w:tblCellMar>
            <w:top w:w="0" w:type="dxa"/>
            <w:left w:w="108" w:type="dxa"/>
            <w:bottom w:w="0" w:type="dxa"/>
            <w:right w:w="108" w:type="dxa"/>
          </w:tblCellMar>
        </w:tblPrEx>
        <w:trPr>
          <w:trHeight w:val="330" w:hRule="atLeast"/>
        </w:trPr>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D80E95">
            <w:pPr>
              <w:spacing w:line="240" w:lineRule="auto"/>
              <w:ind w:firstLine="0" w:firstLineChars="0"/>
              <w:jc w:val="left"/>
              <w:rPr>
                <w:rFonts w:eastAsia="仿宋" w:cs="Times New Roman"/>
                <w:sz w:val="20"/>
                <w:szCs w:val="20"/>
              </w:rPr>
            </w:pPr>
          </w:p>
        </w:tc>
        <w:tc>
          <w:tcPr>
            <w:tcW w:w="5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F8158E">
            <w:pPr>
              <w:spacing w:line="240" w:lineRule="auto"/>
              <w:ind w:firstLine="0" w:firstLineChars="0"/>
              <w:jc w:val="left"/>
              <w:rPr>
                <w:rFonts w:eastAsia="仿宋" w:cs="Times New Roman"/>
                <w:sz w:val="20"/>
                <w:szCs w:val="20"/>
              </w:rPr>
            </w:pP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2AFADE">
            <w:pPr>
              <w:widowControl/>
              <w:spacing w:line="240" w:lineRule="auto"/>
              <w:ind w:firstLine="0" w:firstLineChars="0"/>
              <w:jc w:val="left"/>
              <w:textAlignment w:val="center"/>
              <w:rPr>
                <w:rFonts w:eastAsia="仿宋" w:cs="Times New Roman"/>
                <w:sz w:val="20"/>
                <w:szCs w:val="20"/>
              </w:rPr>
            </w:pPr>
            <w:r>
              <w:rPr>
                <w:rFonts w:eastAsia="仿宋" w:cs="Times New Roman"/>
                <w:b/>
                <w:bCs/>
                <w:kern w:val="0"/>
                <w:sz w:val="20"/>
                <w:szCs w:val="20"/>
                <w:lang w:bidi="ar"/>
              </w:rPr>
              <w:t>A.3.4.6 提升城市气候风险应对能力（*）</w:t>
            </w:r>
          </w:p>
        </w:tc>
        <w:tc>
          <w:tcPr>
            <w:tcW w:w="2173" w:type="pct"/>
            <w:tcBorders>
              <w:top w:val="single" w:color="000000" w:sz="4" w:space="0"/>
              <w:left w:val="single" w:color="000000" w:sz="4" w:space="0"/>
              <w:bottom w:val="single" w:color="000000" w:sz="4" w:space="0"/>
              <w:right w:val="nil"/>
            </w:tcBorders>
            <w:shd w:val="clear" w:color="auto" w:fill="auto"/>
            <w:vAlign w:val="center"/>
          </w:tcPr>
          <w:p w14:paraId="69801889">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包括</w:t>
            </w:r>
            <w:r>
              <w:rPr>
                <w:rFonts w:eastAsia="仿宋" w:cs="Times New Roman"/>
                <w:b/>
                <w:bCs/>
                <w:kern w:val="0"/>
                <w:sz w:val="20"/>
                <w:szCs w:val="20"/>
                <w:lang w:bidi="ar"/>
              </w:rPr>
              <w:t>科学规划城市防灾减灾功能，完善应急救援体系</w:t>
            </w:r>
            <w:r>
              <w:rPr>
                <w:rFonts w:eastAsia="仿宋" w:cs="Times New Roman"/>
                <w:kern w:val="0"/>
                <w:sz w:val="20"/>
                <w:szCs w:val="20"/>
                <w:lang w:bidi="ar"/>
              </w:rPr>
              <w:t>，如应急处置和救灾响应，灾体危险源监控、风险排查和隐患治理，极端天气气候事件信息管理预警等。</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930BBD">
            <w:pPr>
              <w:spacing w:line="240" w:lineRule="auto"/>
              <w:ind w:firstLine="0" w:firstLineChars="0"/>
              <w:jc w:val="center"/>
              <w:rPr>
                <w:rFonts w:eastAsia="宋体" w:cs="Times New Roman"/>
                <w:sz w:val="20"/>
                <w:szCs w:val="20"/>
              </w:rPr>
            </w:pP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C34C17">
            <w:pPr>
              <w:spacing w:line="240" w:lineRule="auto"/>
              <w:ind w:firstLine="0" w:firstLineChars="0"/>
              <w:jc w:val="center"/>
              <w:rPr>
                <w:rFonts w:eastAsia="宋体" w:cs="Times New Roman"/>
                <w:sz w:val="20"/>
                <w:szCs w:val="20"/>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9C7B24">
            <w:pPr>
              <w:spacing w:line="240" w:lineRule="auto"/>
              <w:ind w:firstLine="0" w:firstLineChars="0"/>
              <w:jc w:val="center"/>
              <w:rPr>
                <w:rFonts w:eastAsia="宋体" w:cs="Times New Roman"/>
                <w:sz w:val="20"/>
                <w:szCs w:val="20"/>
              </w:rPr>
            </w:pPr>
          </w:p>
        </w:tc>
      </w:tr>
      <w:tr w14:paraId="4439B53B">
        <w:tblPrEx>
          <w:tblCellMar>
            <w:top w:w="0" w:type="dxa"/>
            <w:left w:w="108" w:type="dxa"/>
            <w:bottom w:w="0" w:type="dxa"/>
            <w:right w:w="108" w:type="dxa"/>
          </w:tblCellMar>
        </w:tblPrEx>
        <w:trPr>
          <w:trHeight w:val="480" w:hRule="atLeast"/>
        </w:trPr>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A3F137">
            <w:pPr>
              <w:spacing w:line="240" w:lineRule="auto"/>
              <w:ind w:firstLine="0" w:firstLineChars="0"/>
              <w:jc w:val="left"/>
              <w:rPr>
                <w:rFonts w:eastAsia="仿宋" w:cs="Times New Roman"/>
                <w:sz w:val="20"/>
                <w:szCs w:val="20"/>
              </w:rPr>
            </w:pPr>
          </w:p>
        </w:tc>
        <w:tc>
          <w:tcPr>
            <w:tcW w:w="52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AC36DB">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A.3.5 敏感二</w:t>
            </w:r>
            <w:r>
              <w:rPr>
                <w:rFonts w:hint="eastAsia" w:eastAsia="仿宋" w:cs="Times New Roman"/>
                <w:kern w:val="0"/>
                <w:sz w:val="20"/>
                <w:szCs w:val="20"/>
                <w:lang w:eastAsia="zh-CN" w:bidi="ar"/>
              </w:rPr>
              <w:t>、</w:t>
            </w:r>
            <w:r>
              <w:rPr>
                <w:rFonts w:eastAsia="仿宋" w:cs="Times New Roman"/>
                <w:kern w:val="0"/>
                <w:sz w:val="20"/>
                <w:szCs w:val="20"/>
                <w:lang w:bidi="ar"/>
              </w:rPr>
              <w:t>三产业</w:t>
            </w: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3E8D05">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A.3.5.1 提升气象服务保障能力</w:t>
            </w:r>
          </w:p>
        </w:tc>
        <w:tc>
          <w:tcPr>
            <w:tcW w:w="2173" w:type="pct"/>
            <w:tcBorders>
              <w:top w:val="single" w:color="000000" w:sz="4" w:space="0"/>
              <w:left w:val="single" w:color="000000" w:sz="4" w:space="0"/>
              <w:bottom w:val="single" w:color="000000" w:sz="4" w:space="0"/>
              <w:right w:val="nil"/>
            </w:tcBorders>
            <w:shd w:val="clear" w:color="auto" w:fill="auto"/>
            <w:vAlign w:val="center"/>
          </w:tcPr>
          <w:p w14:paraId="44D4673C">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包括基于大数据和人工智能的气象服务产品，商业性气象服务，如“智能预报+气象服务”业务等。</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164CD3">
            <w:pPr>
              <w:spacing w:line="240" w:lineRule="auto"/>
              <w:ind w:firstLine="0" w:firstLineChars="0"/>
              <w:jc w:val="center"/>
              <w:rPr>
                <w:rFonts w:eastAsia="宋体" w:cs="Times New Roman"/>
                <w:sz w:val="20"/>
                <w:szCs w:val="20"/>
              </w:rPr>
            </w:pP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FB19C6">
            <w:pPr>
              <w:spacing w:line="240" w:lineRule="auto"/>
              <w:ind w:firstLine="0" w:firstLineChars="0"/>
              <w:jc w:val="center"/>
              <w:rPr>
                <w:rFonts w:eastAsia="宋体" w:cs="Times New Roman"/>
                <w:sz w:val="20"/>
                <w:szCs w:val="20"/>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ED56EB">
            <w:pPr>
              <w:spacing w:line="240" w:lineRule="auto"/>
              <w:ind w:firstLine="0" w:firstLineChars="0"/>
              <w:jc w:val="center"/>
              <w:rPr>
                <w:rFonts w:eastAsia="宋体" w:cs="Times New Roman"/>
                <w:sz w:val="20"/>
                <w:szCs w:val="20"/>
              </w:rPr>
            </w:pPr>
          </w:p>
        </w:tc>
      </w:tr>
      <w:tr w14:paraId="4090FC46">
        <w:tblPrEx>
          <w:tblCellMar>
            <w:top w:w="0" w:type="dxa"/>
            <w:left w:w="108" w:type="dxa"/>
            <w:bottom w:w="0" w:type="dxa"/>
            <w:right w:w="108" w:type="dxa"/>
          </w:tblCellMar>
        </w:tblPrEx>
        <w:trPr>
          <w:trHeight w:val="480" w:hRule="atLeast"/>
        </w:trPr>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1F8907">
            <w:pPr>
              <w:spacing w:line="240" w:lineRule="auto"/>
              <w:ind w:firstLine="0" w:firstLineChars="0"/>
              <w:jc w:val="left"/>
              <w:rPr>
                <w:rFonts w:eastAsia="仿宋" w:cs="Times New Roman"/>
                <w:sz w:val="20"/>
                <w:szCs w:val="20"/>
              </w:rPr>
            </w:pPr>
          </w:p>
        </w:tc>
        <w:tc>
          <w:tcPr>
            <w:tcW w:w="5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06DDB4">
            <w:pPr>
              <w:spacing w:line="240" w:lineRule="auto"/>
              <w:ind w:firstLine="0" w:firstLineChars="0"/>
              <w:jc w:val="left"/>
              <w:rPr>
                <w:rFonts w:eastAsia="仿宋" w:cs="Times New Roman"/>
                <w:sz w:val="20"/>
                <w:szCs w:val="20"/>
              </w:rPr>
            </w:pP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09C69">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A.3.5.2 防范气候相关金融风险</w:t>
            </w:r>
          </w:p>
        </w:tc>
        <w:tc>
          <w:tcPr>
            <w:tcW w:w="2173" w:type="pct"/>
            <w:tcBorders>
              <w:top w:val="single" w:color="000000" w:sz="4" w:space="0"/>
              <w:left w:val="single" w:color="000000" w:sz="4" w:space="0"/>
              <w:bottom w:val="single" w:color="000000" w:sz="4" w:space="0"/>
              <w:right w:val="nil"/>
            </w:tcBorders>
            <w:shd w:val="clear" w:color="auto" w:fill="auto"/>
            <w:vAlign w:val="center"/>
          </w:tcPr>
          <w:p w14:paraId="0596AE42">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包括各类金融机构和融资主体的气候和环境信息强制披露，如碳排放信息披露，金融机构气候风险压力测试等。</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EFCA46">
            <w:pPr>
              <w:spacing w:line="240" w:lineRule="auto"/>
              <w:ind w:firstLine="0" w:firstLineChars="0"/>
              <w:jc w:val="center"/>
              <w:rPr>
                <w:rFonts w:eastAsia="宋体" w:cs="Times New Roman"/>
                <w:sz w:val="20"/>
                <w:szCs w:val="20"/>
              </w:rPr>
            </w:pP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54EE77">
            <w:pPr>
              <w:spacing w:line="240" w:lineRule="auto"/>
              <w:ind w:firstLine="0" w:firstLineChars="0"/>
              <w:jc w:val="center"/>
              <w:rPr>
                <w:rFonts w:eastAsia="宋体" w:cs="Times New Roman"/>
                <w:sz w:val="20"/>
                <w:szCs w:val="20"/>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4BD54B">
            <w:pPr>
              <w:spacing w:line="240" w:lineRule="auto"/>
              <w:ind w:firstLine="0" w:firstLineChars="0"/>
              <w:jc w:val="center"/>
              <w:rPr>
                <w:rFonts w:eastAsia="宋体" w:cs="Times New Roman"/>
                <w:sz w:val="20"/>
                <w:szCs w:val="20"/>
              </w:rPr>
            </w:pPr>
          </w:p>
        </w:tc>
      </w:tr>
      <w:tr w14:paraId="5898C085">
        <w:tblPrEx>
          <w:tblCellMar>
            <w:top w:w="0" w:type="dxa"/>
            <w:left w:w="108" w:type="dxa"/>
            <w:bottom w:w="0" w:type="dxa"/>
            <w:right w:w="108" w:type="dxa"/>
          </w:tblCellMar>
        </w:tblPrEx>
        <w:trPr>
          <w:trHeight w:val="480" w:hRule="atLeast"/>
        </w:trPr>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171894">
            <w:pPr>
              <w:spacing w:line="240" w:lineRule="auto"/>
              <w:ind w:firstLine="0" w:firstLineChars="0"/>
              <w:jc w:val="left"/>
              <w:rPr>
                <w:rFonts w:eastAsia="仿宋" w:cs="Times New Roman"/>
                <w:sz w:val="20"/>
                <w:szCs w:val="20"/>
              </w:rPr>
            </w:pPr>
          </w:p>
        </w:tc>
        <w:tc>
          <w:tcPr>
            <w:tcW w:w="5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3F21AB">
            <w:pPr>
              <w:spacing w:line="240" w:lineRule="auto"/>
              <w:ind w:firstLine="0" w:firstLineChars="0"/>
              <w:jc w:val="left"/>
              <w:rPr>
                <w:rFonts w:eastAsia="仿宋" w:cs="Times New Roman"/>
                <w:sz w:val="20"/>
                <w:szCs w:val="20"/>
              </w:rPr>
            </w:pP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857AC8">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A.3.5.3 提高能源行业气候韧性</w:t>
            </w:r>
          </w:p>
        </w:tc>
        <w:tc>
          <w:tcPr>
            <w:tcW w:w="2173" w:type="pct"/>
            <w:tcBorders>
              <w:top w:val="single" w:color="000000" w:sz="4" w:space="0"/>
              <w:left w:val="single" w:color="000000" w:sz="4" w:space="0"/>
              <w:bottom w:val="single" w:color="000000" w:sz="4" w:space="0"/>
              <w:right w:val="nil"/>
            </w:tcBorders>
            <w:shd w:val="clear" w:color="auto" w:fill="auto"/>
            <w:vAlign w:val="center"/>
          </w:tcPr>
          <w:p w14:paraId="6C28E133">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包括极端天气气候事件下输配电系统保护和应急调度，电力设备监测和巡视维护，储能、智能电网和数字化等技术应用等。</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E3A881">
            <w:pPr>
              <w:spacing w:line="240" w:lineRule="auto"/>
              <w:ind w:firstLine="0" w:firstLineChars="0"/>
              <w:jc w:val="center"/>
              <w:rPr>
                <w:rFonts w:eastAsia="宋体" w:cs="Times New Roman"/>
                <w:sz w:val="20"/>
                <w:szCs w:val="20"/>
              </w:rPr>
            </w:pP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4FF672">
            <w:pPr>
              <w:spacing w:line="240" w:lineRule="auto"/>
              <w:ind w:firstLine="0" w:firstLineChars="0"/>
              <w:jc w:val="center"/>
              <w:rPr>
                <w:rFonts w:eastAsia="宋体" w:cs="Times New Roman"/>
                <w:sz w:val="20"/>
                <w:szCs w:val="20"/>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C53762">
            <w:pPr>
              <w:spacing w:line="240" w:lineRule="auto"/>
              <w:ind w:firstLine="0" w:firstLineChars="0"/>
              <w:jc w:val="center"/>
              <w:rPr>
                <w:rFonts w:eastAsia="宋体" w:cs="Times New Roman"/>
                <w:sz w:val="20"/>
                <w:szCs w:val="20"/>
              </w:rPr>
            </w:pPr>
          </w:p>
        </w:tc>
      </w:tr>
      <w:tr w14:paraId="744C5830">
        <w:tblPrEx>
          <w:tblCellMar>
            <w:top w:w="0" w:type="dxa"/>
            <w:left w:w="108" w:type="dxa"/>
            <w:bottom w:w="0" w:type="dxa"/>
            <w:right w:w="108" w:type="dxa"/>
          </w:tblCellMar>
        </w:tblPrEx>
        <w:trPr>
          <w:trHeight w:val="480" w:hRule="atLeast"/>
        </w:trPr>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96C73B">
            <w:pPr>
              <w:spacing w:line="240" w:lineRule="auto"/>
              <w:ind w:firstLine="0" w:firstLineChars="0"/>
              <w:jc w:val="left"/>
              <w:rPr>
                <w:rFonts w:eastAsia="仿宋" w:cs="Times New Roman"/>
                <w:sz w:val="20"/>
                <w:szCs w:val="20"/>
              </w:rPr>
            </w:pPr>
          </w:p>
        </w:tc>
        <w:tc>
          <w:tcPr>
            <w:tcW w:w="5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3B40C8">
            <w:pPr>
              <w:spacing w:line="240" w:lineRule="auto"/>
              <w:ind w:firstLine="0" w:firstLineChars="0"/>
              <w:jc w:val="left"/>
              <w:rPr>
                <w:rFonts w:eastAsia="仿宋" w:cs="Times New Roman"/>
                <w:sz w:val="20"/>
                <w:szCs w:val="20"/>
              </w:rPr>
            </w:pP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1F8097">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A.3.5.4 发展气候适应型旅游业</w:t>
            </w:r>
          </w:p>
        </w:tc>
        <w:tc>
          <w:tcPr>
            <w:tcW w:w="2173" w:type="pct"/>
            <w:tcBorders>
              <w:top w:val="single" w:color="000000" w:sz="4" w:space="0"/>
              <w:left w:val="single" w:color="000000" w:sz="4" w:space="0"/>
              <w:bottom w:val="single" w:color="000000" w:sz="4" w:space="0"/>
              <w:right w:val="nil"/>
            </w:tcBorders>
            <w:shd w:val="clear" w:color="auto" w:fill="auto"/>
            <w:vAlign w:val="center"/>
          </w:tcPr>
          <w:p w14:paraId="3957F4ED">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包括旅游目的地极端天气气候事件应急处置和游客安全管理，识别并评估气候敏感型旅游资源的潜在风险等。</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302501">
            <w:pPr>
              <w:spacing w:line="240" w:lineRule="auto"/>
              <w:ind w:firstLine="0" w:firstLineChars="0"/>
              <w:jc w:val="center"/>
              <w:rPr>
                <w:rFonts w:eastAsia="宋体" w:cs="Times New Roman"/>
                <w:sz w:val="20"/>
                <w:szCs w:val="20"/>
              </w:rPr>
            </w:pP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ED7EF4">
            <w:pPr>
              <w:spacing w:line="240" w:lineRule="auto"/>
              <w:ind w:firstLine="0" w:firstLineChars="0"/>
              <w:jc w:val="center"/>
              <w:rPr>
                <w:rFonts w:eastAsia="宋体" w:cs="Times New Roman"/>
                <w:sz w:val="20"/>
                <w:szCs w:val="20"/>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4C276C">
            <w:pPr>
              <w:spacing w:line="240" w:lineRule="auto"/>
              <w:ind w:firstLine="0" w:firstLineChars="0"/>
              <w:jc w:val="center"/>
              <w:rPr>
                <w:rFonts w:eastAsia="宋体" w:cs="Times New Roman"/>
                <w:sz w:val="20"/>
                <w:szCs w:val="20"/>
              </w:rPr>
            </w:pPr>
          </w:p>
        </w:tc>
      </w:tr>
      <w:tr w14:paraId="5E7909D6">
        <w:tblPrEx>
          <w:tblCellMar>
            <w:top w:w="0" w:type="dxa"/>
            <w:left w:w="108" w:type="dxa"/>
            <w:bottom w:w="0" w:type="dxa"/>
            <w:right w:w="108" w:type="dxa"/>
          </w:tblCellMar>
        </w:tblPrEx>
        <w:trPr>
          <w:trHeight w:val="480" w:hRule="atLeast"/>
        </w:trPr>
        <w:tc>
          <w:tcPr>
            <w:tcW w:w="4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FF22E4">
            <w:pPr>
              <w:spacing w:line="240" w:lineRule="auto"/>
              <w:ind w:firstLine="0" w:firstLineChars="0"/>
              <w:jc w:val="left"/>
              <w:rPr>
                <w:rFonts w:eastAsia="仿宋" w:cs="Times New Roman"/>
                <w:sz w:val="20"/>
                <w:szCs w:val="20"/>
              </w:rPr>
            </w:pPr>
          </w:p>
        </w:tc>
        <w:tc>
          <w:tcPr>
            <w:tcW w:w="5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317411">
            <w:pPr>
              <w:spacing w:line="240" w:lineRule="auto"/>
              <w:ind w:firstLine="0" w:firstLineChars="0"/>
              <w:jc w:val="left"/>
              <w:rPr>
                <w:rFonts w:eastAsia="仿宋" w:cs="Times New Roman"/>
                <w:sz w:val="20"/>
                <w:szCs w:val="20"/>
              </w:rPr>
            </w:pPr>
          </w:p>
        </w:tc>
        <w:tc>
          <w:tcPr>
            <w:tcW w:w="6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1F5DBB">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A.3.5.5 加强交通防灾和应急保障</w:t>
            </w:r>
          </w:p>
        </w:tc>
        <w:tc>
          <w:tcPr>
            <w:tcW w:w="2173" w:type="pct"/>
            <w:tcBorders>
              <w:top w:val="single" w:color="000000" w:sz="4" w:space="0"/>
              <w:left w:val="single" w:color="000000" w:sz="4" w:space="0"/>
              <w:bottom w:val="single" w:color="000000" w:sz="4" w:space="0"/>
              <w:right w:val="nil"/>
            </w:tcBorders>
            <w:shd w:val="clear" w:color="auto" w:fill="auto"/>
            <w:vAlign w:val="center"/>
          </w:tcPr>
          <w:p w14:paraId="46B7FC0D">
            <w:pPr>
              <w:widowControl/>
              <w:spacing w:line="240" w:lineRule="auto"/>
              <w:ind w:firstLine="0" w:firstLineChars="0"/>
              <w:jc w:val="left"/>
              <w:textAlignment w:val="center"/>
              <w:rPr>
                <w:rFonts w:eastAsia="仿宋" w:cs="Times New Roman"/>
                <w:sz w:val="20"/>
                <w:szCs w:val="20"/>
              </w:rPr>
            </w:pPr>
            <w:r>
              <w:rPr>
                <w:rFonts w:eastAsia="仿宋" w:cs="Times New Roman"/>
                <w:kern w:val="0"/>
                <w:sz w:val="20"/>
                <w:szCs w:val="20"/>
                <w:lang w:bidi="ar"/>
              </w:rPr>
              <w:t>包括气象预警信息为先导的应急联动，交通运输安全风险预警、防控，交通安全监管和搜救打捞，交通应急运输管理协调和保障等。</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D140EB">
            <w:pPr>
              <w:spacing w:line="240" w:lineRule="auto"/>
              <w:ind w:firstLine="0" w:firstLineChars="0"/>
              <w:jc w:val="center"/>
              <w:rPr>
                <w:rFonts w:eastAsia="宋体" w:cs="Times New Roman"/>
                <w:sz w:val="20"/>
                <w:szCs w:val="20"/>
              </w:rPr>
            </w:pP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E57367">
            <w:pPr>
              <w:spacing w:line="240" w:lineRule="auto"/>
              <w:ind w:firstLine="0" w:firstLineChars="0"/>
              <w:jc w:val="center"/>
              <w:rPr>
                <w:rFonts w:eastAsia="宋体" w:cs="Times New Roman"/>
                <w:sz w:val="20"/>
                <w:szCs w:val="20"/>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B8AEFA">
            <w:pPr>
              <w:spacing w:line="240" w:lineRule="auto"/>
              <w:ind w:firstLine="0" w:firstLineChars="0"/>
              <w:jc w:val="center"/>
              <w:rPr>
                <w:rFonts w:eastAsia="宋体" w:cs="Times New Roman"/>
                <w:sz w:val="20"/>
                <w:szCs w:val="20"/>
              </w:rPr>
            </w:pPr>
          </w:p>
        </w:tc>
      </w:tr>
    </w:tbl>
    <w:p w14:paraId="3B187538">
      <w:pPr>
        <w:spacing w:before="218" w:beforeLines="50"/>
        <w:ind w:firstLine="480"/>
        <w:rPr>
          <w:rFonts w:cs="Times New Roman"/>
          <w:kern w:val="0"/>
          <w:sz w:val="24"/>
          <w:szCs w:val="24"/>
        </w:rPr>
      </w:pPr>
      <w:r>
        <w:rPr>
          <w:rFonts w:cs="Times New Roman"/>
          <w:kern w:val="0"/>
          <w:sz w:val="24"/>
          <w:szCs w:val="24"/>
        </w:rPr>
        <w:t>注：（*）标注的为密云作为生态涵养区重点关注的领域。</w:t>
      </w:r>
    </w:p>
    <w:p w14:paraId="6BB76BA4">
      <w:pPr>
        <w:spacing w:before="218" w:beforeLines="50"/>
        <w:ind w:firstLine="480"/>
        <w:rPr>
          <w:rFonts w:cs="Times New Roman"/>
          <w:kern w:val="0"/>
          <w:sz w:val="24"/>
          <w:szCs w:val="24"/>
        </w:rPr>
      </w:pPr>
    </w:p>
    <w:p w14:paraId="70EB3214">
      <w:pPr>
        <w:jc w:val="left"/>
        <w:rPr>
          <w:rFonts w:hint="eastAsia" w:eastAsia="黑体" w:cs="Times New Roman"/>
          <w:kern w:val="44"/>
          <w:szCs w:val="44"/>
        </w:rPr>
      </w:pPr>
    </w:p>
    <w:p w14:paraId="23CD9A50">
      <w:pPr>
        <w:widowControl/>
        <w:spacing w:line="240" w:lineRule="auto"/>
        <w:ind w:firstLine="0" w:firstLineChars="0"/>
        <w:jc w:val="left"/>
        <w:rPr>
          <w:rFonts w:eastAsia="黑体" w:cs="Times New Roman"/>
          <w:kern w:val="44"/>
          <w:szCs w:val="44"/>
        </w:rPr>
      </w:pPr>
      <w:r>
        <w:rPr>
          <w:rFonts w:eastAsia="黑体" w:cs="Times New Roman"/>
          <w:kern w:val="44"/>
          <w:szCs w:val="44"/>
        </w:rPr>
        <w:br w:type="page"/>
      </w:r>
    </w:p>
    <w:p w14:paraId="3BC80093">
      <w:pPr>
        <w:ind w:firstLine="0" w:firstLineChars="0"/>
        <w:jc w:val="left"/>
        <w:outlineLvl w:val="0"/>
        <w:rPr>
          <w:rFonts w:hint="eastAsia" w:ascii="黑体" w:hAnsi="黑体" w:eastAsia="黑体" w:cs="黑体"/>
          <w:kern w:val="44"/>
          <w:szCs w:val="44"/>
        </w:rPr>
      </w:pPr>
      <w:r>
        <w:rPr>
          <w:rFonts w:hint="eastAsia" w:ascii="黑体" w:hAnsi="黑体" w:eastAsia="黑体" w:cs="黑体"/>
          <w:kern w:val="44"/>
          <w:szCs w:val="44"/>
        </w:rPr>
        <w:t>附件2</w:t>
      </w:r>
    </w:p>
    <w:bookmarkEnd w:id="12"/>
    <w:p w14:paraId="21402227">
      <w:pPr>
        <w:ind w:firstLine="0" w:firstLineChars="0"/>
        <w:jc w:val="center"/>
        <w:outlineLvl w:val="0"/>
        <w:rPr>
          <w:rFonts w:eastAsia="方正小标宋简体" w:cs="Times New Roman"/>
          <w:b/>
          <w:bCs/>
          <w:kern w:val="44"/>
          <w:sz w:val="36"/>
          <w:szCs w:val="36"/>
        </w:rPr>
      </w:pPr>
      <w:bookmarkStart w:id="14" w:name="_Toc15523"/>
      <w:r>
        <w:rPr>
          <w:rFonts w:eastAsia="方正小标宋简体" w:cs="Times New Roman"/>
          <w:sz w:val="36"/>
          <w:szCs w:val="36"/>
        </w:rPr>
        <w:t>密云区气候投融资项目评价指标体系</w:t>
      </w:r>
      <w:bookmarkEnd w:id="14"/>
    </w:p>
    <w:p w14:paraId="3888574B">
      <w:pPr>
        <w:ind w:firstLine="643"/>
        <w:rPr>
          <w:rFonts w:hint="eastAsia" w:ascii="仿宋_GB2312" w:hAnsi="仿宋_GB2312" w:eastAsia="仿宋_GB2312" w:cs="仿宋_GB2312"/>
          <w:b/>
          <w:bCs/>
        </w:rPr>
      </w:pPr>
      <w:r>
        <w:rPr>
          <w:rFonts w:hint="eastAsia" w:ascii="仿宋_GB2312" w:hAnsi="仿宋_GB2312" w:eastAsia="仿宋_GB2312" w:cs="仿宋_GB2312"/>
          <w:b/>
          <w:bCs/>
        </w:rPr>
        <w:t>附件2-1 约束指标</w:t>
      </w:r>
    </w:p>
    <w:tbl>
      <w:tblPr>
        <w:tblStyle w:val="15"/>
        <w:tblW w:w="4996" w:type="pct"/>
        <w:tblInd w:w="0" w:type="dxa"/>
        <w:tblLayout w:type="fixed"/>
        <w:tblCellMar>
          <w:top w:w="0" w:type="dxa"/>
          <w:left w:w="108" w:type="dxa"/>
          <w:bottom w:w="0" w:type="dxa"/>
          <w:right w:w="108" w:type="dxa"/>
        </w:tblCellMar>
      </w:tblPr>
      <w:tblGrid>
        <w:gridCol w:w="1281"/>
        <w:gridCol w:w="1627"/>
        <w:gridCol w:w="3938"/>
        <w:gridCol w:w="2946"/>
        <w:gridCol w:w="4371"/>
      </w:tblGrid>
      <w:tr w14:paraId="2CF25E3E">
        <w:tblPrEx>
          <w:tblCellMar>
            <w:top w:w="0" w:type="dxa"/>
            <w:left w:w="108" w:type="dxa"/>
            <w:bottom w:w="0" w:type="dxa"/>
            <w:right w:w="108" w:type="dxa"/>
          </w:tblCellMar>
        </w:tblPrEx>
        <w:trPr>
          <w:trHeight w:val="300" w:hRule="atLeast"/>
        </w:trPr>
        <w:tc>
          <w:tcPr>
            <w:tcW w:w="241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1FA69">
            <w:pPr>
              <w:widowControl/>
              <w:spacing w:line="240" w:lineRule="auto"/>
              <w:ind w:firstLine="0" w:firstLineChars="0"/>
              <w:jc w:val="center"/>
              <w:textAlignment w:val="center"/>
              <w:rPr>
                <w:rFonts w:cs="Times New Roman"/>
                <w:b/>
                <w:bCs/>
                <w:sz w:val="24"/>
                <w:szCs w:val="24"/>
              </w:rPr>
            </w:pPr>
            <w:r>
              <w:rPr>
                <w:rFonts w:cs="Times New Roman"/>
                <w:b/>
                <w:bCs/>
                <w:kern w:val="0"/>
                <w:sz w:val="24"/>
                <w:szCs w:val="24"/>
                <w:lang w:bidi="ar"/>
              </w:rPr>
              <w:t>评价体系</w:t>
            </w:r>
          </w:p>
        </w:tc>
        <w:tc>
          <w:tcPr>
            <w:tcW w:w="10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3C4E8B">
            <w:pPr>
              <w:widowControl/>
              <w:spacing w:line="240" w:lineRule="auto"/>
              <w:ind w:firstLine="0" w:firstLineChars="0"/>
              <w:jc w:val="center"/>
              <w:textAlignment w:val="center"/>
              <w:rPr>
                <w:rFonts w:cs="Times New Roman"/>
                <w:b/>
                <w:bCs/>
                <w:sz w:val="24"/>
                <w:szCs w:val="24"/>
              </w:rPr>
            </w:pPr>
            <w:r>
              <w:rPr>
                <w:rFonts w:cs="Times New Roman"/>
                <w:b/>
                <w:bCs/>
                <w:kern w:val="0"/>
                <w:sz w:val="24"/>
                <w:szCs w:val="24"/>
                <w:lang w:bidi="ar"/>
              </w:rPr>
              <w:t>评价参考资料</w:t>
            </w:r>
          </w:p>
        </w:tc>
        <w:tc>
          <w:tcPr>
            <w:tcW w:w="154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C4D0B5">
            <w:pPr>
              <w:widowControl/>
              <w:spacing w:line="240" w:lineRule="auto"/>
              <w:ind w:firstLine="0" w:firstLineChars="0"/>
              <w:jc w:val="center"/>
              <w:textAlignment w:val="center"/>
              <w:rPr>
                <w:rFonts w:cs="Times New Roman"/>
                <w:b/>
                <w:bCs/>
                <w:sz w:val="24"/>
                <w:szCs w:val="24"/>
              </w:rPr>
            </w:pPr>
            <w:r>
              <w:rPr>
                <w:rFonts w:cs="Times New Roman"/>
                <w:b/>
                <w:bCs/>
                <w:kern w:val="0"/>
                <w:sz w:val="24"/>
                <w:szCs w:val="24"/>
                <w:lang w:bidi="ar"/>
              </w:rPr>
              <w:t>评价标准</w:t>
            </w:r>
          </w:p>
        </w:tc>
      </w:tr>
      <w:tr w14:paraId="4C963E24">
        <w:tblPrEx>
          <w:tblCellMar>
            <w:top w:w="0" w:type="dxa"/>
            <w:left w:w="108" w:type="dxa"/>
            <w:bottom w:w="0" w:type="dxa"/>
            <w:right w:w="108" w:type="dxa"/>
          </w:tblCellMar>
        </w:tblPrEx>
        <w:trPr>
          <w:trHeight w:val="300" w:hRule="atLeast"/>
        </w:trPr>
        <w:tc>
          <w:tcPr>
            <w:tcW w:w="452" w:type="pct"/>
            <w:tcBorders>
              <w:top w:val="nil"/>
              <w:left w:val="single" w:color="000000" w:sz="4" w:space="0"/>
              <w:bottom w:val="single" w:color="000000" w:sz="4" w:space="0"/>
              <w:right w:val="single" w:color="000000" w:sz="4" w:space="0"/>
            </w:tcBorders>
            <w:shd w:val="clear" w:color="auto" w:fill="auto"/>
            <w:noWrap/>
            <w:vAlign w:val="center"/>
          </w:tcPr>
          <w:p w14:paraId="7EDE8519">
            <w:pPr>
              <w:widowControl/>
              <w:spacing w:line="240" w:lineRule="auto"/>
              <w:ind w:firstLine="0" w:firstLineChars="0"/>
              <w:jc w:val="center"/>
              <w:textAlignment w:val="center"/>
              <w:rPr>
                <w:rFonts w:cs="Times New Roman"/>
                <w:b/>
                <w:bCs/>
                <w:sz w:val="24"/>
                <w:szCs w:val="24"/>
              </w:rPr>
            </w:pPr>
            <w:r>
              <w:rPr>
                <w:rFonts w:cs="Times New Roman"/>
                <w:b/>
                <w:bCs/>
                <w:kern w:val="0"/>
                <w:sz w:val="24"/>
                <w:szCs w:val="24"/>
                <w:lang w:bidi="ar"/>
              </w:rPr>
              <w:t>一级指标</w:t>
            </w:r>
          </w:p>
        </w:tc>
        <w:tc>
          <w:tcPr>
            <w:tcW w:w="574" w:type="pct"/>
            <w:tcBorders>
              <w:top w:val="nil"/>
              <w:left w:val="single" w:color="000000" w:sz="4" w:space="0"/>
              <w:bottom w:val="single" w:color="000000" w:sz="4" w:space="0"/>
              <w:right w:val="single" w:color="000000" w:sz="4" w:space="0"/>
            </w:tcBorders>
            <w:shd w:val="clear" w:color="auto" w:fill="auto"/>
            <w:noWrap/>
            <w:vAlign w:val="center"/>
          </w:tcPr>
          <w:p w14:paraId="57F1F468">
            <w:pPr>
              <w:widowControl/>
              <w:spacing w:line="240" w:lineRule="auto"/>
              <w:ind w:firstLine="0" w:firstLineChars="0"/>
              <w:jc w:val="center"/>
              <w:textAlignment w:val="center"/>
              <w:rPr>
                <w:rFonts w:cs="Times New Roman"/>
                <w:b/>
                <w:bCs/>
                <w:sz w:val="24"/>
                <w:szCs w:val="24"/>
              </w:rPr>
            </w:pPr>
            <w:r>
              <w:rPr>
                <w:rFonts w:cs="Times New Roman"/>
                <w:b/>
                <w:bCs/>
                <w:kern w:val="0"/>
                <w:sz w:val="24"/>
                <w:szCs w:val="24"/>
                <w:lang w:bidi="ar"/>
              </w:rPr>
              <w:t>二级指标</w:t>
            </w:r>
          </w:p>
        </w:tc>
        <w:tc>
          <w:tcPr>
            <w:tcW w:w="1390" w:type="pct"/>
            <w:tcBorders>
              <w:top w:val="nil"/>
              <w:left w:val="single" w:color="000000" w:sz="4" w:space="0"/>
              <w:bottom w:val="single" w:color="000000" w:sz="4" w:space="0"/>
              <w:right w:val="single" w:color="000000" w:sz="4" w:space="0"/>
            </w:tcBorders>
            <w:shd w:val="clear" w:color="auto" w:fill="auto"/>
            <w:vAlign w:val="center"/>
          </w:tcPr>
          <w:p w14:paraId="7FB276B2">
            <w:pPr>
              <w:widowControl/>
              <w:spacing w:line="240" w:lineRule="auto"/>
              <w:ind w:firstLine="0" w:firstLineChars="0"/>
              <w:jc w:val="center"/>
              <w:textAlignment w:val="center"/>
              <w:rPr>
                <w:rFonts w:cs="Times New Roman"/>
                <w:b/>
                <w:bCs/>
                <w:sz w:val="24"/>
                <w:szCs w:val="24"/>
              </w:rPr>
            </w:pPr>
            <w:r>
              <w:rPr>
                <w:rFonts w:hint="eastAsia" w:cs="Times New Roman"/>
                <w:b/>
                <w:bCs/>
                <w:kern w:val="0"/>
                <w:sz w:val="24"/>
                <w:szCs w:val="24"/>
                <w:lang w:bidi="ar"/>
              </w:rPr>
              <w:t>二</w:t>
            </w:r>
            <w:r>
              <w:rPr>
                <w:rFonts w:cs="Times New Roman"/>
                <w:b/>
                <w:bCs/>
                <w:kern w:val="0"/>
                <w:sz w:val="24"/>
                <w:szCs w:val="24"/>
                <w:lang w:bidi="ar"/>
              </w:rPr>
              <w:t>级指标要求</w:t>
            </w:r>
          </w:p>
        </w:tc>
        <w:tc>
          <w:tcPr>
            <w:tcW w:w="10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3E3FDE">
            <w:pPr>
              <w:spacing w:line="240" w:lineRule="auto"/>
              <w:ind w:firstLine="0" w:firstLineChars="0"/>
              <w:jc w:val="center"/>
              <w:rPr>
                <w:rFonts w:cs="Times New Roman"/>
                <w:b/>
                <w:bCs/>
                <w:sz w:val="24"/>
                <w:szCs w:val="24"/>
              </w:rPr>
            </w:pPr>
          </w:p>
        </w:tc>
        <w:tc>
          <w:tcPr>
            <w:tcW w:w="15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D06462">
            <w:pPr>
              <w:spacing w:line="240" w:lineRule="auto"/>
              <w:ind w:firstLine="0" w:firstLineChars="0"/>
              <w:jc w:val="center"/>
              <w:rPr>
                <w:rFonts w:cs="Times New Roman"/>
                <w:b/>
                <w:bCs/>
                <w:sz w:val="24"/>
                <w:szCs w:val="24"/>
              </w:rPr>
            </w:pPr>
          </w:p>
        </w:tc>
      </w:tr>
      <w:tr w14:paraId="745ED80B">
        <w:tblPrEx>
          <w:tblCellMar>
            <w:top w:w="0" w:type="dxa"/>
            <w:left w:w="108" w:type="dxa"/>
            <w:bottom w:w="0" w:type="dxa"/>
            <w:right w:w="108" w:type="dxa"/>
          </w:tblCellMar>
        </w:tblPrEx>
        <w:trPr>
          <w:trHeight w:val="462" w:hRule="atLeast"/>
        </w:trPr>
        <w:tc>
          <w:tcPr>
            <w:tcW w:w="452" w:type="pct"/>
            <w:vMerge w:val="restart"/>
            <w:tcBorders>
              <w:top w:val="single" w:color="000000" w:sz="4" w:space="0"/>
              <w:left w:val="single" w:color="000000" w:sz="4" w:space="0"/>
              <w:right w:val="single" w:color="000000" w:sz="4" w:space="0"/>
            </w:tcBorders>
            <w:shd w:val="clear" w:color="auto" w:fill="auto"/>
            <w:noWrap/>
            <w:vAlign w:val="center"/>
          </w:tcPr>
          <w:p w14:paraId="4FC2326B">
            <w:pPr>
              <w:widowControl/>
              <w:spacing w:line="320" w:lineRule="exact"/>
              <w:ind w:firstLine="0" w:firstLineChars="0"/>
              <w:jc w:val="center"/>
              <w:textAlignment w:val="center"/>
              <w:rPr>
                <w:rFonts w:cs="Times New Roman"/>
                <w:sz w:val="24"/>
                <w:szCs w:val="24"/>
              </w:rPr>
            </w:pPr>
          </w:p>
          <w:p w14:paraId="5C147B19">
            <w:pPr>
              <w:widowControl/>
              <w:spacing w:line="320" w:lineRule="exact"/>
              <w:ind w:firstLine="0" w:firstLineChars="0"/>
              <w:jc w:val="center"/>
              <w:textAlignment w:val="center"/>
              <w:rPr>
                <w:rFonts w:cs="Times New Roman"/>
                <w:sz w:val="24"/>
                <w:szCs w:val="24"/>
              </w:rPr>
            </w:pPr>
            <w:r>
              <w:rPr>
                <w:rFonts w:hint="eastAsia" w:cs="Times New Roman"/>
                <w:kern w:val="0"/>
                <w:sz w:val="24"/>
                <w:szCs w:val="24"/>
                <w:lang w:bidi="ar"/>
              </w:rPr>
              <w:t>项目基本条件</w:t>
            </w:r>
          </w:p>
        </w:tc>
        <w:tc>
          <w:tcPr>
            <w:tcW w:w="5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58117">
            <w:pPr>
              <w:widowControl/>
              <w:spacing w:line="320" w:lineRule="exact"/>
              <w:ind w:firstLine="0" w:firstLineChars="0"/>
              <w:jc w:val="center"/>
              <w:textAlignment w:val="center"/>
              <w:rPr>
                <w:rFonts w:cs="Times New Roman"/>
                <w:sz w:val="24"/>
                <w:szCs w:val="24"/>
              </w:rPr>
            </w:pPr>
            <w:r>
              <w:rPr>
                <w:rFonts w:cs="Times New Roman"/>
                <w:kern w:val="0"/>
                <w:sz w:val="24"/>
                <w:szCs w:val="24"/>
                <w:lang w:bidi="ar"/>
              </w:rPr>
              <w:t>项目建设地点</w:t>
            </w:r>
          </w:p>
        </w:tc>
        <w:tc>
          <w:tcPr>
            <w:tcW w:w="1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8E120A">
            <w:pPr>
              <w:widowControl/>
              <w:spacing w:line="320" w:lineRule="exact"/>
              <w:ind w:firstLine="0" w:firstLineChars="0"/>
              <w:jc w:val="left"/>
              <w:textAlignment w:val="center"/>
              <w:rPr>
                <w:rFonts w:cs="Times New Roman"/>
                <w:sz w:val="24"/>
                <w:szCs w:val="24"/>
              </w:rPr>
            </w:pPr>
            <w:r>
              <w:rPr>
                <w:rFonts w:cs="Times New Roman"/>
                <w:kern w:val="0"/>
                <w:sz w:val="24"/>
                <w:szCs w:val="24"/>
                <w:lang w:bidi="ar"/>
              </w:rPr>
              <w:t>项目实施地在密云区行政区域内；</w:t>
            </w:r>
          </w:p>
        </w:tc>
        <w:tc>
          <w:tcPr>
            <w:tcW w:w="10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0B0807">
            <w:pPr>
              <w:widowControl/>
              <w:spacing w:line="320" w:lineRule="exact"/>
              <w:ind w:firstLine="0" w:firstLineChars="0"/>
              <w:textAlignment w:val="center"/>
              <w:rPr>
                <w:rFonts w:cs="Times New Roman"/>
                <w:sz w:val="24"/>
                <w:szCs w:val="24"/>
              </w:rPr>
            </w:pPr>
            <w:r>
              <w:rPr>
                <w:rFonts w:cs="Times New Roman"/>
                <w:kern w:val="0"/>
                <w:sz w:val="24"/>
                <w:szCs w:val="24"/>
                <w:lang w:bidi="ar"/>
              </w:rPr>
              <w:t>项目批复或备案文件等</w:t>
            </w:r>
            <w:r>
              <w:rPr>
                <w:rFonts w:hint="eastAsia" w:cs="Times New Roman"/>
                <w:kern w:val="0"/>
                <w:sz w:val="24"/>
                <w:szCs w:val="24"/>
                <w:lang w:bidi="ar"/>
              </w:rPr>
              <w:t>（*）</w:t>
            </w:r>
          </w:p>
        </w:tc>
        <w:tc>
          <w:tcPr>
            <w:tcW w:w="1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260C7D">
            <w:pPr>
              <w:widowControl/>
              <w:spacing w:line="320" w:lineRule="exact"/>
              <w:ind w:firstLine="0" w:firstLineChars="0"/>
              <w:jc w:val="left"/>
              <w:textAlignment w:val="center"/>
              <w:rPr>
                <w:rFonts w:cs="Times New Roman"/>
                <w:sz w:val="24"/>
                <w:szCs w:val="24"/>
              </w:rPr>
            </w:pPr>
            <w:r>
              <w:rPr>
                <w:rFonts w:cs="Times New Roman"/>
                <w:kern w:val="0"/>
                <w:sz w:val="24"/>
                <w:szCs w:val="24"/>
                <w:lang w:bidi="ar"/>
              </w:rPr>
              <w:t>提供项目批复或备案文件且建设地点符合要求，为达标。</w:t>
            </w:r>
          </w:p>
        </w:tc>
      </w:tr>
      <w:tr w14:paraId="47DA1F7B">
        <w:tblPrEx>
          <w:tblCellMar>
            <w:top w:w="0" w:type="dxa"/>
            <w:left w:w="108" w:type="dxa"/>
            <w:bottom w:w="0" w:type="dxa"/>
            <w:right w:w="108" w:type="dxa"/>
          </w:tblCellMar>
        </w:tblPrEx>
        <w:trPr>
          <w:trHeight w:val="980" w:hRule="atLeast"/>
        </w:trPr>
        <w:tc>
          <w:tcPr>
            <w:tcW w:w="452" w:type="pct"/>
            <w:vMerge w:val="continue"/>
            <w:tcBorders>
              <w:left w:val="single" w:color="000000" w:sz="4" w:space="0"/>
              <w:right w:val="single" w:color="000000" w:sz="4" w:space="0"/>
            </w:tcBorders>
            <w:shd w:val="clear" w:color="auto" w:fill="auto"/>
            <w:noWrap/>
            <w:vAlign w:val="center"/>
          </w:tcPr>
          <w:p w14:paraId="7CB67521">
            <w:pPr>
              <w:widowControl/>
              <w:spacing w:line="320" w:lineRule="exact"/>
              <w:ind w:firstLine="0" w:firstLineChars="0"/>
              <w:jc w:val="center"/>
              <w:textAlignment w:val="center"/>
              <w:rPr>
                <w:rFonts w:cs="Times New Roman"/>
                <w:sz w:val="24"/>
                <w:szCs w:val="24"/>
              </w:rPr>
            </w:pPr>
          </w:p>
        </w:tc>
        <w:tc>
          <w:tcPr>
            <w:tcW w:w="5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4FF10">
            <w:pPr>
              <w:widowControl/>
              <w:spacing w:line="320" w:lineRule="exact"/>
              <w:ind w:firstLine="0" w:firstLineChars="0"/>
              <w:jc w:val="center"/>
              <w:textAlignment w:val="center"/>
              <w:rPr>
                <w:rFonts w:cs="Times New Roman"/>
                <w:sz w:val="24"/>
                <w:szCs w:val="24"/>
              </w:rPr>
            </w:pPr>
            <w:r>
              <w:rPr>
                <w:rFonts w:hint="eastAsia" w:cs="Times New Roman"/>
                <w:spacing w:val="-17"/>
                <w:kern w:val="0"/>
                <w:sz w:val="24"/>
                <w:szCs w:val="24"/>
                <w:lang w:bidi="ar"/>
              </w:rPr>
              <w:t>项目</w:t>
            </w:r>
            <w:r>
              <w:rPr>
                <w:rFonts w:cs="Times New Roman"/>
                <w:spacing w:val="-17"/>
                <w:kern w:val="0"/>
                <w:sz w:val="24"/>
                <w:szCs w:val="24"/>
                <w:lang w:bidi="ar"/>
              </w:rPr>
              <w:t>类别符合性</w:t>
            </w:r>
          </w:p>
        </w:tc>
        <w:tc>
          <w:tcPr>
            <w:tcW w:w="1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696C16">
            <w:pPr>
              <w:widowControl/>
              <w:spacing w:line="320" w:lineRule="exact"/>
              <w:ind w:firstLine="0" w:firstLineChars="0"/>
              <w:jc w:val="left"/>
              <w:textAlignment w:val="center"/>
              <w:rPr>
                <w:rFonts w:cs="Times New Roman"/>
                <w:sz w:val="24"/>
                <w:szCs w:val="24"/>
              </w:rPr>
            </w:pPr>
            <w:r>
              <w:rPr>
                <w:rFonts w:cs="Times New Roman"/>
                <w:kern w:val="0"/>
                <w:sz w:val="24"/>
                <w:szCs w:val="24"/>
                <w:lang w:bidi="ar"/>
              </w:rPr>
              <w:t>项目建设内容应属于《北京市密云区气候投融资项目分类目录（生态涵养区</w:t>
            </w:r>
            <w:r>
              <w:rPr>
                <w:rFonts w:hint="eastAsia" w:cs="Times New Roman"/>
                <w:kern w:val="0"/>
                <w:sz w:val="24"/>
                <w:szCs w:val="24"/>
                <w:lang w:bidi="ar"/>
              </w:rPr>
              <w:t xml:space="preserve"> 试行</w:t>
            </w:r>
            <w:r>
              <w:rPr>
                <w:rFonts w:cs="Times New Roman"/>
                <w:kern w:val="0"/>
                <w:sz w:val="24"/>
                <w:szCs w:val="24"/>
                <w:lang w:bidi="ar"/>
              </w:rPr>
              <w:t>）》所列范围。</w:t>
            </w:r>
          </w:p>
        </w:tc>
        <w:tc>
          <w:tcPr>
            <w:tcW w:w="10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60E05D">
            <w:pPr>
              <w:widowControl/>
              <w:spacing w:line="320" w:lineRule="exact"/>
              <w:ind w:firstLine="0" w:firstLineChars="0"/>
              <w:textAlignment w:val="center"/>
              <w:rPr>
                <w:rFonts w:cs="Times New Roman"/>
                <w:sz w:val="24"/>
                <w:szCs w:val="24"/>
              </w:rPr>
            </w:pPr>
            <w:r>
              <w:rPr>
                <w:rFonts w:cs="Times New Roman"/>
                <w:kern w:val="0"/>
                <w:sz w:val="24"/>
                <w:szCs w:val="24"/>
                <w:lang w:bidi="ar"/>
              </w:rPr>
              <w:t>项目名称及内容介绍</w:t>
            </w:r>
            <w:r>
              <w:rPr>
                <w:rFonts w:hint="eastAsia" w:cs="Times New Roman"/>
                <w:kern w:val="0"/>
                <w:sz w:val="24"/>
                <w:szCs w:val="24"/>
                <w:lang w:bidi="ar"/>
              </w:rPr>
              <w:t>（*）</w:t>
            </w:r>
          </w:p>
        </w:tc>
        <w:tc>
          <w:tcPr>
            <w:tcW w:w="1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46E7EB">
            <w:pPr>
              <w:widowControl/>
              <w:spacing w:line="320" w:lineRule="exact"/>
              <w:ind w:firstLine="0" w:firstLineChars="0"/>
              <w:jc w:val="left"/>
              <w:textAlignment w:val="center"/>
              <w:rPr>
                <w:rFonts w:cs="Times New Roman"/>
                <w:sz w:val="24"/>
                <w:szCs w:val="24"/>
              </w:rPr>
            </w:pPr>
            <w:r>
              <w:rPr>
                <w:rFonts w:cs="Times New Roman"/>
                <w:kern w:val="0"/>
                <w:sz w:val="24"/>
                <w:szCs w:val="24"/>
                <w:lang w:bidi="ar"/>
              </w:rPr>
              <w:t>项目满足附件《北京市密云区气候投融资项目分类目录（生态涵养区</w:t>
            </w:r>
            <w:r>
              <w:rPr>
                <w:rFonts w:hint="eastAsia" w:cs="Times New Roman"/>
                <w:kern w:val="0"/>
                <w:sz w:val="24"/>
                <w:szCs w:val="24"/>
                <w:lang w:bidi="ar"/>
              </w:rPr>
              <w:t xml:space="preserve"> 试行</w:t>
            </w:r>
            <w:r>
              <w:rPr>
                <w:rFonts w:cs="Times New Roman"/>
                <w:kern w:val="0"/>
                <w:sz w:val="24"/>
                <w:szCs w:val="24"/>
                <w:lang w:bidi="ar"/>
              </w:rPr>
              <w:t>）》要求，为达标。</w:t>
            </w:r>
          </w:p>
        </w:tc>
      </w:tr>
      <w:tr w14:paraId="213A1BCE">
        <w:tblPrEx>
          <w:tblCellMar>
            <w:top w:w="0" w:type="dxa"/>
            <w:left w:w="108" w:type="dxa"/>
            <w:bottom w:w="0" w:type="dxa"/>
            <w:right w:w="108" w:type="dxa"/>
          </w:tblCellMar>
        </w:tblPrEx>
        <w:trPr>
          <w:trHeight w:val="1240" w:hRule="atLeast"/>
        </w:trPr>
        <w:tc>
          <w:tcPr>
            <w:tcW w:w="452" w:type="pct"/>
            <w:vMerge w:val="continue"/>
            <w:tcBorders>
              <w:left w:val="single" w:color="000000" w:sz="4" w:space="0"/>
              <w:right w:val="single" w:color="000000" w:sz="4" w:space="0"/>
            </w:tcBorders>
            <w:shd w:val="clear" w:color="auto" w:fill="auto"/>
            <w:noWrap/>
            <w:vAlign w:val="center"/>
          </w:tcPr>
          <w:p w14:paraId="4091879B">
            <w:pPr>
              <w:widowControl/>
              <w:spacing w:line="320" w:lineRule="exact"/>
              <w:ind w:firstLine="0" w:firstLineChars="0"/>
              <w:jc w:val="center"/>
              <w:textAlignment w:val="center"/>
              <w:rPr>
                <w:rFonts w:cs="Times New Roman"/>
                <w:sz w:val="24"/>
                <w:szCs w:val="24"/>
              </w:rPr>
            </w:pPr>
          </w:p>
        </w:tc>
        <w:tc>
          <w:tcPr>
            <w:tcW w:w="57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B77C8">
            <w:pPr>
              <w:widowControl/>
              <w:spacing w:line="320" w:lineRule="exact"/>
              <w:ind w:firstLine="0" w:firstLineChars="0"/>
              <w:jc w:val="center"/>
              <w:textAlignment w:val="center"/>
              <w:rPr>
                <w:rFonts w:cs="Times New Roman"/>
                <w:sz w:val="24"/>
                <w:szCs w:val="24"/>
              </w:rPr>
            </w:pPr>
            <w:r>
              <w:rPr>
                <w:rFonts w:cs="Times New Roman"/>
                <w:spacing w:val="-11"/>
                <w:kern w:val="0"/>
                <w:sz w:val="24"/>
                <w:szCs w:val="24"/>
                <w:lang w:bidi="ar"/>
              </w:rPr>
              <w:t>项目合规性</w:t>
            </w:r>
          </w:p>
        </w:tc>
        <w:tc>
          <w:tcPr>
            <w:tcW w:w="1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AFD584">
            <w:pPr>
              <w:widowControl/>
              <w:spacing w:line="320" w:lineRule="exact"/>
              <w:ind w:firstLine="0" w:firstLineChars="0"/>
              <w:jc w:val="left"/>
              <w:textAlignment w:val="center"/>
              <w:rPr>
                <w:rFonts w:cs="Times New Roman"/>
                <w:sz w:val="24"/>
                <w:szCs w:val="24"/>
              </w:rPr>
            </w:pPr>
            <w:r>
              <w:rPr>
                <w:rFonts w:cs="Times New Roman"/>
                <w:kern w:val="0"/>
                <w:sz w:val="24"/>
                <w:szCs w:val="24"/>
                <w:lang w:bidi="ar"/>
              </w:rPr>
              <w:t>项目应满足国家、地区、行业相关政策、标准、规范等要求，且对环境和社会负面影响较小、风险可控。</w:t>
            </w:r>
          </w:p>
        </w:tc>
        <w:tc>
          <w:tcPr>
            <w:tcW w:w="10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B79B06">
            <w:pPr>
              <w:widowControl/>
              <w:spacing w:line="320" w:lineRule="exact"/>
              <w:ind w:firstLine="0" w:firstLineChars="0"/>
              <w:textAlignment w:val="center"/>
              <w:rPr>
                <w:rFonts w:cs="Times New Roman"/>
                <w:sz w:val="24"/>
                <w:szCs w:val="24"/>
              </w:rPr>
            </w:pPr>
            <w:r>
              <w:rPr>
                <w:rFonts w:cs="Times New Roman"/>
                <w:kern w:val="0"/>
                <w:sz w:val="24"/>
                <w:szCs w:val="24"/>
                <w:lang w:bidi="ar"/>
              </w:rPr>
              <w:t>政府部门对项目实施方案、项目建议书、可行性研究报告、初步设计报告、资金申请报告、项目申请报告、环境影响评价等批复或备案文件</w:t>
            </w:r>
          </w:p>
        </w:tc>
        <w:tc>
          <w:tcPr>
            <w:tcW w:w="1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BD500C">
            <w:pPr>
              <w:widowControl/>
              <w:spacing w:line="320" w:lineRule="exact"/>
              <w:ind w:firstLine="0" w:firstLineChars="0"/>
              <w:jc w:val="left"/>
              <w:textAlignment w:val="center"/>
              <w:rPr>
                <w:rFonts w:cs="Times New Roman"/>
                <w:sz w:val="24"/>
                <w:szCs w:val="24"/>
              </w:rPr>
            </w:pPr>
            <w:r>
              <w:rPr>
                <w:rFonts w:cs="Times New Roman"/>
                <w:kern w:val="0"/>
                <w:sz w:val="24"/>
                <w:szCs w:val="24"/>
                <w:lang w:bidi="ar"/>
              </w:rPr>
              <w:t>评价参考资料至少提供其中之一，经审核评价内容均合规，为达标。</w:t>
            </w:r>
          </w:p>
        </w:tc>
      </w:tr>
      <w:tr w14:paraId="3F8B3504">
        <w:tblPrEx>
          <w:tblCellMar>
            <w:top w:w="0" w:type="dxa"/>
            <w:left w:w="108" w:type="dxa"/>
            <w:bottom w:w="0" w:type="dxa"/>
            <w:right w:w="108" w:type="dxa"/>
          </w:tblCellMar>
        </w:tblPrEx>
        <w:trPr>
          <w:trHeight w:val="1020" w:hRule="atLeast"/>
        </w:trPr>
        <w:tc>
          <w:tcPr>
            <w:tcW w:w="452" w:type="pct"/>
            <w:vMerge w:val="continue"/>
            <w:tcBorders>
              <w:left w:val="single" w:color="000000" w:sz="4" w:space="0"/>
              <w:bottom w:val="single" w:color="auto" w:sz="4" w:space="0"/>
              <w:right w:val="single" w:color="000000" w:sz="4" w:space="0"/>
            </w:tcBorders>
            <w:shd w:val="clear" w:color="auto" w:fill="auto"/>
            <w:noWrap/>
            <w:vAlign w:val="center"/>
          </w:tcPr>
          <w:p w14:paraId="502D4D4A">
            <w:pPr>
              <w:spacing w:line="320" w:lineRule="exact"/>
              <w:ind w:firstLine="0" w:firstLineChars="0"/>
              <w:jc w:val="center"/>
              <w:rPr>
                <w:rFonts w:cs="Times New Roman"/>
                <w:sz w:val="24"/>
                <w:szCs w:val="24"/>
              </w:rPr>
            </w:pPr>
          </w:p>
        </w:tc>
        <w:tc>
          <w:tcPr>
            <w:tcW w:w="574" w:type="pct"/>
            <w:vMerge w:val="continue"/>
            <w:tcBorders>
              <w:top w:val="single" w:color="000000" w:sz="4" w:space="0"/>
              <w:left w:val="single" w:color="000000" w:sz="4" w:space="0"/>
              <w:bottom w:val="single" w:color="auto" w:sz="4" w:space="0"/>
              <w:right w:val="single" w:color="000000" w:sz="4" w:space="0"/>
            </w:tcBorders>
            <w:shd w:val="clear" w:color="auto" w:fill="auto"/>
            <w:noWrap/>
            <w:vAlign w:val="center"/>
          </w:tcPr>
          <w:p w14:paraId="1A895E22">
            <w:pPr>
              <w:spacing w:line="320" w:lineRule="exact"/>
              <w:ind w:firstLine="0" w:firstLineChars="0"/>
              <w:jc w:val="center"/>
              <w:rPr>
                <w:rFonts w:cs="Times New Roman"/>
                <w:sz w:val="24"/>
                <w:szCs w:val="24"/>
              </w:rPr>
            </w:pPr>
          </w:p>
        </w:tc>
        <w:tc>
          <w:tcPr>
            <w:tcW w:w="1390" w:type="pct"/>
            <w:tcBorders>
              <w:top w:val="single" w:color="000000" w:sz="4" w:space="0"/>
              <w:left w:val="single" w:color="000000" w:sz="4" w:space="0"/>
              <w:bottom w:val="single" w:color="auto" w:sz="4" w:space="0"/>
              <w:right w:val="single" w:color="000000" w:sz="4" w:space="0"/>
            </w:tcBorders>
            <w:shd w:val="clear" w:color="auto" w:fill="auto"/>
            <w:vAlign w:val="center"/>
          </w:tcPr>
          <w:p w14:paraId="329C3BD5">
            <w:pPr>
              <w:widowControl/>
              <w:spacing w:line="320" w:lineRule="exact"/>
              <w:ind w:firstLine="0" w:firstLineChars="0"/>
              <w:jc w:val="left"/>
              <w:textAlignment w:val="center"/>
              <w:rPr>
                <w:rFonts w:cs="Times New Roman"/>
                <w:sz w:val="24"/>
                <w:szCs w:val="24"/>
              </w:rPr>
            </w:pPr>
            <w:r>
              <w:rPr>
                <w:rFonts w:cs="Times New Roman"/>
                <w:kern w:val="0"/>
                <w:sz w:val="24"/>
                <w:szCs w:val="24"/>
                <w:lang w:bidi="ar"/>
              </w:rPr>
              <w:t>项目选址与规划应符合国家产业发展、区域发展规划要求，应依据当地城市规划和用地政策。</w:t>
            </w:r>
          </w:p>
        </w:tc>
        <w:tc>
          <w:tcPr>
            <w:tcW w:w="1040" w:type="pct"/>
            <w:tcBorders>
              <w:top w:val="single" w:color="000000" w:sz="4" w:space="0"/>
              <w:left w:val="single" w:color="000000" w:sz="4" w:space="0"/>
              <w:bottom w:val="single" w:color="auto" w:sz="4" w:space="0"/>
              <w:right w:val="single" w:color="000000" w:sz="4" w:space="0"/>
            </w:tcBorders>
            <w:shd w:val="clear" w:color="auto" w:fill="auto"/>
            <w:vAlign w:val="center"/>
          </w:tcPr>
          <w:p w14:paraId="12122D9D">
            <w:pPr>
              <w:widowControl/>
              <w:spacing w:line="320" w:lineRule="exact"/>
              <w:ind w:firstLine="0" w:firstLineChars="0"/>
              <w:textAlignment w:val="center"/>
              <w:rPr>
                <w:rFonts w:cs="Times New Roman"/>
                <w:sz w:val="24"/>
                <w:szCs w:val="24"/>
              </w:rPr>
            </w:pPr>
            <w:r>
              <w:rPr>
                <w:rFonts w:cs="Times New Roman"/>
                <w:kern w:val="0"/>
                <w:sz w:val="24"/>
                <w:szCs w:val="24"/>
                <w:lang w:bidi="ar"/>
              </w:rPr>
              <w:t>土地证，土地预审与选址意见等</w:t>
            </w:r>
          </w:p>
        </w:tc>
        <w:tc>
          <w:tcPr>
            <w:tcW w:w="1543" w:type="pct"/>
            <w:tcBorders>
              <w:top w:val="single" w:color="000000" w:sz="4" w:space="0"/>
              <w:left w:val="single" w:color="000000" w:sz="4" w:space="0"/>
              <w:bottom w:val="single" w:color="auto" w:sz="4" w:space="0"/>
              <w:right w:val="single" w:color="000000" w:sz="4" w:space="0"/>
            </w:tcBorders>
            <w:shd w:val="clear" w:color="auto" w:fill="auto"/>
            <w:vAlign w:val="center"/>
          </w:tcPr>
          <w:p w14:paraId="44B4DF60">
            <w:pPr>
              <w:widowControl/>
              <w:spacing w:line="320" w:lineRule="exact"/>
              <w:ind w:firstLine="0" w:firstLineChars="0"/>
              <w:jc w:val="left"/>
              <w:textAlignment w:val="center"/>
              <w:rPr>
                <w:rFonts w:cs="Times New Roman"/>
                <w:sz w:val="24"/>
                <w:szCs w:val="24"/>
              </w:rPr>
            </w:pPr>
            <w:r>
              <w:rPr>
                <w:rFonts w:cs="Times New Roman"/>
                <w:kern w:val="0"/>
                <w:sz w:val="24"/>
                <w:szCs w:val="24"/>
                <w:lang w:bidi="ar"/>
              </w:rPr>
              <w:t>如项目适用此评价指标，提供土地证或土地预审与选址意见相关文件，经审核评价内容均合规，为达标。</w:t>
            </w:r>
          </w:p>
        </w:tc>
      </w:tr>
      <w:tr w14:paraId="1FFE320D">
        <w:tblPrEx>
          <w:tblCellMar>
            <w:top w:w="0" w:type="dxa"/>
            <w:left w:w="108" w:type="dxa"/>
            <w:bottom w:w="0" w:type="dxa"/>
            <w:right w:w="108" w:type="dxa"/>
          </w:tblCellMar>
        </w:tblPrEx>
        <w:trPr>
          <w:trHeight w:val="1020" w:hRule="atLeast"/>
        </w:trPr>
        <w:tc>
          <w:tcPr>
            <w:tcW w:w="452"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461C1CD">
            <w:pPr>
              <w:widowControl/>
              <w:spacing w:line="320" w:lineRule="exact"/>
              <w:ind w:firstLine="0" w:firstLineChars="0"/>
              <w:jc w:val="center"/>
              <w:textAlignment w:val="center"/>
              <w:rPr>
                <w:rFonts w:cs="Times New Roman"/>
                <w:sz w:val="24"/>
                <w:szCs w:val="24"/>
              </w:rPr>
            </w:pPr>
            <w:r>
              <w:rPr>
                <w:rFonts w:hint="eastAsia" w:cs="Times New Roman"/>
                <w:kern w:val="0"/>
                <w:sz w:val="24"/>
                <w:szCs w:val="24"/>
                <w:lang w:bidi="ar"/>
              </w:rPr>
              <w:t>项目主体</w:t>
            </w:r>
            <w:r>
              <w:rPr>
                <w:rFonts w:cs="Times New Roman"/>
                <w:kern w:val="0"/>
                <w:sz w:val="24"/>
                <w:szCs w:val="24"/>
                <w:lang w:bidi="ar"/>
              </w:rPr>
              <w:t>基本条件</w:t>
            </w:r>
          </w:p>
        </w:tc>
        <w:tc>
          <w:tcPr>
            <w:tcW w:w="57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364D9A2">
            <w:pPr>
              <w:widowControl/>
              <w:spacing w:line="320" w:lineRule="exact"/>
              <w:ind w:firstLine="0" w:firstLineChars="0"/>
              <w:jc w:val="center"/>
              <w:textAlignment w:val="center"/>
              <w:rPr>
                <w:rFonts w:cs="Times New Roman"/>
                <w:sz w:val="24"/>
                <w:szCs w:val="24"/>
              </w:rPr>
            </w:pPr>
            <w:r>
              <w:rPr>
                <w:rFonts w:hint="eastAsia" w:cs="Times New Roman"/>
                <w:kern w:val="0"/>
                <w:sz w:val="24"/>
                <w:szCs w:val="24"/>
                <w:lang w:bidi="ar"/>
              </w:rPr>
              <w:t>证照及存续期要求</w:t>
            </w:r>
          </w:p>
        </w:tc>
        <w:tc>
          <w:tcPr>
            <w:tcW w:w="1390" w:type="pct"/>
            <w:tcBorders>
              <w:top w:val="single" w:color="auto" w:sz="4" w:space="0"/>
              <w:left w:val="single" w:color="auto" w:sz="4" w:space="0"/>
              <w:bottom w:val="single" w:color="auto" w:sz="4" w:space="0"/>
              <w:right w:val="single" w:color="auto" w:sz="4" w:space="0"/>
            </w:tcBorders>
            <w:shd w:val="clear" w:color="auto" w:fill="auto"/>
            <w:vAlign w:val="center"/>
          </w:tcPr>
          <w:p w14:paraId="248A9B71">
            <w:pPr>
              <w:widowControl/>
              <w:spacing w:line="320" w:lineRule="exact"/>
              <w:ind w:firstLine="0" w:firstLineChars="0"/>
              <w:jc w:val="left"/>
              <w:textAlignment w:val="center"/>
              <w:rPr>
                <w:rFonts w:cs="Times New Roman"/>
                <w:sz w:val="24"/>
                <w:szCs w:val="24"/>
              </w:rPr>
            </w:pPr>
            <w:r>
              <w:rPr>
                <w:rFonts w:hint="eastAsia" w:cs="Times New Roman"/>
                <w:kern w:val="0"/>
                <w:sz w:val="24"/>
                <w:szCs w:val="24"/>
                <w:lang w:bidi="ar"/>
              </w:rPr>
              <w:t>依法设立，证照齐全，具有独立承担民事责任的能力，健全的财务制度且实行独立核算的企业或其他机构</w:t>
            </w:r>
            <w:r>
              <w:rPr>
                <w:rFonts w:cs="Times New Roman"/>
                <w:kern w:val="0"/>
                <w:sz w:val="24"/>
                <w:szCs w:val="24"/>
                <w:lang w:bidi="ar"/>
              </w:rPr>
              <w:t>。</w:t>
            </w:r>
          </w:p>
        </w:tc>
        <w:tc>
          <w:tcPr>
            <w:tcW w:w="1040" w:type="pct"/>
            <w:tcBorders>
              <w:top w:val="single" w:color="auto" w:sz="4" w:space="0"/>
              <w:left w:val="single" w:color="auto" w:sz="4" w:space="0"/>
              <w:bottom w:val="single" w:color="auto" w:sz="4" w:space="0"/>
              <w:right w:val="single" w:color="auto" w:sz="4" w:space="0"/>
            </w:tcBorders>
            <w:shd w:val="clear" w:color="auto" w:fill="auto"/>
            <w:vAlign w:val="center"/>
          </w:tcPr>
          <w:p w14:paraId="13915388">
            <w:pPr>
              <w:widowControl/>
              <w:spacing w:line="320" w:lineRule="exact"/>
              <w:ind w:firstLine="0" w:firstLineChars="0"/>
              <w:textAlignment w:val="center"/>
              <w:rPr>
                <w:rFonts w:cs="Times New Roman"/>
                <w:sz w:val="24"/>
                <w:szCs w:val="24"/>
              </w:rPr>
            </w:pPr>
            <w:r>
              <w:rPr>
                <w:rFonts w:cs="Times New Roman"/>
                <w:kern w:val="0"/>
                <w:sz w:val="24"/>
                <w:szCs w:val="24"/>
                <w:lang w:bidi="ar"/>
              </w:rPr>
              <w:t>项目</w:t>
            </w:r>
            <w:r>
              <w:rPr>
                <w:rFonts w:hint="eastAsia" w:cs="Times New Roman"/>
                <w:kern w:val="0"/>
                <w:sz w:val="24"/>
                <w:szCs w:val="24"/>
                <w:lang w:bidi="ar"/>
              </w:rPr>
              <w:t>主体</w:t>
            </w:r>
            <w:r>
              <w:rPr>
                <w:rFonts w:cs="Times New Roman"/>
                <w:kern w:val="0"/>
                <w:sz w:val="24"/>
                <w:szCs w:val="24"/>
                <w:lang w:bidi="ar"/>
              </w:rPr>
              <w:t>证照</w:t>
            </w:r>
            <w:r>
              <w:rPr>
                <w:rFonts w:hint="eastAsia" w:cs="Times New Roman"/>
                <w:kern w:val="0"/>
                <w:sz w:val="24"/>
                <w:szCs w:val="24"/>
                <w:lang w:bidi="ar"/>
              </w:rPr>
              <w:t>（*）</w:t>
            </w:r>
          </w:p>
        </w:tc>
        <w:tc>
          <w:tcPr>
            <w:tcW w:w="1543" w:type="pct"/>
            <w:tcBorders>
              <w:top w:val="single" w:color="auto" w:sz="4" w:space="0"/>
              <w:left w:val="single" w:color="auto" w:sz="4" w:space="0"/>
              <w:bottom w:val="single" w:color="auto" w:sz="4" w:space="0"/>
              <w:right w:val="single" w:color="auto" w:sz="4" w:space="0"/>
            </w:tcBorders>
            <w:shd w:val="clear" w:color="auto" w:fill="auto"/>
            <w:vAlign w:val="center"/>
          </w:tcPr>
          <w:p w14:paraId="1BD63097">
            <w:pPr>
              <w:widowControl/>
              <w:spacing w:line="320" w:lineRule="exact"/>
              <w:ind w:firstLine="0" w:firstLineChars="0"/>
              <w:jc w:val="left"/>
              <w:textAlignment w:val="center"/>
              <w:rPr>
                <w:rFonts w:cs="Times New Roman"/>
                <w:sz w:val="24"/>
                <w:szCs w:val="24"/>
              </w:rPr>
            </w:pPr>
            <w:r>
              <w:rPr>
                <w:rFonts w:cs="Times New Roman"/>
                <w:kern w:val="0"/>
                <w:sz w:val="24"/>
                <w:szCs w:val="24"/>
                <w:lang w:bidi="ar"/>
              </w:rPr>
              <w:t>企业作为项目</w:t>
            </w:r>
            <w:r>
              <w:rPr>
                <w:rFonts w:hint="eastAsia" w:cs="Times New Roman"/>
                <w:kern w:val="0"/>
                <w:sz w:val="24"/>
                <w:szCs w:val="24"/>
                <w:lang w:bidi="ar"/>
              </w:rPr>
              <w:t>主体</w:t>
            </w:r>
            <w:r>
              <w:rPr>
                <w:rFonts w:cs="Times New Roman"/>
                <w:kern w:val="0"/>
                <w:sz w:val="24"/>
                <w:szCs w:val="24"/>
                <w:lang w:bidi="ar"/>
              </w:rPr>
              <w:t>提供五证合一营业执照，或事业单位作为项目</w:t>
            </w:r>
            <w:r>
              <w:rPr>
                <w:rFonts w:hint="eastAsia" w:cs="Times New Roman"/>
                <w:kern w:val="0"/>
                <w:sz w:val="24"/>
                <w:szCs w:val="24"/>
                <w:lang w:bidi="ar"/>
              </w:rPr>
              <w:t>主体</w:t>
            </w:r>
            <w:r>
              <w:rPr>
                <w:rFonts w:cs="Times New Roman"/>
                <w:kern w:val="0"/>
                <w:sz w:val="24"/>
                <w:szCs w:val="24"/>
                <w:lang w:bidi="ar"/>
              </w:rPr>
              <w:t>提供事业单位法人证书，为达标。</w:t>
            </w:r>
          </w:p>
        </w:tc>
      </w:tr>
      <w:tr w14:paraId="380E0274">
        <w:tblPrEx>
          <w:tblCellMar>
            <w:top w:w="0" w:type="dxa"/>
            <w:left w:w="108" w:type="dxa"/>
            <w:bottom w:w="0" w:type="dxa"/>
            <w:right w:w="108" w:type="dxa"/>
          </w:tblCellMar>
        </w:tblPrEx>
        <w:trPr>
          <w:trHeight w:val="1020" w:hRule="atLeast"/>
        </w:trPr>
        <w:tc>
          <w:tcPr>
            <w:tcW w:w="452" w:type="pct"/>
            <w:vMerge w:val="continue"/>
            <w:tcBorders>
              <w:top w:val="single" w:color="auto" w:sz="4" w:space="0"/>
              <w:left w:val="single" w:color="auto" w:sz="4" w:space="0"/>
              <w:bottom w:val="single" w:color="auto" w:sz="4" w:space="0"/>
              <w:right w:val="single" w:color="auto" w:sz="4" w:space="0"/>
            </w:tcBorders>
          </w:tcPr>
          <w:p w14:paraId="02627555">
            <w:pPr>
              <w:spacing w:line="320" w:lineRule="exact"/>
              <w:ind w:firstLine="0" w:firstLineChars="0"/>
              <w:jc w:val="center"/>
              <w:rPr>
                <w:rFonts w:cs="Times New Roman"/>
                <w:sz w:val="24"/>
                <w:szCs w:val="24"/>
              </w:rPr>
            </w:pPr>
          </w:p>
        </w:tc>
        <w:tc>
          <w:tcPr>
            <w:tcW w:w="1626" w:type="dxa"/>
            <w:tcBorders>
              <w:top w:val="single" w:color="auto" w:sz="4" w:space="0"/>
              <w:left w:val="single" w:color="auto" w:sz="4" w:space="0"/>
              <w:bottom w:val="single" w:color="auto" w:sz="4" w:space="0"/>
              <w:right w:val="single" w:color="auto" w:sz="4" w:space="0"/>
            </w:tcBorders>
            <w:shd w:val="clear" w:color="auto" w:fill="auto"/>
            <w:vAlign w:val="center"/>
          </w:tcPr>
          <w:p w14:paraId="05C9CC69">
            <w:pPr>
              <w:spacing w:line="320" w:lineRule="exact"/>
              <w:ind w:firstLine="0" w:firstLineChars="0"/>
              <w:jc w:val="center"/>
              <w:rPr>
                <w:rFonts w:cs="Times New Roman"/>
                <w:sz w:val="24"/>
                <w:szCs w:val="24"/>
              </w:rPr>
            </w:pPr>
            <w:r>
              <w:rPr>
                <w:rFonts w:hint="eastAsia" w:cs="Times New Roman"/>
                <w:sz w:val="24"/>
                <w:szCs w:val="24"/>
              </w:rPr>
              <w:t>信用要求</w:t>
            </w:r>
          </w:p>
        </w:tc>
        <w:tc>
          <w:tcPr>
            <w:tcW w:w="3938" w:type="dxa"/>
            <w:tcBorders>
              <w:top w:val="single" w:color="auto" w:sz="4" w:space="0"/>
              <w:left w:val="single" w:color="auto" w:sz="4" w:space="0"/>
              <w:bottom w:val="single" w:color="auto" w:sz="4" w:space="0"/>
              <w:right w:val="single" w:color="auto" w:sz="4" w:space="0"/>
            </w:tcBorders>
            <w:shd w:val="clear" w:color="auto" w:fill="auto"/>
            <w:vAlign w:val="center"/>
          </w:tcPr>
          <w:p w14:paraId="25F1452B">
            <w:pPr>
              <w:widowControl/>
              <w:spacing w:line="320" w:lineRule="exact"/>
              <w:ind w:firstLine="0" w:firstLineChars="0"/>
              <w:jc w:val="left"/>
              <w:textAlignment w:val="center"/>
              <w:rPr>
                <w:rFonts w:cs="Times New Roman"/>
                <w:sz w:val="24"/>
                <w:szCs w:val="24"/>
              </w:rPr>
            </w:pPr>
            <w:r>
              <w:rPr>
                <w:rFonts w:cs="Times New Roman"/>
                <w:kern w:val="0"/>
                <w:sz w:val="24"/>
                <w:szCs w:val="24"/>
                <w:lang w:bidi="ar"/>
              </w:rPr>
              <w:t>项目</w:t>
            </w:r>
            <w:r>
              <w:rPr>
                <w:rFonts w:hint="eastAsia" w:cs="Times New Roman"/>
                <w:kern w:val="0"/>
                <w:sz w:val="24"/>
                <w:szCs w:val="24"/>
                <w:lang w:bidi="ar"/>
              </w:rPr>
              <w:t>主体</w:t>
            </w:r>
            <w:r>
              <w:rPr>
                <w:rFonts w:cs="Times New Roman"/>
                <w:kern w:val="0"/>
                <w:sz w:val="24"/>
                <w:szCs w:val="24"/>
                <w:lang w:bidi="ar"/>
              </w:rPr>
              <w:t>无不良信用记录。</w:t>
            </w:r>
          </w:p>
        </w:tc>
        <w:tc>
          <w:tcPr>
            <w:tcW w:w="1040" w:type="pct"/>
            <w:tcBorders>
              <w:top w:val="single" w:color="auto" w:sz="4" w:space="0"/>
              <w:left w:val="single" w:color="auto" w:sz="4" w:space="0"/>
              <w:bottom w:val="single" w:color="auto" w:sz="4" w:space="0"/>
              <w:right w:val="single" w:color="auto" w:sz="4" w:space="0"/>
            </w:tcBorders>
            <w:shd w:val="clear" w:color="auto" w:fill="auto"/>
            <w:vAlign w:val="center"/>
          </w:tcPr>
          <w:p w14:paraId="05703A09">
            <w:pPr>
              <w:widowControl/>
              <w:spacing w:line="320" w:lineRule="exact"/>
              <w:ind w:firstLine="0" w:firstLineChars="0"/>
              <w:textAlignment w:val="center"/>
              <w:rPr>
                <w:rFonts w:cs="Times New Roman"/>
                <w:sz w:val="24"/>
                <w:szCs w:val="24"/>
              </w:rPr>
            </w:pPr>
            <w:r>
              <w:rPr>
                <w:rFonts w:cs="Times New Roman"/>
                <w:kern w:val="0"/>
                <w:sz w:val="24"/>
                <w:szCs w:val="24"/>
                <w:lang w:bidi="ar"/>
              </w:rPr>
              <w:t>网络/信息数据平台检索</w:t>
            </w:r>
          </w:p>
        </w:tc>
        <w:tc>
          <w:tcPr>
            <w:tcW w:w="1543" w:type="pct"/>
            <w:tcBorders>
              <w:top w:val="single" w:color="auto" w:sz="4" w:space="0"/>
              <w:left w:val="single" w:color="auto" w:sz="4" w:space="0"/>
              <w:bottom w:val="single" w:color="auto" w:sz="4" w:space="0"/>
              <w:right w:val="single" w:color="auto" w:sz="4" w:space="0"/>
            </w:tcBorders>
            <w:shd w:val="clear" w:color="auto" w:fill="auto"/>
            <w:vAlign w:val="center"/>
          </w:tcPr>
          <w:p w14:paraId="43B17A7D">
            <w:pPr>
              <w:widowControl/>
              <w:spacing w:line="320" w:lineRule="exact"/>
              <w:ind w:firstLine="0" w:firstLineChars="0"/>
              <w:jc w:val="left"/>
              <w:textAlignment w:val="center"/>
              <w:rPr>
                <w:rFonts w:cs="Times New Roman"/>
                <w:sz w:val="24"/>
                <w:szCs w:val="24"/>
              </w:rPr>
            </w:pPr>
            <w:r>
              <w:rPr>
                <w:rFonts w:cs="Times New Roman"/>
                <w:kern w:val="0"/>
                <w:sz w:val="24"/>
                <w:szCs w:val="24"/>
                <w:lang w:bidi="ar"/>
              </w:rPr>
              <w:t>项目</w:t>
            </w:r>
            <w:r>
              <w:rPr>
                <w:rFonts w:hint="eastAsia" w:cs="Times New Roman"/>
                <w:kern w:val="0"/>
                <w:sz w:val="24"/>
                <w:szCs w:val="24"/>
                <w:lang w:bidi="ar"/>
              </w:rPr>
              <w:t>主体</w:t>
            </w:r>
            <w:r>
              <w:rPr>
                <w:rFonts w:cs="Times New Roman"/>
                <w:kern w:val="0"/>
                <w:sz w:val="24"/>
                <w:szCs w:val="24"/>
                <w:lang w:bidi="ar"/>
              </w:rPr>
              <w:t>未被纳入失信联合惩戒名单</w:t>
            </w:r>
            <w:r>
              <w:rPr>
                <w:rFonts w:hint="eastAsia" w:cs="Times New Roman"/>
                <w:kern w:val="0"/>
                <w:sz w:val="24"/>
                <w:szCs w:val="24"/>
                <w:lang w:bidi="ar"/>
              </w:rPr>
              <w:t>，</w:t>
            </w:r>
            <w:r>
              <w:rPr>
                <w:rFonts w:cs="Times New Roman"/>
                <w:kern w:val="0"/>
                <w:sz w:val="24"/>
                <w:szCs w:val="24"/>
                <w:lang w:bidi="ar"/>
              </w:rPr>
              <w:t>未列入“信用中国”严重失信主体名单，为达标。</w:t>
            </w:r>
          </w:p>
        </w:tc>
      </w:tr>
      <w:tr w14:paraId="64C6B8F0">
        <w:tblPrEx>
          <w:tblCellMar>
            <w:top w:w="0" w:type="dxa"/>
            <w:left w:w="108" w:type="dxa"/>
            <w:bottom w:w="0" w:type="dxa"/>
            <w:right w:w="108" w:type="dxa"/>
          </w:tblCellMar>
        </w:tblPrEx>
        <w:trPr>
          <w:trHeight w:val="1020" w:hRule="atLeast"/>
        </w:trPr>
        <w:tc>
          <w:tcPr>
            <w:tcW w:w="452" w:type="pct"/>
            <w:vMerge w:val="continue"/>
            <w:tcBorders>
              <w:top w:val="single" w:color="auto" w:sz="4" w:space="0"/>
              <w:left w:val="single" w:color="auto" w:sz="4" w:space="0"/>
              <w:bottom w:val="single" w:color="auto" w:sz="4" w:space="0"/>
              <w:right w:val="single" w:color="auto" w:sz="4" w:space="0"/>
            </w:tcBorders>
          </w:tcPr>
          <w:p w14:paraId="3B20A8B7">
            <w:pPr>
              <w:spacing w:line="320" w:lineRule="exact"/>
              <w:ind w:firstLine="0" w:firstLineChars="0"/>
              <w:jc w:val="center"/>
              <w:rPr>
                <w:rFonts w:cs="Times New Roman"/>
                <w:sz w:val="24"/>
                <w:szCs w:val="24"/>
              </w:rPr>
            </w:pPr>
          </w:p>
        </w:tc>
        <w:tc>
          <w:tcPr>
            <w:tcW w:w="1626" w:type="dxa"/>
            <w:tcBorders>
              <w:top w:val="single" w:color="auto" w:sz="4" w:space="0"/>
              <w:left w:val="single" w:color="auto" w:sz="4" w:space="0"/>
              <w:bottom w:val="single" w:color="auto" w:sz="4" w:space="0"/>
              <w:right w:val="single" w:color="auto" w:sz="4" w:space="0"/>
            </w:tcBorders>
            <w:shd w:val="clear" w:color="auto" w:fill="auto"/>
            <w:vAlign w:val="center"/>
          </w:tcPr>
          <w:p w14:paraId="2363CBB1">
            <w:pPr>
              <w:spacing w:line="320" w:lineRule="exact"/>
              <w:ind w:firstLine="0" w:firstLineChars="0"/>
              <w:jc w:val="center"/>
              <w:rPr>
                <w:rFonts w:cs="Times New Roman"/>
                <w:sz w:val="24"/>
                <w:szCs w:val="24"/>
              </w:rPr>
            </w:pPr>
            <w:r>
              <w:rPr>
                <w:rFonts w:hint="eastAsia" w:cs="Times New Roman"/>
                <w:sz w:val="24"/>
                <w:szCs w:val="24"/>
              </w:rPr>
              <w:t>环境管理合规要求</w:t>
            </w:r>
          </w:p>
        </w:tc>
        <w:tc>
          <w:tcPr>
            <w:tcW w:w="3938" w:type="dxa"/>
            <w:tcBorders>
              <w:top w:val="single" w:color="auto" w:sz="4" w:space="0"/>
              <w:left w:val="single" w:color="auto" w:sz="4" w:space="0"/>
              <w:bottom w:val="single" w:color="auto" w:sz="4" w:space="0"/>
              <w:right w:val="single" w:color="auto" w:sz="4" w:space="0"/>
            </w:tcBorders>
            <w:shd w:val="clear" w:color="auto" w:fill="auto"/>
            <w:vAlign w:val="center"/>
          </w:tcPr>
          <w:p w14:paraId="3E5EA073">
            <w:pPr>
              <w:widowControl/>
              <w:spacing w:line="320" w:lineRule="exact"/>
              <w:ind w:firstLine="0" w:firstLineChars="0"/>
              <w:jc w:val="left"/>
              <w:textAlignment w:val="center"/>
              <w:rPr>
                <w:rFonts w:cs="Times New Roman"/>
                <w:sz w:val="24"/>
                <w:szCs w:val="24"/>
              </w:rPr>
            </w:pPr>
            <w:r>
              <w:rPr>
                <w:rFonts w:cs="Times New Roman"/>
                <w:kern w:val="0"/>
                <w:sz w:val="24"/>
                <w:szCs w:val="24"/>
                <w:lang w:bidi="ar"/>
              </w:rPr>
              <w:t>项目</w:t>
            </w:r>
            <w:r>
              <w:rPr>
                <w:rFonts w:hint="eastAsia" w:cs="Times New Roman"/>
                <w:kern w:val="0"/>
                <w:sz w:val="24"/>
                <w:szCs w:val="24"/>
                <w:lang w:bidi="ar"/>
              </w:rPr>
              <w:t>主体</w:t>
            </w:r>
            <w:r>
              <w:rPr>
                <w:rFonts w:cs="Times New Roman"/>
                <w:kern w:val="0"/>
                <w:sz w:val="24"/>
                <w:szCs w:val="24"/>
                <w:lang w:bidi="ar"/>
              </w:rPr>
              <w:t>环境管理、披露应符合国家（地方）法律法规、相关标准要求。</w:t>
            </w:r>
          </w:p>
        </w:tc>
        <w:tc>
          <w:tcPr>
            <w:tcW w:w="1040" w:type="pct"/>
            <w:tcBorders>
              <w:top w:val="single" w:color="auto" w:sz="4" w:space="0"/>
              <w:left w:val="single" w:color="auto" w:sz="4" w:space="0"/>
              <w:bottom w:val="single" w:color="auto" w:sz="4" w:space="0"/>
              <w:right w:val="single" w:color="auto" w:sz="4" w:space="0"/>
            </w:tcBorders>
            <w:shd w:val="clear" w:color="auto" w:fill="auto"/>
            <w:vAlign w:val="center"/>
          </w:tcPr>
          <w:p w14:paraId="19CB7C4A">
            <w:pPr>
              <w:widowControl/>
              <w:spacing w:line="320" w:lineRule="exact"/>
              <w:ind w:firstLine="0" w:firstLineChars="0"/>
              <w:textAlignment w:val="center"/>
              <w:rPr>
                <w:rFonts w:cs="Times New Roman"/>
                <w:sz w:val="24"/>
                <w:szCs w:val="24"/>
              </w:rPr>
            </w:pPr>
            <w:r>
              <w:rPr>
                <w:rFonts w:cs="Times New Roman"/>
                <w:kern w:val="0"/>
                <w:sz w:val="24"/>
                <w:szCs w:val="24"/>
                <w:lang w:bidi="ar"/>
              </w:rPr>
              <w:t>网络/信息数据平台检索</w:t>
            </w:r>
          </w:p>
        </w:tc>
        <w:tc>
          <w:tcPr>
            <w:tcW w:w="1543" w:type="pct"/>
            <w:tcBorders>
              <w:top w:val="single" w:color="auto" w:sz="4" w:space="0"/>
              <w:left w:val="single" w:color="auto" w:sz="4" w:space="0"/>
              <w:bottom w:val="single" w:color="auto" w:sz="4" w:space="0"/>
              <w:right w:val="single" w:color="auto" w:sz="4" w:space="0"/>
            </w:tcBorders>
            <w:shd w:val="clear" w:color="auto" w:fill="auto"/>
            <w:vAlign w:val="center"/>
          </w:tcPr>
          <w:p w14:paraId="3E219351">
            <w:pPr>
              <w:widowControl/>
              <w:spacing w:line="320" w:lineRule="exact"/>
              <w:ind w:firstLine="0" w:firstLineChars="0"/>
              <w:jc w:val="left"/>
              <w:textAlignment w:val="center"/>
              <w:rPr>
                <w:rFonts w:cs="Times New Roman"/>
                <w:sz w:val="24"/>
                <w:szCs w:val="24"/>
              </w:rPr>
            </w:pPr>
            <w:r>
              <w:rPr>
                <w:rFonts w:cs="Times New Roman"/>
                <w:kern w:val="0"/>
                <w:sz w:val="24"/>
                <w:szCs w:val="24"/>
                <w:lang w:bidi="ar"/>
              </w:rPr>
              <w:t>项目</w:t>
            </w:r>
            <w:r>
              <w:rPr>
                <w:rFonts w:hint="eastAsia" w:cs="Times New Roman"/>
                <w:kern w:val="0"/>
                <w:sz w:val="24"/>
                <w:szCs w:val="24"/>
                <w:lang w:bidi="ar"/>
              </w:rPr>
              <w:t>主体</w:t>
            </w:r>
            <w:r>
              <w:rPr>
                <w:rFonts w:cs="Times New Roman"/>
                <w:kern w:val="0"/>
                <w:sz w:val="24"/>
                <w:szCs w:val="24"/>
                <w:lang w:bidi="ar"/>
              </w:rPr>
              <w:t>近</w:t>
            </w:r>
            <w:r>
              <w:rPr>
                <w:rFonts w:hint="eastAsia" w:cs="Times New Roman"/>
                <w:kern w:val="0"/>
                <w:sz w:val="24"/>
                <w:szCs w:val="24"/>
                <w:lang w:bidi="ar"/>
              </w:rPr>
              <w:t>3</w:t>
            </w:r>
            <w:r>
              <w:rPr>
                <w:rFonts w:cs="Times New Roman"/>
                <w:kern w:val="0"/>
                <w:sz w:val="24"/>
                <w:szCs w:val="24"/>
                <w:lang w:bidi="ar"/>
              </w:rPr>
              <w:t>年内（未满</w:t>
            </w:r>
            <w:r>
              <w:rPr>
                <w:rFonts w:hint="eastAsia" w:cs="Times New Roman"/>
                <w:kern w:val="0"/>
                <w:sz w:val="24"/>
                <w:szCs w:val="24"/>
                <w:lang w:bidi="ar"/>
              </w:rPr>
              <w:t>3</w:t>
            </w:r>
            <w:r>
              <w:rPr>
                <w:rFonts w:cs="Times New Roman"/>
                <w:kern w:val="0"/>
                <w:sz w:val="24"/>
                <w:szCs w:val="24"/>
                <w:lang w:bidi="ar"/>
              </w:rPr>
              <w:t>年的从成立之日起）未发生重大及以上突发环境事件，相关环保手续齐全</w:t>
            </w:r>
            <w:r>
              <w:rPr>
                <w:rFonts w:hint="eastAsia" w:cs="Times New Roman"/>
                <w:kern w:val="0"/>
                <w:sz w:val="24"/>
                <w:szCs w:val="24"/>
                <w:lang w:bidi="ar"/>
              </w:rPr>
              <w:t>，</w:t>
            </w:r>
            <w:r>
              <w:rPr>
                <w:rFonts w:cs="Times New Roman"/>
                <w:kern w:val="0"/>
                <w:sz w:val="24"/>
                <w:szCs w:val="24"/>
                <w:lang w:bidi="ar"/>
              </w:rPr>
              <w:t>未发生较严重及以上程度的生态环境失信行为，或相关失信行为完成信用修复，为达标。</w:t>
            </w:r>
          </w:p>
        </w:tc>
      </w:tr>
      <w:tr w14:paraId="7C23111A">
        <w:tblPrEx>
          <w:tblCellMar>
            <w:top w:w="0" w:type="dxa"/>
            <w:left w:w="108" w:type="dxa"/>
            <w:bottom w:w="0" w:type="dxa"/>
            <w:right w:w="108" w:type="dxa"/>
          </w:tblCellMar>
        </w:tblPrEx>
        <w:trPr>
          <w:trHeight w:val="1020" w:hRule="atLeast"/>
        </w:trPr>
        <w:tc>
          <w:tcPr>
            <w:tcW w:w="452" w:type="pct"/>
            <w:vMerge w:val="continue"/>
            <w:tcBorders>
              <w:top w:val="single" w:color="auto" w:sz="4" w:space="0"/>
              <w:left w:val="single" w:color="auto" w:sz="4" w:space="0"/>
              <w:bottom w:val="single" w:color="auto" w:sz="4" w:space="0"/>
              <w:right w:val="single" w:color="auto" w:sz="4" w:space="0"/>
            </w:tcBorders>
          </w:tcPr>
          <w:p w14:paraId="138F3EAC">
            <w:pPr>
              <w:spacing w:line="320" w:lineRule="exact"/>
              <w:ind w:firstLine="0" w:firstLineChars="0"/>
              <w:jc w:val="center"/>
              <w:rPr>
                <w:rFonts w:cs="Times New Roman"/>
                <w:sz w:val="24"/>
                <w:szCs w:val="24"/>
              </w:rPr>
            </w:pPr>
          </w:p>
        </w:tc>
        <w:tc>
          <w:tcPr>
            <w:tcW w:w="1626" w:type="dxa"/>
            <w:tcBorders>
              <w:top w:val="single" w:color="auto" w:sz="4" w:space="0"/>
              <w:left w:val="single" w:color="auto" w:sz="4" w:space="0"/>
              <w:bottom w:val="single" w:color="auto" w:sz="4" w:space="0"/>
              <w:right w:val="single" w:color="auto" w:sz="4" w:space="0"/>
            </w:tcBorders>
            <w:shd w:val="clear" w:color="auto" w:fill="auto"/>
            <w:vAlign w:val="center"/>
          </w:tcPr>
          <w:p w14:paraId="7742F6B6">
            <w:pPr>
              <w:spacing w:line="320" w:lineRule="exact"/>
              <w:ind w:firstLine="0" w:firstLineChars="0"/>
              <w:jc w:val="center"/>
              <w:rPr>
                <w:rFonts w:cs="Times New Roman"/>
                <w:sz w:val="24"/>
                <w:szCs w:val="24"/>
              </w:rPr>
            </w:pPr>
            <w:r>
              <w:rPr>
                <w:rFonts w:cs="Times New Roman"/>
                <w:sz w:val="24"/>
                <w:szCs w:val="24"/>
              </w:rPr>
              <w:t>安全</w:t>
            </w:r>
            <w:r>
              <w:rPr>
                <w:rFonts w:hint="eastAsia" w:cs="Times New Roman"/>
                <w:sz w:val="24"/>
                <w:szCs w:val="24"/>
              </w:rPr>
              <w:t>、质量</w:t>
            </w:r>
            <w:r>
              <w:rPr>
                <w:rFonts w:cs="Times New Roman"/>
                <w:sz w:val="24"/>
                <w:szCs w:val="24"/>
              </w:rPr>
              <w:t>管理合规要求</w:t>
            </w:r>
          </w:p>
        </w:tc>
        <w:tc>
          <w:tcPr>
            <w:tcW w:w="3938" w:type="dxa"/>
            <w:tcBorders>
              <w:top w:val="single" w:color="auto" w:sz="4" w:space="0"/>
              <w:left w:val="single" w:color="auto" w:sz="4" w:space="0"/>
              <w:bottom w:val="single" w:color="auto" w:sz="4" w:space="0"/>
              <w:right w:val="single" w:color="auto" w:sz="4" w:space="0"/>
            </w:tcBorders>
            <w:shd w:val="clear" w:color="auto" w:fill="auto"/>
            <w:vAlign w:val="center"/>
          </w:tcPr>
          <w:p w14:paraId="6DF51125">
            <w:pPr>
              <w:widowControl/>
              <w:spacing w:line="320" w:lineRule="exact"/>
              <w:ind w:firstLine="0" w:firstLineChars="0"/>
              <w:jc w:val="left"/>
              <w:textAlignment w:val="center"/>
              <w:rPr>
                <w:rFonts w:cs="Times New Roman"/>
                <w:sz w:val="24"/>
                <w:szCs w:val="24"/>
              </w:rPr>
            </w:pPr>
            <w:r>
              <w:rPr>
                <w:rFonts w:cs="Times New Roman"/>
                <w:kern w:val="0"/>
                <w:sz w:val="24"/>
                <w:szCs w:val="24"/>
                <w:lang w:bidi="ar"/>
              </w:rPr>
              <w:t>项目</w:t>
            </w:r>
            <w:r>
              <w:rPr>
                <w:rFonts w:hint="eastAsia" w:cs="Times New Roman"/>
                <w:kern w:val="0"/>
                <w:sz w:val="24"/>
                <w:szCs w:val="24"/>
                <w:lang w:bidi="ar"/>
              </w:rPr>
              <w:t>主体</w:t>
            </w:r>
            <w:r>
              <w:rPr>
                <w:rFonts w:cs="Times New Roman"/>
                <w:kern w:val="0"/>
                <w:sz w:val="24"/>
                <w:szCs w:val="24"/>
                <w:lang w:bidi="ar"/>
              </w:rPr>
              <w:t>安全</w:t>
            </w:r>
            <w:r>
              <w:rPr>
                <w:rFonts w:hint="eastAsia" w:cs="Times New Roman"/>
                <w:kern w:val="0"/>
                <w:sz w:val="24"/>
                <w:szCs w:val="24"/>
                <w:lang w:bidi="ar"/>
              </w:rPr>
              <w:t>和质量</w:t>
            </w:r>
            <w:r>
              <w:rPr>
                <w:rFonts w:cs="Times New Roman"/>
                <w:kern w:val="0"/>
                <w:sz w:val="24"/>
                <w:szCs w:val="24"/>
                <w:lang w:bidi="ar"/>
              </w:rPr>
              <w:t>管理、披露应符合国家（地方）法律法规、相关标准要求。</w:t>
            </w:r>
          </w:p>
        </w:tc>
        <w:tc>
          <w:tcPr>
            <w:tcW w:w="1040" w:type="pct"/>
            <w:tcBorders>
              <w:top w:val="single" w:color="auto" w:sz="4" w:space="0"/>
              <w:left w:val="single" w:color="auto" w:sz="4" w:space="0"/>
              <w:bottom w:val="single" w:color="auto" w:sz="4" w:space="0"/>
              <w:right w:val="single" w:color="auto" w:sz="4" w:space="0"/>
            </w:tcBorders>
            <w:shd w:val="clear" w:color="auto" w:fill="auto"/>
            <w:vAlign w:val="center"/>
          </w:tcPr>
          <w:p w14:paraId="64E3E225">
            <w:pPr>
              <w:widowControl/>
              <w:spacing w:line="320" w:lineRule="exact"/>
              <w:ind w:firstLine="0" w:firstLineChars="0"/>
              <w:textAlignment w:val="center"/>
              <w:rPr>
                <w:rFonts w:cs="Times New Roman"/>
                <w:sz w:val="24"/>
                <w:szCs w:val="24"/>
              </w:rPr>
            </w:pPr>
            <w:r>
              <w:rPr>
                <w:rFonts w:cs="Times New Roman"/>
                <w:kern w:val="0"/>
                <w:sz w:val="24"/>
                <w:szCs w:val="24"/>
                <w:lang w:bidi="ar"/>
              </w:rPr>
              <w:t>网络/信息数据平台检索</w:t>
            </w:r>
          </w:p>
        </w:tc>
        <w:tc>
          <w:tcPr>
            <w:tcW w:w="1543" w:type="pct"/>
            <w:tcBorders>
              <w:top w:val="single" w:color="auto" w:sz="4" w:space="0"/>
              <w:left w:val="single" w:color="auto" w:sz="4" w:space="0"/>
              <w:bottom w:val="single" w:color="auto" w:sz="4" w:space="0"/>
              <w:right w:val="single" w:color="auto" w:sz="4" w:space="0"/>
            </w:tcBorders>
            <w:shd w:val="clear" w:color="auto" w:fill="auto"/>
            <w:vAlign w:val="center"/>
          </w:tcPr>
          <w:p w14:paraId="4FE83887">
            <w:pPr>
              <w:widowControl/>
              <w:spacing w:line="320" w:lineRule="exact"/>
              <w:ind w:firstLine="0" w:firstLineChars="0"/>
              <w:jc w:val="left"/>
              <w:textAlignment w:val="center"/>
              <w:rPr>
                <w:rFonts w:cs="Times New Roman"/>
                <w:sz w:val="24"/>
                <w:szCs w:val="24"/>
              </w:rPr>
            </w:pPr>
            <w:r>
              <w:rPr>
                <w:rFonts w:cs="Times New Roman"/>
                <w:kern w:val="0"/>
                <w:sz w:val="24"/>
                <w:szCs w:val="24"/>
                <w:lang w:bidi="ar"/>
              </w:rPr>
              <w:t>项目</w:t>
            </w:r>
            <w:r>
              <w:rPr>
                <w:rFonts w:hint="eastAsia" w:cs="Times New Roman"/>
                <w:kern w:val="0"/>
                <w:sz w:val="24"/>
                <w:szCs w:val="24"/>
                <w:lang w:bidi="ar"/>
              </w:rPr>
              <w:t>主体</w:t>
            </w:r>
            <w:r>
              <w:rPr>
                <w:rFonts w:cs="Times New Roman"/>
                <w:kern w:val="0"/>
                <w:sz w:val="24"/>
                <w:szCs w:val="24"/>
                <w:lang w:bidi="ar"/>
              </w:rPr>
              <w:t>近三年内未发生重大及以上生产安全和质量事故，为达标。</w:t>
            </w:r>
          </w:p>
        </w:tc>
      </w:tr>
    </w:tbl>
    <w:p w14:paraId="0DA2AFAB">
      <w:pPr>
        <w:spacing w:line="240" w:lineRule="auto"/>
        <w:ind w:firstLine="0" w:firstLineChars="0"/>
        <w:rPr>
          <w:rFonts w:cs="Times New Roman"/>
          <w:kern w:val="44"/>
          <w:sz w:val="24"/>
          <w:szCs w:val="24"/>
        </w:rPr>
        <w:sectPr>
          <w:pgSz w:w="16838" w:h="11906" w:orient="landscape"/>
          <w:pgMar w:top="1803" w:right="1440" w:bottom="1803" w:left="1440" w:header="851" w:footer="992" w:gutter="0"/>
          <w:pgNumType w:fmt="numberInDash"/>
          <w:cols w:space="0" w:num="1"/>
          <w:docGrid w:type="lines" w:linePitch="436" w:charSpace="0"/>
        </w:sectPr>
      </w:pPr>
      <w:r>
        <w:rPr>
          <w:rFonts w:cs="Times New Roman"/>
          <w:kern w:val="44"/>
          <w:sz w:val="24"/>
          <w:szCs w:val="24"/>
        </w:rPr>
        <w:t>注：</w:t>
      </w:r>
      <w:r>
        <w:rPr>
          <w:rFonts w:hint="eastAsia" w:cs="Times New Roman"/>
          <w:kern w:val="44"/>
          <w:sz w:val="24"/>
          <w:szCs w:val="24"/>
        </w:rPr>
        <w:t>标</w:t>
      </w:r>
      <w:r>
        <w:rPr>
          <w:rFonts w:cs="Times New Roman"/>
          <w:kern w:val="44"/>
          <w:sz w:val="24"/>
          <w:szCs w:val="24"/>
        </w:rPr>
        <w:t>（</w:t>
      </w:r>
      <w:r>
        <w:rPr>
          <w:rFonts w:hint="eastAsia" w:cs="Times New Roman"/>
          <w:kern w:val="44"/>
          <w:sz w:val="24"/>
          <w:szCs w:val="24"/>
        </w:rPr>
        <w:t>*</w:t>
      </w:r>
      <w:r>
        <w:rPr>
          <w:rFonts w:cs="Times New Roman"/>
          <w:kern w:val="44"/>
          <w:sz w:val="24"/>
          <w:szCs w:val="24"/>
        </w:rPr>
        <w:t>）</w:t>
      </w:r>
      <w:r>
        <w:rPr>
          <w:rFonts w:hint="eastAsia" w:cs="Times New Roman"/>
          <w:kern w:val="44"/>
          <w:sz w:val="24"/>
          <w:szCs w:val="24"/>
        </w:rPr>
        <w:t>的为必须提交材料。</w:t>
      </w:r>
    </w:p>
    <w:p w14:paraId="67EF978F">
      <w:pPr>
        <w:ind w:firstLine="643"/>
        <w:rPr>
          <w:rFonts w:hint="eastAsia" w:ascii="仿宋_GB2312" w:hAnsi="仿宋_GB2312" w:eastAsia="仿宋_GB2312" w:cs="仿宋_GB2312"/>
          <w:b/>
          <w:bCs/>
        </w:rPr>
      </w:pPr>
      <w:r>
        <w:rPr>
          <w:rFonts w:hint="eastAsia" w:ascii="仿宋_GB2312" w:hAnsi="仿宋_GB2312" w:eastAsia="仿宋_GB2312" w:cs="仿宋_GB2312"/>
          <w:b/>
          <w:bCs/>
        </w:rPr>
        <w:t>附件2-2 评分指标——减缓类项目</w:t>
      </w:r>
    </w:p>
    <w:tbl>
      <w:tblPr>
        <w:tblStyle w:val="15"/>
        <w:tblW w:w="4996" w:type="pct"/>
        <w:tblInd w:w="0" w:type="dxa"/>
        <w:tblLayout w:type="autofit"/>
        <w:tblCellMar>
          <w:top w:w="0" w:type="dxa"/>
          <w:left w:w="108" w:type="dxa"/>
          <w:bottom w:w="0" w:type="dxa"/>
          <w:right w:w="108" w:type="dxa"/>
        </w:tblCellMar>
      </w:tblPr>
      <w:tblGrid>
        <w:gridCol w:w="1243"/>
        <w:gridCol w:w="1060"/>
        <w:gridCol w:w="1485"/>
        <w:gridCol w:w="2530"/>
        <w:gridCol w:w="2374"/>
        <w:gridCol w:w="5471"/>
      </w:tblGrid>
      <w:tr w14:paraId="2F9769B3">
        <w:tblPrEx>
          <w:tblCellMar>
            <w:top w:w="0" w:type="dxa"/>
            <w:left w:w="108" w:type="dxa"/>
            <w:bottom w:w="0" w:type="dxa"/>
            <w:right w:w="108" w:type="dxa"/>
          </w:tblCellMar>
        </w:tblPrEx>
        <w:trPr>
          <w:trHeight w:val="300" w:hRule="atLeast"/>
        </w:trPr>
        <w:tc>
          <w:tcPr>
            <w:tcW w:w="2230"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F40D721">
            <w:pPr>
              <w:widowControl/>
              <w:spacing w:line="320" w:lineRule="exact"/>
              <w:ind w:firstLine="0" w:firstLineChars="0"/>
              <w:jc w:val="center"/>
              <w:textAlignment w:val="center"/>
              <w:rPr>
                <w:rFonts w:cs="Times New Roman"/>
                <w:b/>
                <w:bCs/>
                <w:sz w:val="24"/>
                <w:szCs w:val="24"/>
              </w:rPr>
            </w:pPr>
            <w:r>
              <w:rPr>
                <w:rFonts w:cs="Times New Roman"/>
                <w:b/>
                <w:bCs/>
                <w:kern w:val="0"/>
                <w:sz w:val="24"/>
                <w:szCs w:val="24"/>
                <w:lang w:bidi="ar"/>
              </w:rPr>
              <w:t>评分体系</w:t>
            </w:r>
          </w:p>
        </w:tc>
        <w:tc>
          <w:tcPr>
            <w:tcW w:w="83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D53B85">
            <w:pPr>
              <w:widowControl/>
              <w:spacing w:line="320" w:lineRule="exact"/>
              <w:ind w:firstLine="0" w:firstLineChars="0"/>
              <w:jc w:val="center"/>
              <w:textAlignment w:val="center"/>
              <w:rPr>
                <w:rFonts w:cs="Times New Roman"/>
                <w:b/>
                <w:bCs/>
                <w:sz w:val="24"/>
                <w:szCs w:val="24"/>
              </w:rPr>
            </w:pPr>
            <w:r>
              <w:rPr>
                <w:rFonts w:cs="Times New Roman"/>
                <w:b/>
                <w:bCs/>
                <w:kern w:val="0"/>
                <w:sz w:val="24"/>
                <w:szCs w:val="24"/>
                <w:lang w:bidi="ar"/>
              </w:rPr>
              <w:t>评价参考资料</w:t>
            </w:r>
          </w:p>
        </w:tc>
        <w:tc>
          <w:tcPr>
            <w:tcW w:w="193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AFB4D4">
            <w:pPr>
              <w:widowControl/>
              <w:spacing w:line="320" w:lineRule="exact"/>
              <w:ind w:firstLine="0" w:firstLineChars="0"/>
              <w:jc w:val="center"/>
              <w:textAlignment w:val="center"/>
              <w:rPr>
                <w:rFonts w:cs="Times New Roman"/>
                <w:b/>
                <w:bCs/>
                <w:sz w:val="24"/>
                <w:szCs w:val="24"/>
              </w:rPr>
            </w:pPr>
            <w:r>
              <w:rPr>
                <w:rFonts w:cs="Times New Roman"/>
                <w:b/>
                <w:bCs/>
                <w:kern w:val="0"/>
                <w:sz w:val="24"/>
                <w:szCs w:val="24"/>
                <w:lang w:bidi="ar"/>
              </w:rPr>
              <w:t>评价标准</w:t>
            </w:r>
          </w:p>
        </w:tc>
      </w:tr>
      <w:tr w14:paraId="4B846A3B">
        <w:tblPrEx>
          <w:tblCellMar>
            <w:top w:w="0" w:type="dxa"/>
            <w:left w:w="108" w:type="dxa"/>
            <w:bottom w:w="0" w:type="dxa"/>
            <w:right w:w="108" w:type="dxa"/>
          </w:tblCellMar>
        </w:tblPrEx>
        <w:trPr>
          <w:trHeight w:val="300" w:hRule="atLeast"/>
        </w:trPr>
        <w:tc>
          <w:tcPr>
            <w:tcW w:w="439" w:type="pct"/>
            <w:tcBorders>
              <w:top w:val="nil"/>
              <w:left w:val="single" w:color="000000" w:sz="4" w:space="0"/>
              <w:bottom w:val="single" w:color="000000" w:sz="4" w:space="0"/>
              <w:right w:val="single" w:color="000000" w:sz="4" w:space="0"/>
            </w:tcBorders>
            <w:shd w:val="clear" w:color="auto" w:fill="auto"/>
            <w:vAlign w:val="center"/>
          </w:tcPr>
          <w:p w14:paraId="31C7B6F3">
            <w:pPr>
              <w:widowControl/>
              <w:spacing w:line="320" w:lineRule="exact"/>
              <w:ind w:firstLine="0" w:firstLineChars="0"/>
              <w:jc w:val="center"/>
              <w:textAlignment w:val="center"/>
              <w:rPr>
                <w:rFonts w:cs="Times New Roman"/>
                <w:b/>
                <w:bCs/>
                <w:sz w:val="24"/>
                <w:szCs w:val="24"/>
              </w:rPr>
            </w:pPr>
            <w:r>
              <w:rPr>
                <w:rFonts w:cs="Times New Roman"/>
                <w:b/>
                <w:bCs/>
                <w:kern w:val="0"/>
                <w:sz w:val="24"/>
                <w:szCs w:val="24"/>
                <w:lang w:bidi="ar"/>
              </w:rPr>
              <w:t>一级指标</w:t>
            </w:r>
          </w:p>
        </w:tc>
        <w:tc>
          <w:tcPr>
            <w:tcW w:w="374" w:type="pct"/>
            <w:tcBorders>
              <w:top w:val="nil"/>
              <w:left w:val="single" w:color="000000" w:sz="4" w:space="0"/>
              <w:bottom w:val="single" w:color="000000" w:sz="4" w:space="0"/>
              <w:right w:val="single" w:color="000000" w:sz="4" w:space="0"/>
            </w:tcBorders>
            <w:shd w:val="clear" w:color="auto" w:fill="auto"/>
            <w:vAlign w:val="center"/>
          </w:tcPr>
          <w:p w14:paraId="0F177D04">
            <w:pPr>
              <w:widowControl/>
              <w:spacing w:line="320" w:lineRule="exact"/>
              <w:ind w:firstLine="0" w:firstLineChars="0"/>
              <w:jc w:val="center"/>
              <w:textAlignment w:val="center"/>
              <w:rPr>
                <w:rFonts w:cs="Times New Roman"/>
                <w:b/>
                <w:bCs/>
                <w:kern w:val="0"/>
                <w:sz w:val="24"/>
                <w:szCs w:val="24"/>
                <w:lang w:bidi="ar"/>
              </w:rPr>
            </w:pPr>
            <w:r>
              <w:rPr>
                <w:rFonts w:cs="Times New Roman"/>
                <w:b/>
                <w:bCs/>
                <w:kern w:val="0"/>
                <w:sz w:val="24"/>
                <w:szCs w:val="24"/>
                <w:lang w:bidi="ar"/>
              </w:rPr>
              <w:t>项目</w:t>
            </w:r>
          </w:p>
          <w:p w14:paraId="7F18AD6C">
            <w:pPr>
              <w:widowControl/>
              <w:spacing w:line="320" w:lineRule="exact"/>
              <w:ind w:firstLine="0" w:firstLineChars="0"/>
              <w:jc w:val="center"/>
              <w:textAlignment w:val="center"/>
              <w:rPr>
                <w:rFonts w:cs="Times New Roman"/>
                <w:b/>
                <w:bCs/>
                <w:sz w:val="24"/>
                <w:szCs w:val="24"/>
              </w:rPr>
            </w:pPr>
            <w:r>
              <w:rPr>
                <w:rFonts w:cs="Times New Roman"/>
                <w:b/>
                <w:bCs/>
                <w:kern w:val="0"/>
                <w:sz w:val="24"/>
                <w:szCs w:val="24"/>
                <w:lang w:bidi="ar"/>
              </w:rPr>
              <w:t>类型</w:t>
            </w:r>
          </w:p>
        </w:tc>
        <w:tc>
          <w:tcPr>
            <w:tcW w:w="524" w:type="pct"/>
            <w:tcBorders>
              <w:top w:val="nil"/>
              <w:left w:val="single" w:color="000000" w:sz="4" w:space="0"/>
              <w:bottom w:val="single" w:color="000000" w:sz="4" w:space="0"/>
              <w:right w:val="single" w:color="000000" w:sz="4" w:space="0"/>
            </w:tcBorders>
            <w:shd w:val="clear" w:color="auto" w:fill="auto"/>
            <w:vAlign w:val="center"/>
          </w:tcPr>
          <w:p w14:paraId="7BEDB3F5">
            <w:pPr>
              <w:widowControl/>
              <w:spacing w:line="320" w:lineRule="exact"/>
              <w:ind w:firstLine="0" w:firstLineChars="0"/>
              <w:jc w:val="center"/>
              <w:textAlignment w:val="center"/>
              <w:rPr>
                <w:rFonts w:cs="Times New Roman"/>
                <w:b/>
                <w:bCs/>
                <w:sz w:val="24"/>
                <w:szCs w:val="24"/>
              </w:rPr>
            </w:pPr>
            <w:r>
              <w:rPr>
                <w:rFonts w:cs="Times New Roman"/>
                <w:b/>
                <w:bCs/>
                <w:kern w:val="0"/>
                <w:sz w:val="24"/>
                <w:szCs w:val="24"/>
                <w:lang w:bidi="ar"/>
              </w:rPr>
              <w:t>二级指标</w:t>
            </w:r>
          </w:p>
        </w:tc>
        <w:tc>
          <w:tcPr>
            <w:tcW w:w="891" w:type="pct"/>
            <w:tcBorders>
              <w:top w:val="nil"/>
              <w:left w:val="single" w:color="000000" w:sz="4" w:space="0"/>
              <w:bottom w:val="single" w:color="000000" w:sz="4" w:space="0"/>
              <w:right w:val="single" w:color="000000" w:sz="4" w:space="0"/>
            </w:tcBorders>
            <w:shd w:val="clear" w:color="auto" w:fill="auto"/>
            <w:vAlign w:val="center"/>
          </w:tcPr>
          <w:p w14:paraId="7A34B860">
            <w:pPr>
              <w:widowControl/>
              <w:spacing w:line="320" w:lineRule="exact"/>
              <w:ind w:firstLine="0" w:firstLineChars="0"/>
              <w:jc w:val="center"/>
              <w:textAlignment w:val="center"/>
              <w:rPr>
                <w:rFonts w:cs="Times New Roman"/>
                <w:b/>
                <w:bCs/>
                <w:sz w:val="24"/>
                <w:szCs w:val="24"/>
              </w:rPr>
            </w:pPr>
            <w:r>
              <w:rPr>
                <w:rFonts w:cs="Times New Roman"/>
                <w:b/>
                <w:bCs/>
                <w:kern w:val="0"/>
                <w:sz w:val="24"/>
                <w:szCs w:val="24"/>
                <w:lang w:bidi="ar"/>
              </w:rPr>
              <w:t>二级指标说明</w:t>
            </w:r>
          </w:p>
        </w:tc>
        <w:tc>
          <w:tcPr>
            <w:tcW w:w="8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5D991B">
            <w:pPr>
              <w:spacing w:line="320" w:lineRule="exact"/>
              <w:ind w:firstLine="0" w:firstLineChars="0"/>
              <w:jc w:val="center"/>
              <w:rPr>
                <w:rFonts w:cs="Times New Roman"/>
                <w:b/>
                <w:bCs/>
                <w:sz w:val="24"/>
                <w:szCs w:val="24"/>
              </w:rPr>
            </w:pPr>
          </w:p>
        </w:tc>
        <w:tc>
          <w:tcPr>
            <w:tcW w:w="19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8ACC6B">
            <w:pPr>
              <w:spacing w:line="320" w:lineRule="exact"/>
              <w:ind w:firstLine="0" w:firstLineChars="0"/>
              <w:jc w:val="center"/>
              <w:rPr>
                <w:rFonts w:cs="Times New Roman"/>
                <w:b/>
                <w:bCs/>
                <w:sz w:val="24"/>
                <w:szCs w:val="24"/>
              </w:rPr>
            </w:pPr>
          </w:p>
        </w:tc>
      </w:tr>
      <w:tr w14:paraId="45BF92FF">
        <w:tblPrEx>
          <w:tblCellMar>
            <w:top w:w="0" w:type="dxa"/>
            <w:left w:w="108" w:type="dxa"/>
            <w:bottom w:w="0" w:type="dxa"/>
            <w:right w:w="108" w:type="dxa"/>
          </w:tblCellMar>
        </w:tblPrEx>
        <w:trPr>
          <w:trHeight w:val="1410" w:hRule="atLeast"/>
        </w:trPr>
        <w:tc>
          <w:tcPr>
            <w:tcW w:w="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981FFA">
            <w:pPr>
              <w:widowControl/>
              <w:spacing w:line="320" w:lineRule="exact"/>
              <w:ind w:firstLine="0" w:firstLineChars="0"/>
              <w:jc w:val="center"/>
              <w:textAlignment w:val="center"/>
              <w:rPr>
                <w:rFonts w:cs="Times New Roman"/>
                <w:sz w:val="24"/>
                <w:szCs w:val="24"/>
              </w:rPr>
            </w:pPr>
            <w:r>
              <w:rPr>
                <w:rFonts w:cs="Times New Roman"/>
                <w:kern w:val="0"/>
                <w:sz w:val="24"/>
                <w:szCs w:val="24"/>
                <w:lang w:bidi="ar"/>
              </w:rPr>
              <w:t>约束指标</w:t>
            </w:r>
            <w:r>
              <w:rPr>
                <w:rFonts w:hint="eastAsia" w:cs="Times New Roman"/>
                <w:kern w:val="0"/>
                <w:sz w:val="24"/>
                <w:szCs w:val="24"/>
                <w:lang w:bidi="ar"/>
              </w:rPr>
              <w:t>（40分）</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89DDAF">
            <w:pPr>
              <w:widowControl/>
              <w:spacing w:line="320" w:lineRule="exact"/>
              <w:ind w:firstLine="0" w:firstLineChars="0"/>
              <w:jc w:val="center"/>
              <w:textAlignment w:val="center"/>
              <w:rPr>
                <w:rFonts w:cs="Times New Roman"/>
                <w:sz w:val="24"/>
                <w:szCs w:val="24"/>
              </w:rPr>
            </w:pPr>
            <w:r>
              <w:rPr>
                <w:rFonts w:cs="Times New Roman"/>
                <w:kern w:val="0"/>
                <w:sz w:val="24"/>
                <w:szCs w:val="24"/>
                <w:lang w:bidi="ar"/>
              </w:rPr>
              <w:t>Ⅰ/Ⅱ类项目</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11B93">
            <w:pPr>
              <w:widowControl/>
              <w:spacing w:line="320" w:lineRule="exact"/>
              <w:ind w:firstLine="0" w:firstLineChars="0"/>
              <w:jc w:val="center"/>
              <w:textAlignment w:val="center"/>
              <w:rPr>
                <w:rFonts w:cs="Times New Roman"/>
                <w:kern w:val="0"/>
                <w:sz w:val="24"/>
                <w:szCs w:val="24"/>
                <w:lang w:bidi="ar"/>
              </w:rPr>
            </w:pPr>
            <w:r>
              <w:rPr>
                <w:rFonts w:cs="Times New Roman"/>
                <w:kern w:val="0"/>
                <w:sz w:val="24"/>
                <w:szCs w:val="24"/>
                <w:lang w:bidi="ar"/>
              </w:rPr>
              <w:t>约束指标</w:t>
            </w:r>
          </w:p>
          <w:p w14:paraId="1A893A7B">
            <w:pPr>
              <w:widowControl/>
              <w:spacing w:line="320" w:lineRule="exact"/>
              <w:ind w:firstLine="0" w:firstLineChars="0"/>
              <w:jc w:val="center"/>
              <w:textAlignment w:val="center"/>
              <w:rPr>
                <w:rFonts w:cs="Times New Roman"/>
                <w:kern w:val="0"/>
                <w:sz w:val="24"/>
                <w:szCs w:val="24"/>
                <w:lang w:bidi="ar"/>
              </w:rPr>
            </w:pPr>
            <w:r>
              <w:rPr>
                <w:rFonts w:cs="Times New Roman"/>
                <w:kern w:val="0"/>
                <w:sz w:val="24"/>
                <w:szCs w:val="24"/>
                <w:lang w:bidi="ar"/>
              </w:rPr>
              <w:t>符合性</w:t>
            </w:r>
          </w:p>
          <w:p w14:paraId="55167DCB">
            <w:pPr>
              <w:widowControl/>
              <w:spacing w:line="320" w:lineRule="exact"/>
              <w:ind w:firstLine="0" w:firstLineChars="0"/>
              <w:jc w:val="center"/>
              <w:textAlignment w:val="center"/>
              <w:rPr>
                <w:rFonts w:cs="Times New Roman"/>
                <w:sz w:val="24"/>
                <w:szCs w:val="24"/>
              </w:rPr>
            </w:pPr>
            <w:r>
              <w:rPr>
                <w:rFonts w:hint="eastAsia" w:cs="Times New Roman"/>
                <w:kern w:val="0"/>
                <w:sz w:val="24"/>
                <w:szCs w:val="24"/>
                <w:lang w:bidi="ar"/>
              </w:rPr>
              <w:t>（40分）</w:t>
            </w:r>
          </w:p>
        </w:tc>
        <w:tc>
          <w:tcPr>
            <w:tcW w:w="891" w:type="pct"/>
            <w:tcBorders>
              <w:top w:val="nil"/>
              <w:left w:val="single" w:color="000000" w:sz="4" w:space="0"/>
              <w:bottom w:val="single" w:color="000000" w:sz="4" w:space="0"/>
              <w:right w:val="single" w:color="000000" w:sz="4" w:space="0"/>
            </w:tcBorders>
            <w:shd w:val="clear" w:color="auto" w:fill="auto"/>
            <w:vAlign w:val="center"/>
          </w:tcPr>
          <w:p w14:paraId="54ED62ED">
            <w:pPr>
              <w:widowControl/>
              <w:spacing w:line="320" w:lineRule="exact"/>
              <w:ind w:firstLine="0" w:firstLineChars="0"/>
              <w:textAlignment w:val="center"/>
              <w:rPr>
                <w:rFonts w:cs="Times New Roman"/>
                <w:sz w:val="24"/>
                <w:szCs w:val="24"/>
              </w:rPr>
            </w:pPr>
            <w:r>
              <w:rPr>
                <w:rFonts w:cs="Times New Roman"/>
                <w:kern w:val="0"/>
                <w:sz w:val="24"/>
                <w:szCs w:val="24"/>
                <w:lang w:bidi="ar"/>
              </w:rPr>
              <w:t>项目应通过所有约束指标评价。</w:t>
            </w:r>
          </w:p>
        </w:tc>
        <w:tc>
          <w:tcPr>
            <w:tcW w:w="838" w:type="pct"/>
            <w:tcBorders>
              <w:top w:val="nil"/>
              <w:left w:val="single" w:color="000000" w:sz="4" w:space="0"/>
              <w:bottom w:val="single" w:color="000000" w:sz="4" w:space="0"/>
              <w:right w:val="single" w:color="000000" w:sz="4" w:space="0"/>
            </w:tcBorders>
            <w:shd w:val="clear" w:color="auto" w:fill="auto"/>
            <w:vAlign w:val="center"/>
          </w:tcPr>
          <w:p w14:paraId="13C4ECF0">
            <w:pPr>
              <w:widowControl/>
              <w:spacing w:line="320" w:lineRule="exact"/>
              <w:ind w:firstLine="0" w:firstLineChars="0"/>
              <w:textAlignment w:val="center"/>
              <w:rPr>
                <w:rFonts w:cs="Times New Roman"/>
                <w:sz w:val="24"/>
                <w:szCs w:val="24"/>
              </w:rPr>
            </w:pPr>
            <w:r>
              <w:rPr>
                <w:rFonts w:cs="Times New Roman"/>
                <w:kern w:val="0"/>
                <w:sz w:val="24"/>
                <w:szCs w:val="24"/>
                <w:lang w:bidi="ar"/>
              </w:rPr>
              <w:t>见附件1-1 约束指标评价参考资料</w:t>
            </w:r>
          </w:p>
        </w:tc>
        <w:tc>
          <w:tcPr>
            <w:tcW w:w="1931" w:type="pct"/>
            <w:tcBorders>
              <w:top w:val="nil"/>
              <w:left w:val="single" w:color="000000" w:sz="4" w:space="0"/>
              <w:bottom w:val="single" w:color="000000" w:sz="4" w:space="0"/>
              <w:right w:val="single" w:color="000000" w:sz="4" w:space="0"/>
            </w:tcBorders>
            <w:shd w:val="clear" w:color="auto" w:fill="auto"/>
            <w:vAlign w:val="center"/>
          </w:tcPr>
          <w:p w14:paraId="37BE4E62">
            <w:pPr>
              <w:widowControl/>
              <w:numPr>
                <w:ilvl w:val="0"/>
                <w:numId w:val="8"/>
              </w:numPr>
              <w:spacing w:line="320" w:lineRule="exact"/>
              <w:ind w:firstLine="0" w:firstLineChars="0"/>
              <w:jc w:val="left"/>
              <w:textAlignment w:val="center"/>
              <w:rPr>
                <w:rFonts w:cs="Times New Roman"/>
                <w:sz w:val="24"/>
                <w:szCs w:val="24"/>
              </w:rPr>
            </w:pPr>
            <w:r>
              <w:rPr>
                <w:rFonts w:cs="Times New Roman"/>
                <w:kern w:val="0"/>
                <w:sz w:val="24"/>
                <w:szCs w:val="24"/>
                <w:lang w:bidi="ar"/>
              </w:rPr>
              <w:t>项目通过所有约束指标评价，得40分；</w:t>
            </w:r>
          </w:p>
          <w:p w14:paraId="1489735F">
            <w:pPr>
              <w:widowControl/>
              <w:numPr>
                <w:ilvl w:val="0"/>
                <w:numId w:val="8"/>
              </w:numPr>
              <w:spacing w:line="320" w:lineRule="exact"/>
              <w:ind w:firstLine="0" w:firstLineChars="0"/>
              <w:jc w:val="left"/>
              <w:textAlignment w:val="center"/>
              <w:rPr>
                <w:rFonts w:cs="Times New Roman"/>
                <w:sz w:val="24"/>
                <w:szCs w:val="24"/>
              </w:rPr>
            </w:pPr>
            <w:r>
              <w:rPr>
                <w:rFonts w:cs="Times New Roman"/>
                <w:kern w:val="0"/>
                <w:sz w:val="24"/>
                <w:szCs w:val="24"/>
                <w:lang w:bidi="ar"/>
              </w:rPr>
              <w:t>项目任一约束指标不符合，不得入库。</w:t>
            </w:r>
          </w:p>
        </w:tc>
      </w:tr>
      <w:tr w14:paraId="52C74B82">
        <w:tblPrEx>
          <w:tblCellMar>
            <w:top w:w="0" w:type="dxa"/>
            <w:left w:w="108" w:type="dxa"/>
            <w:bottom w:w="0" w:type="dxa"/>
            <w:right w:w="108" w:type="dxa"/>
          </w:tblCellMar>
        </w:tblPrEx>
        <w:trPr>
          <w:trHeight w:val="2144" w:hRule="atLeast"/>
        </w:trPr>
        <w:tc>
          <w:tcPr>
            <w:tcW w:w="43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02A4BE">
            <w:pPr>
              <w:widowControl/>
              <w:spacing w:line="320" w:lineRule="exact"/>
              <w:ind w:firstLine="0" w:firstLineChars="0"/>
              <w:jc w:val="center"/>
              <w:textAlignment w:val="center"/>
              <w:rPr>
                <w:rFonts w:cs="Times New Roman"/>
                <w:sz w:val="24"/>
                <w:szCs w:val="24"/>
              </w:rPr>
            </w:pPr>
            <w:r>
              <w:rPr>
                <w:rFonts w:cs="Times New Roman"/>
                <w:kern w:val="0"/>
                <w:sz w:val="24"/>
                <w:szCs w:val="24"/>
                <w:lang w:bidi="ar"/>
              </w:rPr>
              <w:t>气候效益</w:t>
            </w:r>
            <w:r>
              <w:rPr>
                <w:rFonts w:hint="eastAsia" w:cs="Times New Roman"/>
                <w:kern w:val="0"/>
                <w:sz w:val="24"/>
                <w:szCs w:val="24"/>
                <w:lang w:bidi="ar"/>
              </w:rPr>
              <w:t>（35分）</w:t>
            </w:r>
          </w:p>
        </w:tc>
        <w:tc>
          <w:tcPr>
            <w:tcW w:w="3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C108FD">
            <w:pPr>
              <w:widowControl/>
              <w:spacing w:line="320" w:lineRule="exact"/>
              <w:ind w:firstLine="0" w:firstLineChars="0"/>
              <w:jc w:val="center"/>
              <w:textAlignment w:val="center"/>
              <w:rPr>
                <w:rFonts w:cs="Times New Roman"/>
                <w:kern w:val="0"/>
                <w:sz w:val="24"/>
                <w:szCs w:val="24"/>
                <w:lang w:bidi="ar"/>
              </w:rPr>
            </w:pPr>
            <w:r>
              <w:rPr>
                <w:rFonts w:cs="Times New Roman"/>
                <w:kern w:val="0"/>
                <w:sz w:val="24"/>
                <w:szCs w:val="24"/>
                <w:lang w:bidi="ar"/>
              </w:rPr>
              <w:t>Ⅰ类</w:t>
            </w:r>
          </w:p>
          <w:p w14:paraId="5E1BAF4F">
            <w:pPr>
              <w:widowControl/>
              <w:spacing w:line="320" w:lineRule="exact"/>
              <w:ind w:firstLine="0" w:firstLineChars="0"/>
              <w:jc w:val="center"/>
              <w:textAlignment w:val="center"/>
              <w:rPr>
                <w:rFonts w:cs="Times New Roman"/>
                <w:sz w:val="24"/>
                <w:szCs w:val="24"/>
              </w:rPr>
            </w:pPr>
            <w:r>
              <w:rPr>
                <w:rFonts w:cs="Times New Roman"/>
                <w:kern w:val="0"/>
                <w:sz w:val="24"/>
                <w:szCs w:val="24"/>
                <w:lang w:bidi="ar"/>
              </w:rPr>
              <w:t>项目</w:t>
            </w: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EE6923">
            <w:pPr>
              <w:widowControl/>
              <w:spacing w:line="320" w:lineRule="exact"/>
              <w:ind w:firstLine="0" w:firstLineChars="0"/>
              <w:jc w:val="center"/>
              <w:textAlignment w:val="center"/>
              <w:rPr>
                <w:rFonts w:cs="Times New Roman"/>
                <w:sz w:val="24"/>
                <w:szCs w:val="24"/>
              </w:rPr>
            </w:pPr>
            <w:r>
              <w:rPr>
                <w:rFonts w:cs="Times New Roman"/>
                <w:kern w:val="0"/>
                <w:sz w:val="24"/>
                <w:szCs w:val="24"/>
                <w:lang w:bidi="ar"/>
              </w:rPr>
              <w:t>应对气候变化主动性</w:t>
            </w:r>
            <w:r>
              <w:rPr>
                <w:rFonts w:hint="eastAsia" w:cs="Times New Roman"/>
                <w:kern w:val="0"/>
                <w:sz w:val="24"/>
                <w:szCs w:val="24"/>
                <w:lang w:bidi="ar"/>
              </w:rPr>
              <w:t>（15分）</w:t>
            </w:r>
          </w:p>
        </w:tc>
        <w:tc>
          <w:tcPr>
            <w:tcW w:w="891" w:type="pct"/>
            <w:tcBorders>
              <w:top w:val="nil"/>
              <w:left w:val="single" w:color="000000" w:sz="4" w:space="0"/>
              <w:bottom w:val="single" w:color="000000" w:sz="4" w:space="0"/>
              <w:right w:val="single" w:color="000000" w:sz="4" w:space="0"/>
            </w:tcBorders>
            <w:shd w:val="clear" w:color="auto" w:fill="auto"/>
            <w:vAlign w:val="center"/>
          </w:tcPr>
          <w:p w14:paraId="3F1F5464">
            <w:pPr>
              <w:widowControl/>
              <w:spacing w:line="320" w:lineRule="exact"/>
              <w:ind w:firstLine="0" w:firstLineChars="0"/>
              <w:textAlignment w:val="center"/>
              <w:rPr>
                <w:rFonts w:cs="Times New Roman"/>
                <w:sz w:val="24"/>
                <w:szCs w:val="24"/>
              </w:rPr>
            </w:pPr>
            <w:r>
              <w:rPr>
                <w:rFonts w:cs="Times New Roman"/>
                <w:kern w:val="0"/>
                <w:sz w:val="24"/>
                <w:szCs w:val="24"/>
                <w:lang w:bidi="ar"/>
              </w:rPr>
              <w:t>项目主动采取减少温室气体排放的措施。</w:t>
            </w:r>
          </w:p>
        </w:tc>
        <w:tc>
          <w:tcPr>
            <w:tcW w:w="838" w:type="pct"/>
            <w:tcBorders>
              <w:top w:val="nil"/>
              <w:left w:val="single" w:color="000000" w:sz="4" w:space="0"/>
              <w:bottom w:val="single" w:color="000000" w:sz="4" w:space="0"/>
              <w:right w:val="single" w:color="000000" w:sz="4" w:space="0"/>
            </w:tcBorders>
            <w:shd w:val="clear" w:color="auto" w:fill="auto"/>
            <w:vAlign w:val="center"/>
          </w:tcPr>
          <w:p w14:paraId="66C84B58">
            <w:pPr>
              <w:widowControl/>
              <w:spacing w:line="320" w:lineRule="exact"/>
              <w:ind w:firstLine="0" w:firstLineChars="0"/>
              <w:textAlignment w:val="center"/>
              <w:rPr>
                <w:rFonts w:cs="Times New Roman"/>
                <w:sz w:val="24"/>
                <w:szCs w:val="24"/>
              </w:rPr>
            </w:pPr>
            <w:r>
              <w:rPr>
                <w:rFonts w:cs="Times New Roman"/>
                <w:kern w:val="0"/>
                <w:sz w:val="24"/>
                <w:szCs w:val="24"/>
                <w:lang w:bidi="ar"/>
              </w:rPr>
              <w:t>节能评估报告</w:t>
            </w:r>
            <w:r>
              <w:rPr>
                <w:rFonts w:hint="eastAsia" w:cs="Times New Roman"/>
                <w:kern w:val="0"/>
                <w:sz w:val="24"/>
                <w:szCs w:val="24"/>
                <w:lang w:bidi="ar"/>
              </w:rPr>
              <w:t>或其他相关</w:t>
            </w:r>
            <w:r>
              <w:rPr>
                <w:rFonts w:cs="Times New Roman"/>
                <w:kern w:val="0"/>
                <w:sz w:val="24"/>
                <w:szCs w:val="24"/>
                <w:lang w:bidi="ar"/>
              </w:rPr>
              <w:t>证明材料</w:t>
            </w:r>
            <w:r>
              <w:rPr>
                <w:rFonts w:hint="eastAsia" w:cs="Times New Roman"/>
                <w:kern w:val="0"/>
                <w:sz w:val="24"/>
                <w:szCs w:val="24"/>
                <w:lang w:bidi="ar"/>
              </w:rPr>
              <w:t>（*，至少提供其中之一）</w:t>
            </w:r>
          </w:p>
        </w:tc>
        <w:tc>
          <w:tcPr>
            <w:tcW w:w="1931" w:type="pct"/>
            <w:tcBorders>
              <w:top w:val="nil"/>
              <w:left w:val="single" w:color="000000" w:sz="4" w:space="0"/>
              <w:bottom w:val="single" w:color="000000" w:sz="4" w:space="0"/>
              <w:right w:val="single" w:color="000000" w:sz="4" w:space="0"/>
            </w:tcBorders>
            <w:shd w:val="clear" w:color="auto" w:fill="auto"/>
            <w:vAlign w:val="center"/>
          </w:tcPr>
          <w:p w14:paraId="1214D386">
            <w:pPr>
              <w:widowControl/>
              <w:numPr>
                <w:ilvl w:val="0"/>
                <w:numId w:val="9"/>
              </w:numPr>
              <w:spacing w:line="320" w:lineRule="exact"/>
              <w:ind w:firstLine="0" w:firstLineChars="0"/>
              <w:jc w:val="left"/>
              <w:textAlignment w:val="center"/>
              <w:rPr>
                <w:rFonts w:cs="Times New Roman"/>
                <w:sz w:val="24"/>
                <w:szCs w:val="24"/>
              </w:rPr>
            </w:pPr>
            <w:r>
              <w:rPr>
                <w:rFonts w:cs="Times New Roman"/>
                <w:kern w:val="0"/>
                <w:sz w:val="24"/>
                <w:szCs w:val="24"/>
                <w:lang w:bidi="ar"/>
              </w:rPr>
              <w:t>项目配套新能源或绿色材料利用以降低碳排放的，比如：项目厂区合理利用配套屋顶光伏供电、太阳能供热、地热能供热，可再生能源车辆或船舶购置，装配式建筑采用绿色建材等，得15分；</w:t>
            </w:r>
          </w:p>
          <w:p w14:paraId="23E37960">
            <w:pPr>
              <w:widowControl/>
              <w:numPr>
                <w:ilvl w:val="0"/>
                <w:numId w:val="9"/>
              </w:numPr>
              <w:spacing w:line="320" w:lineRule="exact"/>
              <w:ind w:firstLine="0" w:firstLineChars="0"/>
              <w:jc w:val="left"/>
              <w:textAlignment w:val="center"/>
              <w:rPr>
                <w:rFonts w:cs="Times New Roman"/>
                <w:sz w:val="24"/>
                <w:szCs w:val="24"/>
              </w:rPr>
            </w:pPr>
            <w:r>
              <w:rPr>
                <w:rFonts w:cs="Times New Roman"/>
                <w:kern w:val="0"/>
                <w:sz w:val="24"/>
                <w:szCs w:val="24"/>
                <w:lang w:bidi="ar"/>
              </w:rPr>
              <w:t>项目考虑了节能降碳措施的，比如：购买绿色电力、可再生能源热力，租赁新能源车辆，生产类项目对原材料采购有绿色低碳要求等，得10分；</w:t>
            </w:r>
          </w:p>
          <w:p w14:paraId="45647B1A">
            <w:pPr>
              <w:widowControl/>
              <w:numPr>
                <w:ilvl w:val="0"/>
                <w:numId w:val="9"/>
              </w:numPr>
              <w:spacing w:line="320" w:lineRule="exact"/>
              <w:ind w:firstLine="0" w:firstLineChars="0"/>
              <w:jc w:val="left"/>
              <w:textAlignment w:val="center"/>
              <w:rPr>
                <w:rFonts w:cs="Times New Roman"/>
                <w:sz w:val="24"/>
                <w:szCs w:val="24"/>
              </w:rPr>
            </w:pPr>
            <w:r>
              <w:rPr>
                <w:rFonts w:cs="Times New Roman"/>
                <w:kern w:val="0"/>
                <w:sz w:val="24"/>
                <w:szCs w:val="24"/>
                <w:lang w:bidi="ar"/>
              </w:rPr>
              <w:t>项目未采取任何减缓气候变化措施的，得0分。</w:t>
            </w:r>
          </w:p>
        </w:tc>
      </w:tr>
      <w:tr w14:paraId="66765C42">
        <w:tblPrEx>
          <w:tblCellMar>
            <w:top w:w="0" w:type="dxa"/>
            <w:left w:w="108" w:type="dxa"/>
            <w:bottom w:w="0" w:type="dxa"/>
            <w:right w:w="108" w:type="dxa"/>
          </w:tblCellMar>
        </w:tblPrEx>
        <w:trPr>
          <w:trHeight w:val="2465" w:hRule="atLeast"/>
        </w:trPr>
        <w:tc>
          <w:tcPr>
            <w:tcW w:w="4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FBE90B">
            <w:pPr>
              <w:spacing w:line="320" w:lineRule="exact"/>
              <w:ind w:firstLine="0" w:firstLineChars="0"/>
              <w:jc w:val="center"/>
              <w:rPr>
                <w:rFonts w:cs="Times New Roman"/>
                <w:sz w:val="24"/>
                <w:szCs w:val="24"/>
              </w:rPr>
            </w:pPr>
          </w:p>
        </w:tc>
        <w:tc>
          <w:tcPr>
            <w:tcW w:w="3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8B459C">
            <w:pPr>
              <w:spacing w:line="320" w:lineRule="exact"/>
              <w:ind w:firstLine="0" w:firstLineChars="0"/>
              <w:jc w:val="center"/>
              <w:rPr>
                <w:rFonts w:cs="Times New Roman"/>
                <w:sz w:val="24"/>
                <w:szCs w:val="24"/>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EDF3E7">
            <w:pPr>
              <w:widowControl/>
              <w:spacing w:line="320" w:lineRule="exact"/>
              <w:ind w:firstLine="0" w:firstLineChars="0"/>
              <w:jc w:val="center"/>
              <w:textAlignment w:val="center"/>
              <w:rPr>
                <w:rFonts w:cs="Times New Roman"/>
                <w:sz w:val="24"/>
                <w:szCs w:val="24"/>
              </w:rPr>
            </w:pPr>
            <w:r>
              <w:rPr>
                <w:rFonts w:cs="Times New Roman"/>
                <w:kern w:val="0"/>
                <w:sz w:val="24"/>
                <w:szCs w:val="24"/>
                <w:lang w:bidi="ar"/>
              </w:rPr>
              <w:t>碳排放强度</w:t>
            </w:r>
            <w:r>
              <w:rPr>
                <w:rFonts w:hint="eastAsia" w:cs="Times New Roman"/>
                <w:kern w:val="0"/>
                <w:sz w:val="24"/>
                <w:szCs w:val="24"/>
                <w:lang w:bidi="ar"/>
              </w:rPr>
              <w:t>（20分）</w:t>
            </w:r>
          </w:p>
        </w:tc>
        <w:tc>
          <w:tcPr>
            <w:tcW w:w="891" w:type="pct"/>
            <w:tcBorders>
              <w:top w:val="nil"/>
              <w:left w:val="single" w:color="000000" w:sz="4" w:space="0"/>
              <w:bottom w:val="single" w:color="000000" w:sz="4" w:space="0"/>
              <w:right w:val="single" w:color="000000" w:sz="4" w:space="0"/>
            </w:tcBorders>
            <w:shd w:val="clear" w:color="auto" w:fill="auto"/>
            <w:vAlign w:val="center"/>
          </w:tcPr>
          <w:p w14:paraId="6E439364">
            <w:pPr>
              <w:widowControl/>
              <w:spacing w:line="320" w:lineRule="exact"/>
              <w:ind w:firstLine="0" w:firstLineChars="0"/>
              <w:textAlignment w:val="center"/>
              <w:rPr>
                <w:rFonts w:cs="Times New Roman"/>
                <w:sz w:val="24"/>
                <w:szCs w:val="24"/>
              </w:rPr>
            </w:pPr>
            <w:r>
              <w:rPr>
                <w:rFonts w:cs="Times New Roman"/>
                <w:kern w:val="0"/>
                <w:sz w:val="24"/>
                <w:szCs w:val="24"/>
                <w:lang w:bidi="ar"/>
              </w:rPr>
              <w:t>项目的单位产出所产生的碳排放量，单位为吨二氧化碳当量每万元。</w:t>
            </w:r>
          </w:p>
        </w:tc>
        <w:tc>
          <w:tcPr>
            <w:tcW w:w="838" w:type="pct"/>
            <w:tcBorders>
              <w:top w:val="nil"/>
              <w:left w:val="single" w:color="000000" w:sz="4" w:space="0"/>
              <w:bottom w:val="single" w:color="000000" w:sz="4" w:space="0"/>
              <w:right w:val="single" w:color="000000" w:sz="4" w:space="0"/>
            </w:tcBorders>
            <w:shd w:val="clear" w:color="auto" w:fill="auto"/>
            <w:vAlign w:val="center"/>
          </w:tcPr>
          <w:p w14:paraId="6FC8B80D">
            <w:pPr>
              <w:widowControl/>
              <w:spacing w:line="320" w:lineRule="exact"/>
              <w:ind w:firstLine="0" w:firstLineChars="0"/>
              <w:textAlignment w:val="center"/>
              <w:rPr>
                <w:rFonts w:cs="Times New Roman"/>
                <w:sz w:val="24"/>
                <w:szCs w:val="24"/>
              </w:rPr>
            </w:pPr>
            <w:r>
              <w:rPr>
                <w:rFonts w:cs="Times New Roman"/>
                <w:kern w:val="0"/>
                <w:sz w:val="24"/>
                <w:szCs w:val="24"/>
                <w:lang w:bidi="ar"/>
              </w:rPr>
              <w:t>项目节能评估报告</w:t>
            </w:r>
            <w:r>
              <w:rPr>
                <w:rFonts w:hint="eastAsia" w:cs="Times New Roman"/>
                <w:kern w:val="0"/>
                <w:sz w:val="24"/>
                <w:szCs w:val="24"/>
                <w:lang w:bidi="ar"/>
              </w:rPr>
              <w:t>、碳核算报告</w:t>
            </w:r>
            <w:r>
              <w:rPr>
                <w:rFonts w:cs="Times New Roman"/>
                <w:kern w:val="0"/>
                <w:sz w:val="24"/>
                <w:szCs w:val="24"/>
                <w:lang w:bidi="ar"/>
              </w:rPr>
              <w:t>、可行性研究报告、初步设计报告</w:t>
            </w:r>
            <w:r>
              <w:rPr>
                <w:rFonts w:hint="eastAsia" w:cs="Times New Roman"/>
                <w:kern w:val="0"/>
                <w:sz w:val="24"/>
                <w:szCs w:val="24"/>
                <w:lang w:bidi="ar"/>
              </w:rPr>
              <w:t>、</w:t>
            </w:r>
            <w:r>
              <w:rPr>
                <w:rFonts w:cs="Times New Roman"/>
                <w:kern w:val="0"/>
                <w:sz w:val="24"/>
                <w:szCs w:val="24"/>
                <w:lang w:bidi="ar"/>
              </w:rPr>
              <w:t>实施方案</w:t>
            </w:r>
            <w:r>
              <w:rPr>
                <w:rFonts w:hint="eastAsia" w:cs="Times New Roman"/>
                <w:kern w:val="0"/>
                <w:sz w:val="24"/>
                <w:szCs w:val="24"/>
                <w:lang w:bidi="ar"/>
              </w:rPr>
              <w:t>或其他相关证明材料（*，至少提供其中之一）</w:t>
            </w:r>
          </w:p>
        </w:tc>
        <w:tc>
          <w:tcPr>
            <w:tcW w:w="1931" w:type="pct"/>
            <w:tcBorders>
              <w:top w:val="nil"/>
              <w:left w:val="single" w:color="000000" w:sz="4" w:space="0"/>
              <w:bottom w:val="single" w:color="000000" w:sz="4" w:space="0"/>
              <w:right w:val="single" w:color="000000" w:sz="4" w:space="0"/>
            </w:tcBorders>
            <w:shd w:val="clear" w:color="auto" w:fill="auto"/>
            <w:vAlign w:val="center"/>
          </w:tcPr>
          <w:p w14:paraId="4F96A197">
            <w:pPr>
              <w:widowControl/>
              <w:numPr>
                <w:ilvl w:val="0"/>
                <w:numId w:val="10"/>
              </w:numPr>
              <w:spacing w:line="320" w:lineRule="exact"/>
              <w:ind w:firstLine="0" w:firstLineChars="0"/>
              <w:jc w:val="left"/>
              <w:textAlignment w:val="center"/>
              <w:rPr>
                <w:rFonts w:cs="Times New Roman"/>
                <w:sz w:val="24"/>
                <w:szCs w:val="24"/>
              </w:rPr>
            </w:pPr>
            <w:r>
              <w:rPr>
                <w:rFonts w:cs="Times New Roman"/>
                <w:kern w:val="0"/>
                <w:sz w:val="24"/>
                <w:szCs w:val="24"/>
                <w:lang w:bidi="ar"/>
              </w:rPr>
              <w:t>项目碳排放强度＜0.16吨二氧化碳当量每万元，得20分；</w:t>
            </w:r>
          </w:p>
          <w:p w14:paraId="53451B27">
            <w:pPr>
              <w:widowControl/>
              <w:numPr>
                <w:ilvl w:val="0"/>
                <w:numId w:val="10"/>
              </w:numPr>
              <w:spacing w:line="320" w:lineRule="exact"/>
              <w:ind w:firstLine="0" w:firstLineChars="0"/>
              <w:jc w:val="left"/>
              <w:textAlignment w:val="center"/>
              <w:rPr>
                <w:rFonts w:cs="Times New Roman"/>
                <w:sz w:val="24"/>
                <w:szCs w:val="24"/>
              </w:rPr>
            </w:pPr>
            <w:r>
              <w:rPr>
                <w:rFonts w:cs="Times New Roman"/>
                <w:kern w:val="0"/>
                <w:sz w:val="24"/>
                <w:szCs w:val="24"/>
                <w:lang w:bidi="ar"/>
              </w:rPr>
              <w:t>0.16吨二氧化碳当量每万元≤项目碳排放强度＜0.30吨二氧化碳当量每万元，得10分；</w:t>
            </w:r>
          </w:p>
          <w:p w14:paraId="12DAE3D9">
            <w:pPr>
              <w:widowControl/>
              <w:numPr>
                <w:ilvl w:val="0"/>
                <w:numId w:val="10"/>
              </w:numPr>
              <w:spacing w:line="320" w:lineRule="exact"/>
              <w:ind w:firstLine="0" w:firstLineChars="0"/>
              <w:jc w:val="left"/>
              <w:textAlignment w:val="center"/>
              <w:rPr>
                <w:rFonts w:cs="Times New Roman"/>
                <w:sz w:val="24"/>
                <w:szCs w:val="24"/>
              </w:rPr>
            </w:pPr>
            <w:r>
              <w:rPr>
                <w:rFonts w:cs="Times New Roman"/>
                <w:kern w:val="0"/>
                <w:sz w:val="24"/>
                <w:szCs w:val="24"/>
                <w:lang w:bidi="ar"/>
              </w:rPr>
              <w:t>项目碳排放强度≥0.30吨二氧化碳当量每万元，得0分。</w:t>
            </w:r>
          </w:p>
        </w:tc>
      </w:tr>
      <w:tr w14:paraId="2CDEE4E7">
        <w:tblPrEx>
          <w:tblCellMar>
            <w:top w:w="0" w:type="dxa"/>
            <w:left w:w="108" w:type="dxa"/>
            <w:bottom w:w="0" w:type="dxa"/>
            <w:right w:w="108" w:type="dxa"/>
          </w:tblCellMar>
        </w:tblPrEx>
        <w:trPr>
          <w:trHeight w:val="1460" w:hRule="atLeast"/>
        </w:trPr>
        <w:tc>
          <w:tcPr>
            <w:tcW w:w="4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55E21C">
            <w:pPr>
              <w:spacing w:line="320" w:lineRule="exact"/>
              <w:ind w:firstLine="0" w:firstLineChars="0"/>
              <w:jc w:val="center"/>
              <w:rPr>
                <w:rFonts w:cs="Times New Roman"/>
                <w:sz w:val="24"/>
                <w:szCs w:val="24"/>
              </w:rPr>
            </w:pPr>
          </w:p>
        </w:tc>
        <w:tc>
          <w:tcPr>
            <w:tcW w:w="3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F2A3CE">
            <w:pPr>
              <w:widowControl/>
              <w:spacing w:line="320" w:lineRule="exact"/>
              <w:ind w:firstLine="0" w:firstLineChars="0"/>
              <w:jc w:val="center"/>
              <w:textAlignment w:val="center"/>
              <w:rPr>
                <w:rFonts w:cs="Times New Roman"/>
                <w:kern w:val="0"/>
                <w:sz w:val="24"/>
                <w:szCs w:val="24"/>
                <w:lang w:bidi="ar"/>
              </w:rPr>
            </w:pPr>
            <w:r>
              <w:rPr>
                <w:rFonts w:cs="Times New Roman"/>
                <w:kern w:val="0"/>
                <w:sz w:val="24"/>
                <w:szCs w:val="24"/>
                <w:lang w:bidi="ar"/>
              </w:rPr>
              <w:t>Ⅱ类</w:t>
            </w:r>
          </w:p>
          <w:p w14:paraId="6DB37C47">
            <w:pPr>
              <w:widowControl/>
              <w:spacing w:line="320" w:lineRule="exact"/>
              <w:ind w:firstLine="0" w:firstLineChars="0"/>
              <w:jc w:val="center"/>
              <w:textAlignment w:val="center"/>
              <w:rPr>
                <w:rFonts w:cs="Times New Roman"/>
                <w:sz w:val="24"/>
                <w:szCs w:val="24"/>
              </w:rPr>
            </w:pPr>
            <w:r>
              <w:rPr>
                <w:rFonts w:cs="Times New Roman"/>
                <w:kern w:val="0"/>
                <w:sz w:val="24"/>
                <w:szCs w:val="24"/>
                <w:lang w:bidi="ar"/>
              </w:rPr>
              <w:t>项目</w:t>
            </w: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9B0A72">
            <w:pPr>
              <w:widowControl/>
              <w:spacing w:line="320" w:lineRule="exact"/>
              <w:ind w:firstLine="0" w:firstLineChars="0"/>
              <w:jc w:val="center"/>
              <w:textAlignment w:val="center"/>
              <w:rPr>
                <w:rFonts w:cs="Times New Roman"/>
                <w:sz w:val="24"/>
                <w:szCs w:val="24"/>
              </w:rPr>
            </w:pPr>
            <w:r>
              <w:rPr>
                <w:rFonts w:cs="Times New Roman"/>
                <w:kern w:val="0"/>
                <w:sz w:val="24"/>
                <w:szCs w:val="24"/>
                <w:lang w:bidi="ar"/>
              </w:rPr>
              <w:t>年减排量</w:t>
            </w:r>
            <w:r>
              <w:rPr>
                <w:rFonts w:hint="eastAsia" w:cs="Times New Roman"/>
                <w:kern w:val="0"/>
                <w:sz w:val="24"/>
                <w:szCs w:val="24"/>
                <w:lang w:bidi="ar"/>
              </w:rPr>
              <w:t>（15分）</w:t>
            </w:r>
          </w:p>
        </w:tc>
        <w:tc>
          <w:tcPr>
            <w:tcW w:w="8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4ACD99">
            <w:pPr>
              <w:widowControl/>
              <w:spacing w:line="320" w:lineRule="exact"/>
              <w:ind w:firstLine="0" w:firstLineChars="0"/>
              <w:textAlignment w:val="center"/>
              <w:rPr>
                <w:rFonts w:cs="Times New Roman"/>
                <w:sz w:val="24"/>
                <w:szCs w:val="24"/>
              </w:rPr>
            </w:pPr>
            <w:r>
              <w:rPr>
                <w:rFonts w:cs="Times New Roman"/>
                <w:kern w:val="0"/>
                <w:sz w:val="24"/>
                <w:szCs w:val="24"/>
                <w:lang w:bidi="ar"/>
              </w:rPr>
              <w:t>项目年减排量可以衡量项目实施前后的碳减排情况，反映项目主体在节能减排等方面做出的贡献。</w:t>
            </w:r>
          </w:p>
        </w:tc>
        <w:tc>
          <w:tcPr>
            <w:tcW w:w="838" w:type="pct"/>
            <w:vMerge w:val="restart"/>
            <w:tcBorders>
              <w:top w:val="single" w:color="000000" w:sz="4" w:space="0"/>
              <w:left w:val="single" w:color="000000" w:sz="4" w:space="0"/>
              <w:right w:val="single" w:color="000000" w:sz="4" w:space="0"/>
            </w:tcBorders>
            <w:shd w:val="clear" w:color="auto" w:fill="auto"/>
            <w:vAlign w:val="center"/>
          </w:tcPr>
          <w:p w14:paraId="521C5047">
            <w:pPr>
              <w:widowControl/>
              <w:spacing w:line="320" w:lineRule="exact"/>
              <w:ind w:firstLine="0" w:firstLineChars="0"/>
              <w:textAlignment w:val="center"/>
              <w:rPr>
                <w:rFonts w:cs="Times New Roman"/>
                <w:sz w:val="24"/>
                <w:szCs w:val="24"/>
              </w:rPr>
            </w:pPr>
            <w:r>
              <w:rPr>
                <w:rFonts w:cs="Times New Roman"/>
                <w:kern w:val="0"/>
                <w:sz w:val="24"/>
                <w:szCs w:val="24"/>
                <w:lang w:bidi="ar"/>
              </w:rPr>
              <w:t>项目节能评估报告</w:t>
            </w:r>
            <w:r>
              <w:rPr>
                <w:rFonts w:hint="eastAsia" w:cs="Times New Roman"/>
                <w:kern w:val="0"/>
                <w:sz w:val="24"/>
                <w:szCs w:val="24"/>
                <w:lang w:bidi="ar"/>
              </w:rPr>
              <w:t>、碳核算报告</w:t>
            </w:r>
            <w:r>
              <w:rPr>
                <w:rFonts w:cs="Times New Roman"/>
                <w:kern w:val="0"/>
                <w:sz w:val="24"/>
                <w:szCs w:val="24"/>
                <w:lang w:bidi="ar"/>
              </w:rPr>
              <w:t>、可行性研究报告、初步设计报告</w:t>
            </w:r>
            <w:r>
              <w:rPr>
                <w:rFonts w:hint="eastAsia" w:cs="Times New Roman"/>
                <w:kern w:val="0"/>
                <w:sz w:val="24"/>
                <w:szCs w:val="24"/>
                <w:lang w:bidi="ar"/>
              </w:rPr>
              <w:t>、</w:t>
            </w:r>
            <w:r>
              <w:rPr>
                <w:rFonts w:cs="Times New Roman"/>
                <w:kern w:val="0"/>
                <w:sz w:val="24"/>
                <w:szCs w:val="24"/>
                <w:lang w:bidi="ar"/>
              </w:rPr>
              <w:t>实施方案</w:t>
            </w:r>
            <w:r>
              <w:rPr>
                <w:rFonts w:hint="eastAsia" w:cs="Times New Roman"/>
                <w:kern w:val="0"/>
                <w:sz w:val="24"/>
                <w:szCs w:val="24"/>
                <w:lang w:bidi="ar"/>
              </w:rPr>
              <w:t>或其他</w:t>
            </w:r>
            <w:r>
              <w:rPr>
                <w:rFonts w:cs="Times New Roman"/>
                <w:kern w:val="0"/>
                <w:sz w:val="24"/>
                <w:szCs w:val="24"/>
                <w:lang w:bidi="ar"/>
              </w:rPr>
              <w:t>相关证明材料</w:t>
            </w:r>
            <w:r>
              <w:rPr>
                <w:rFonts w:hint="eastAsia" w:cs="Times New Roman"/>
                <w:kern w:val="0"/>
                <w:sz w:val="24"/>
                <w:szCs w:val="24"/>
                <w:lang w:bidi="ar"/>
              </w:rPr>
              <w:t>（*，至少提供其中之一）</w:t>
            </w:r>
          </w:p>
        </w:tc>
        <w:tc>
          <w:tcPr>
            <w:tcW w:w="19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1E686E">
            <w:pPr>
              <w:widowControl/>
              <w:numPr>
                <w:ilvl w:val="0"/>
                <w:numId w:val="11"/>
              </w:numPr>
              <w:spacing w:line="320" w:lineRule="exact"/>
              <w:ind w:firstLine="0" w:firstLineChars="0"/>
              <w:jc w:val="left"/>
              <w:textAlignment w:val="center"/>
              <w:rPr>
                <w:rFonts w:cs="Times New Roman"/>
                <w:sz w:val="24"/>
                <w:szCs w:val="24"/>
              </w:rPr>
            </w:pPr>
            <w:r>
              <w:rPr>
                <w:rFonts w:cs="Times New Roman"/>
                <w:kern w:val="0"/>
                <w:sz w:val="24"/>
                <w:szCs w:val="24"/>
                <w:lang w:bidi="ar"/>
              </w:rPr>
              <w:t>项目年减排量≥</w:t>
            </w:r>
            <w:r>
              <w:rPr>
                <w:rFonts w:hint="eastAsia" w:cs="Times New Roman"/>
                <w:kern w:val="0"/>
                <w:sz w:val="24"/>
                <w:szCs w:val="24"/>
                <w:lang w:bidi="ar"/>
              </w:rPr>
              <w:t>5000</w:t>
            </w:r>
            <w:r>
              <w:rPr>
                <w:rFonts w:cs="Times New Roman"/>
                <w:kern w:val="0"/>
                <w:sz w:val="24"/>
                <w:szCs w:val="24"/>
                <w:lang w:bidi="ar"/>
              </w:rPr>
              <w:t>吨二氧化碳当量，得15分；</w:t>
            </w:r>
          </w:p>
          <w:p w14:paraId="0A24C313">
            <w:pPr>
              <w:widowControl/>
              <w:numPr>
                <w:ilvl w:val="0"/>
                <w:numId w:val="11"/>
              </w:numPr>
              <w:spacing w:line="320" w:lineRule="exact"/>
              <w:ind w:firstLine="0" w:firstLineChars="0"/>
              <w:jc w:val="left"/>
              <w:textAlignment w:val="center"/>
              <w:rPr>
                <w:rFonts w:cs="Times New Roman"/>
                <w:sz w:val="24"/>
                <w:szCs w:val="24"/>
              </w:rPr>
            </w:pPr>
            <w:r>
              <w:rPr>
                <w:rFonts w:hint="eastAsia" w:cs="Times New Roman"/>
                <w:kern w:val="0"/>
                <w:sz w:val="24"/>
                <w:szCs w:val="24"/>
                <w:lang w:bidi="ar"/>
              </w:rPr>
              <w:t>1000</w:t>
            </w:r>
            <w:r>
              <w:rPr>
                <w:rFonts w:cs="Times New Roman"/>
                <w:kern w:val="0"/>
                <w:sz w:val="24"/>
                <w:szCs w:val="24"/>
                <w:lang w:bidi="ar"/>
              </w:rPr>
              <w:t>吨二氧化碳当量≤项目年减排量＜</w:t>
            </w:r>
            <w:r>
              <w:rPr>
                <w:rFonts w:hint="eastAsia" w:cs="Times New Roman"/>
                <w:kern w:val="0"/>
                <w:sz w:val="24"/>
                <w:szCs w:val="24"/>
                <w:lang w:bidi="ar"/>
              </w:rPr>
              <w:t>5000</w:t>
            </w:r>
            <w:r>
              <w:rPr>
                <w:rFonts w:cs="Times New Roman"/>
                <w:kern w:val="0"/>
                <w:sz w:val="24"/>
                <w:szCs w:val="24"/>
                <w:lang w:bidi="ar"/>
              </w:rPr>
              <w:t>吨二氧化碳当量，得10分；</w:t>
            </w:r>
          </w:p>
          <w:p w14:paraId="19BE5E00">
            <w:pPr>
              <w:widowControl/>
              <w:numPr>
                <w:ilvl w:val="0"/>
                <w:numId w:val="11"/>
              </w:numPr>
              <w:spacing w:line="320" w:lineRule="exact"/>
              <w:ind w:firstLine="0" w:firstLineChars="0"/>
              <w:jc w:val="left"/>
              <w:textAlignment w:val="center"/>
              <w:rPr>
                <w:rFonts w:cs="Times New Roman"/>
                <w:sz w:val="24"/>
                <w:szCs w:val="24"/>
              </w:rPr>
            </w:pPr>
            <w:r>
              <w:rPr>
                <w:rFonts w:cs="Times New Roman"/>
                <w:kern w:val="0"/>
                <w:sz w:val="24"/>
                <w:szCs w:val="24"/>
                <w:lang w:bidi="ar"/>
              </w:rPr>
              <w:t>项目年减排量＜</w:t>
            </w:r>
            <w:r>
              <w:rPr>
                <w:rFonts w:hint="eastAsia" w:cs="Times New Roman"/>
                <w:kern w:val="0"/>
                <w:sz w:val="24"/>
                <w:szCs w:val="24"/>
                <w:lang w:bidi="ar"/>
              </w:rPr>
              <w:t>1000</w:t>
            </w:r>
            <w:r>
              <w:rPr>
                <w:rFonts w:cs="Times New Roman"/>
                <w:kern w:val="0"/>
                <w:sz w:val="24"/>
                <w:szCs w:val="24"/>
                <w:lang w:bidi="ar"/>
              </w:rPr>
              <w:t>吨二氧化碳当量，得5分。</w:t>
            </w:r>
          </w:p>
        </w:tc>
      </w:tr>
      <w:tr w14:paraId="274C0056">
        <w:tblPrEx>
          <w:tblCellMar>
            <w:top w:w="0" w:type="dxa"/>
            <w:left w:w="108" w:type="dxa"/>
            <w:bottom w:w="0" w:type="dxa"/>
            <w:right w:w="108" w:type="dxa"/>
          </w:tblCellMar>
        </w:tblPrEx>
        <w:trPr>
          <w:trHeight w:val="2056" w:hRule="atLeast"/>
        </w:trPr>
        <w:tc>
          <w:tcPr>
            <w:tcW w:w="4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17BC20">
            <w:pPr>
              <w:spacing w:line="320" w:lineRule="exact"/>
              <w:ind w:firstLine="0" w:firstLineChars="0"/>
              <w:jc w:val="center"/>
              <w:rPr>
                <w:rFonts w:cs="Times New Roman"/>
                <w:sz w:val="24"/>
                <w:szCs w:val="24"/>
              </w:rPr>
            </w:pPr>
          </w:p>
        </w:tc>
        <w:tc>
          <w:tcPr>
            <w:tcW w:w="3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606915">
            <w:pPr>
              <w:spacing w:line="320" w:lineRule="exact"/>
              <w:ind w:firstLine="0" w:firstLineChars="0"/>
              <w:jc w:val="center"/>
              <w:rPr>
                <w:rFonts w:cs="Times New Roman"/>
                <w:sz w:val="24"/>
                <w:szCs w:val="24"/>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0231E2">
            <w:pPr>
              <w:widowControl/>
              <w:spacing w:line="320" w:lineRule="exact"/>
              <w:ind w:firstLine="0" w:firstLineChars="0"/>
              <w:jc w:val="center"/>
              <w:textAlignment w:val="center"/>
              <w:rPr>
                <w:rFonts w:cs="Times New Roman"/>
                <w:sz w:val="24"/>
                <w:szCs w:val="24"/>
              </w:rPr>
            </w:pPr>
            <w:bookmarkStart w:id="15" w:name="OLE_LINK1"/>
            <w:r>
              <w:rPr>
                <w:rFonts w:cs="Times New Roman"/>
                <w:kern w:val="0"/>
                <w:sz w:val="24"/>
                <w:szCs w:val="24"/>
                <w:lang w:bidi="ar"/>
              </w:rPr>
              <w:t>单位总投资碳减排量</w:t>
            </w:r>
            <w:bookmarkEnd w:id="15"/>
            <w:r>
              <w:rPr>
                <w:rFonts w:hint="eastAsia" w:cs="Times New Roman"/>
                <w:kern w:val="0"/>
                <w:sz w:val="24"/>
                <w:szCs w:val="24"/>
                <w:lang w:bidi="ar"/>
              </w:rPr>
              <w:t>（20分）</w:t>
            </w:r>
          </w:p>
        </w:tc>
        <w:tc>
          <w:tcPr>
            <w:tcW w:w="8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CE417F">
            <w:pPr>
              <w:widowControl/>
              <w:spacing w:line="320" w:lineRule="exact"/>
              <w:ind w:firstLine="0" w:firstLineChars="0"/>
              <w:textAlignment w:val="center"/>
              <w:rPr>
                <w:rFonts w:cs="Times New Roman"/>
                <w:sz w:val="24"/>
                <w:szCs w:val="24"/>
              </w:rPr>
            </w:pPr>
            <w:r>
              <w:rPr>
                <w:rFonts w:cs="Times New Roman"/>
                <w:kern w:val="0"/>
                <w:sz w:val="24"/>
                <w:szCs w:val="24"/>
                <w:lang w:bidi="ar"/>
              </w:rPr>
              <w:t>单位总投资碳减排量反映项目碳减排技术的先进性，数值越高，则说明项目碳减排技术越先进。</w:t>
            </w:r>
          </w:p>
        </w:tc>
        <w:tc>
          <w:tcPr>
            <w:tcW w:w="838" w:type="pct"/>
            <w:vMerge w:val="continue"/>
            <w:tcBorders>
              <w:left w:val="single" w:color="000000" w:sz="4" w:space="0"/>
              <w:bottom w:val="single" w:color="000000" w:sz="4" w:space="0"/>
              <w:right w:val="single" w:color="000000" w:sz="4" w:space="0"/>
            </w:tcBorders>
            <w:shd w:val="clear" w:color="auto" w:fill="auto"/>
            <w:vAlign w:val="center"/>
          </w:tcPr>
          <w:p w14:paraId="7AAA36A5">
            <w:pPr>
              <w:widowControl/>
              <w:spacing w:line="320" w:lineRule="exact"/>
              <w:ind w:firstLine="0" w:firstLineChars="0"/>
              <w:textAlignment w:val="center"/>
              <w:rPr>
                <w:rFonts w:cs="Times New Roman"/>
                <w:sz w:val="24"/>
                <w:szCs w:val="24"/>
              </w:rPr>
            </w:pPr>
          </w:p>
        </w:tc>
        <w:tc>
          <w:tcPr>
            <w:tcW w:w="19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241F00">
            <w:pPr>
              <w:widowControl/>
              <w:numPr>
                <w:ilvl w:val="0"/>
                <w:numId w:val="12"/>
              </w:numPr>
              <w:spacing w:line="320" w:lineRule="exact"/>
              <w:ind w:firstLine="0" w:firstLineChars="0"/>
              <w:jc w:val="left"/>
              <w:textAlignment w:val="center"/>
              <w:rPr>
                <w:rFonts w:cs="Times New Roman"/>
                <w:sz w:val="24"/>
                <w:szCs w:val="24"/>
              </w:rPr>
            </w:pPr>
            <w:r>
              <w:rPr>
                <w:rFonts w:cs="Times New Roman"/>
                <w:kern w:val="0"/>
                <w:sz w:val="24"/>
                <w:szCs w:val="24"/>
                <w:lang w:bidi="ar"/>
              </w:rPr>
              <w:t>项目单位总投资碳减排量≥3吨二氧化碳当量每万元，得20分；</w:t>
            </w:r>
          </w:p>
          <w:p w14:paraId="31038135">
            <w:pPr>
              <w:widowControl/>
              <w:numPr>
                <w:ilvl w:val="0"/>
                <w:numId w:val="12"/>
              </w:numPr>
              <w:spacing w:line="320" w:lineRule="exact"/>
              <w:ind w:firstLine="0" w:firstLineChars="0"/>
              <w:jc w:val="left"/>
              <w:textAlignment w:val="center"/>
              <w:rPr>
                <w:rFonts w:cs="Times New Roman"/>
                <w:sz w:val="24"/>
                <w:szCs w:val="24"/>
              </w:rPr>
            </w:pPr>
            <w:r>
              <w:rPr>
                <w:rFonts w:cs="Times New Roman"/>
                <w:kern w:val="0"/>
                <w:sz w:val="24"/>
                <w:szCs w:val="24"/>
                <w:lang w:bidi="ar"/>
              </w:rPr>
              <w:t>1吨二氧化碳当量每万元≤项目单位总投资碳减排量＜3吨二氧化碳当量每万元，得15分；</w:t>
            </w:r>
          </w:p>
          <w:p w14:paraId="169B003D">
            <w:pPr>
              <w:widowControl/>
              <w:numPr>
                <w:ilvl w:val="0"/>
                <w:numId w:val="12"/>
              </w:numPr>
              <w:spacing w:line="320" w:lineRule="exact"/>
              <w:ind w:firstLine="0" w:firstLineChars="0"/>
              <w:jc w:val="left"/>
              <w:textAlignment w:val="center"/>
              <w:rPr>
                <w:rFonts w:cs="Times New Roman"/>
                <w:sz w:val="24"/>
                <w:szCs w:val="24"/>
              </w:rPr>
            </w:pPr>
            <w:r>
              <w:rPr>
                <w:rFonts w:cs="Times New Roman"/>
                <w:kern w:val="0"/>
                <w:sz w:val="24"/>
                <w:szCs w:val="24"/>
                <w:lang w:bidi="ar"/>
              </w:rPr>
              <w:t>项目单位总投资碳减排量＜1吨二氧化碳当量每万元，得5分。</w:t>
            </w:r>
          </w:p>
        </w:tc>
      </w:tr>
      <w:tr w14:paraId="50F925D8">
        <w:tblPrEx>
          <w:tblCellMar>
            <w:top w:w="0" w:type="dxa"/>
            <w:left w:w="108" w:type="dxa"/>
            <w:bottom w:w="0" w:type="dxa"/>
            <w:right w:w="108" w:type="dxa"/>
          </w:tblCellMar>
        </w:tblPrEx>
        <w:trPr>
          <w:trHeight w:val="1400" w:hRule="atLeast"/>
        </w:trPr>
        <w:tc>
          <w:tcPr>
            <w:tcW w:w="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A41EDC">
            <w:pPr>
              <w:widowControl/>
              <w:spacing w:line="320" w:lineRule="exact"/>
              <w:ind w:firstLine="0" w:firstLineChars="0"/>
              <w:jc w:val="center"/>
              <w:textAlignment w:val="center"/>
              <w:rPr>
                <w:rFonts w:cs="Times New Roman"/>
                <w:sz w:val="24"/>
                <w:szCs w:val="24"/>
              </w:rPr>
            </w:pPr>
            <w:r>
              <w:rPr>
                <w:rFonts w:cs="Times New Roman"/>
                <w:kern w:val="0"/>
                <w:sz w:val="24"/>
                <w:szCs w:val="24"/>
                <w:lang w:bidi="ar"/>
              </w:rPr>
              <w:t>经济效益</w:t>
            </w:r>
            <w:r>
              <w:rPr>
                <w:rFonts w:hint="eastAsia" w:cs="Times New Roman"/>
                <w:kern w:val="0"/>
                <w:sz w:val="24"/>
                <w:szCs w:val="24"/>
                <w:lang w:bidi="ar"/>
              </w:rPr>
              <w:t>（5分）</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C20C69">
            <w:pPr>
              <w:widowControl/>
              <w:spacing w:line="320" w:lineRule="exact"/>
              <w:ind w:firstLine="0" w:firstLineChars="0"/>
              <w:jc w:val="center"/>
              <w:textAlignment w:val="center"/>
              <w:rPr>
                <w:rFonts w:cs="Times New Roman"/>
                <w:sz w:val="24"/>
                <w:szCs w:val="24"/>
              </w:rPr>
            </w:pPr>
            <w:r>
              <w:rPr>
                <w:rFonts w:cs="Times New Roman"/>
                <w:kern w:val="0"/>
                <w:sz w:val="24"/>
                <w:szCs w:val="24"/>
                <w:lang w:bidi="ar"/>
              </w:rPr>
              <w:t>Ⅰ/Ⅱ类项目</w:t>
            </w: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D5FF3C">
            <w:pPr>
              <w:widowControl/>
              <w:spacing w:line="320" w:lineRule="exact"/>
              <w:ind w:firstLine="0" w:firstLineChars="0"/>
              <w:jc w:val="center"/>
              <w:textAlignment w:val="center"/>
              <w:rPr>
                <w:rFonts w:cs="Times New Roman"/>
                <w:kern w:val="0"/>
                <w:sz w:val="24"/>
                <w:szCs w:val="24"/>
                <w:lang w:bidi="ar"/>
              </w:rPr>
            </w:pPr>
            <w:r>
              <w:rPr>
                <w:rFonts w:cs="Times New Roman"/>
                <w:kern w:val="0"/>
                <w:sz w:val="24"/>
                <w:szCs w:val="24"/>
                <w:lang w:bidi="ar"/>
              </w:rPr>
              <w:t>财务内部收益率</w:t>
            </w:r>
          </w:p>
          <w:p w14:paraId="6DC4A669">
            <w:pPr>
              <w:widowControl/>
              <w:spacing w:line="320" w:lineRule="exact"/>
              <w:ind w:firstLine="0" w:firstLineChars="0"/>
              <w:jc w:val="center"/>
              <w:textAlignment w:val="center"/>
              <w:rPr>
                <w:rFonts w:cs="Times New Roman"/>
                <w:sz w:val="24"/>
                <w:szCs w:val="24"/>
              </w:rPr>
            </w:pPr>
            <w:r>
              <w:rPr>
                <w:rFonts w:hint="eastAsia" w:cs="Times New Roman"/>
                <w:kern w:val="0"/>
                <w:sz w:val="24"/>
                <w:szCs w:val="24"/>
                <w:lang w:bidi="ar"/>
              </w:rPr>
              <w:t>（5分）</w:t>
            </w:r>
          </w:p>
        </w:tc>
        <w:tc>
          <w:tcPr>
            <w:tcW w:w="8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709DB4">
            <w:pPr>
              <w:widowControl/>
              <w:spacing w:line="320" w:lineRule="exact"/>
              <w:ind w:firstLine="0" w:firstLineChars="0"/>
              <w:textAlignment w:val="center"/>
              <w:rPr>
                <w:rFonts w:cs="Times New Roman"/>
                <w:sz w:val="24"/>
                <w:szCs w:val="24"/>
              </w:rPr>
            </w:pPr>
            <w:r>
              <w:rPr>
                <w:rFonts w:cs="Times New Roman"/>
                <w:kern w:val="0"/>
                <w:sz w:val="24"/>
                <w:szCs w:val="24"/>
                <w:lang w:bidi="ar"/>
              </w:rPr>
              <w:t>评估项目的经济效益。项目融资前税前财务内部收益率应不低于行业财务基准收益率（融资前税前指标）。</w:t>
            </w:r>
          </w:p>
        </w:tc>
        <w:tc>
          <w:tcPr>
            <w:tcW w:w="8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8FDF0D">
            <w:pPr>
              <w:widowControl/>
              <w:spacing w:line="320" w:lineRule="exact"/>
              <w:ind w:firstLine="0" w:firstLineChars="0"/>
              <w:textAlignment w:val="center"/>
              <w:rPr>
                <w:rFonts w:cs="Times New Roman"/>
                <w:sz w:val="24"/>
                <w:szCs w:val="24"/>
              </w:rPr>
            </w:pPr>
            <w:r>
              <w:rPr>
                <w:rFonts w:cs="Times New Roman"/>
                <w:kern w:val="0"/>
                <w:sz w:val="24"/>
                <w:szCs w:val="24"/>
                <w:lang w:bidi="ar"/>
              </w:rPr>
              <w:t>项目可行性研究报告、初步设计报告、实施方案</w:t>
            </w:r>
            <w:r>
              <w:rPr>
                <w:rFonts w:hint="eastAsia" w:cs="Times New Roman"/>
                <w:kern w:val="0"/>
                <w:sz w:val="24"/>
                <w:szCs w:val="24"/>
                <w:lang w:bidi="ar"/>
              </w:rPr>
              <w:t>或其他</w:t>
            </w:r>
            <w:r>
              <w:rPr>
                <w:rFonts w:cs="Times New Roman"/>
                <w:kern w:val="0"/>
                <w:sz w:val="24"/>
                <w:szCs w:val="24"/>
                <w:lang w:bidi="ar"/>
              </w:rPr>
              <w:t>相关证明材料</w:t>
            </w:r>
            <w:r>
              <w:rPr>
                <w:rFonts w:hint="eastAsia" w:cs="Times New Roman"/>
                <w:kern w:val="0"/>
                <w:sz w:val="24"/>
                <w:szCs w:val="24"/>
                <w:lang w:bidi="ar"/>
              </w:rPr>
              <w:t>（*，至少提供其中之一）</w:t>
            </w:r>
          </w:p>
        </w:tc>
        <w:tc>
          <w:tcPr>
            <w:tcW w:w="19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B702C2">
            <w:pPr>
              <w:widowControl/>
              <w:numPr>
                <w:ilvl w:val="0"/>
                <w:numId w:val="13"/>
              </w:numPr>
              <w:spacing w:line="320" w:lineRule="exact"/>
              <w:ind w:firstLine="0" w:firstLineChars="0"/>
              <w:jc w:val="left"/>
              <w:textAlignment w:val="center"/>
              <w:rPr>
                <w:rFonts w:cs="Times New Roman"/>
                <w:sz w:val="24"/>
                <w:szCs w:val="24"/>
              </w:rPr>
            </w:pPr>
            <w:r>
              <w:rPr>
                <w:rFonts w:cs="Times New Roman"/>
                <w:kern w:val="0"/>
                <w:sz w:val="24"/>
                <w:szCs w:val="24"/>
                <w:lang w:bidi="ar"/>
              </w:rPr>
              <w:t>项目融资前税前财务内部收益率≥行业财务基准收益率（融资前税前指标）的，得5分；</w:t>
            </w:r>
          </w:p>
          <w:p w14:paraId="0173D915">
            <w:pPr>
              <w:widowControl/>
              <w:numPr>
                <w:ilvl w:val="0"/>
                <w:numId w:val="13"/>
              </w:numPr>
              <w:spacing w:line="320" w:lineRule="exact"/>
              <w:ind w:firstLine="0" w:firstLineChars="0"/>
              <w:jc w:val="left"/>
              <w:textAlignment w:val="center"/>
              <w:rPr>
                <w:rFonts w:cs="Times New Roman"/>
                <w:sz w:val="24"/>
                <w:szCs w:val="24"/>
              </w:rPr>
            </w:pPr>
            <w:r>
              <w:rPr>
                <w:rFonts w:cs="Times New Roman"/>
                <w:kern w:val="0"/>
                <w:sz w:val="24"/>
                <w:szCs w:val="24"/>
                <w:lang w:bidi="ar"/>
              </w:rPr>
              <w:t>项目融资前税前财务内部收益率＜行业财务基准收益率（融资前税前指标）的，得0分。</w:t>
            </w:r>
          </w:p>
        </w:tc>
      </w:tr>
      <w:tr w14:paraId="56971DE0">
        <w:tblPrEx>
          <w:tblCellMar>
            <w:top w:w="0" w:type="dxa"/>
            <w:left w:w="108" w:type="dxa"/>
            <w:bottom w:w="0" w:type="dxa"/>
            <w:right w:w="108" w:type="dxa"/>
          </w:tblCellMar>
        </w:tblPrEx>
        <w:trPr>
          <w:trHeight w:val="937" w:hRule="atLeast"/>
        </w:trPr>
        <w:tc>
          <w:tcPr>
            <w:tcW w:w="43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99F144">
            <w:pPr>
              <w:widowControl/>
              <w:spacing w:line="320" w:lineRule="exact"/>
              <w:ind w:firstLine="0" w:firstLineChars="0"/>
              <w:jc w:val="center"/>
              <w:textAlignment w:val="center"/>
              <w:rPr>
                <w:rFonts w:cs="Times New Roman"/>
                <w:sz w:val="24"/>
                <w:szCs w:val="24"/>
              </w:rPr>
            </w:pPr>
            <w:r>
              <w:rPr>
                <w:rFonts w:cs="Times New Roman"/>
                <w:kern w:val="0"/>
                <w:sz w:val="24"/>
                <w:szCs w:val="24"/>
                <w:lang w:bidi="ar"/>
              </w:rPr>
              <w:t>可持续发展影响</w:t>
            </w:r>
            <w:r>
              <w:rPr>
                <w:rFonts w:hint="eastAsia" w:cs="Times New Roman"/>
                <w:kern w:val="0"/>
                <w:sz w:val="24"/>
                <w:szCs w:val="24"/>
                <w:lang w:bidi="ar"/>
              </w:rPr>
              <w:t>（20分）</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9A4519">
            <w:pPr>
              <w:widowControl/>
              <w:spacing w:line="320" w:lineRule="exact"/>
              <w:ind w:firstLine="0" w:firstLineChars="0"/>
              <w:jc w:val="center"/>
              <w:textAlignment w:val="center"/>
              <w:rPr>
                <w:rFonts w:cs="Times New Roman"/>
                <w:sz w:val="24"/>
                <w:szCs w:val="24"/>
              </w:rPr>
            </w:pPr>
            <w:r>
              <w:rPr>
                <w:rFonts w:cs="Times New Roman"/>
                <w:kern w:val="0"/>
                <w:sz w:val="24"/>
                <w:szCs w:val="24"/>
                <w:lang w:bidi="ar"/>
              </w:rPr>
              <w:t>Ⅰ/Ⅱ类项目</w:t>
            </w: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EACCAA">
            <w:pPr>
              <w:widowControl/>
              <w:spacing w:line="320" w:lineRule="exact"/>
              <w:ind w:firstLine="0" w:firstLineChars="0"/>
              <w:jc w:val="center"/>
              <w:textAlignment w:val="center"/>
              <w:rPr>
                <w:rFonts w:cs="Times New Roman"/>
                <w:sz w:val="24"/>
                <w:szCs w:val="24"/>
              </w:rPr>
            </w:pPr>
            <w:r>
              <w:rPr>
                <w:rFonts w:cs="Times New Roman"/>
                <w:kern w:val="0"/>
                <w:sz w:val="24"/>
                <w:szCs w:val="24"/>
                <w:lang w:bidi="ar"/>
              </w:rPr>
              <w:t>社会效益</w:t>
            </w:r>
            <w:r>
              <w:rPr>
                <w:rFonts w:hint="eastAsia" w:cs="Times New Roman"/>
                <w:kern w:val="0"/>
                <w:sz w:val="24"/>
                <w:szCs w:val="24"/>
                <w:lang w:bidi="ar"/>
              </w:rPr>
              <w:t>（10分）</w:t>
            </w:r>
          </w:p>
        </w:tc>
        <w:tc>
          <w:tcPr>
            <w:tcW w:w="8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9A22D2">
            <w:pPr>
              <w:widowControl/>
              <w:spacing w:line="320" w:lineRule="exact"/>
              <w:ind w:firstLine="0" w:firstLineChars="0"/>
              <w:textAlignment w:val="center"/>
              <w:rPr>
                <w:rFonts w:cs="Times New Roman"/>
                <w:sz w:val="24"/>
                <w:szCs w:val="24"/>
              </w:rPr>
            </w:pPr>
            <w:r>
              <w:rPr>
                <w:rFonts w:cs="Times New Roman"/>
                <w:kern w:val="0"/>
                <w:sz w:val="24"/>
                <w:szCs w:val="24"/>
                <w:lang w:bidi="ar"/>
              </w:rPr>
              <w:t>项目实施能够产生</w:t>
            </w:r>
            <w:bookmarkStart w:id="16" w:name="OLE_LINK2"/>
            <w:r>
              <w:rPr>
                <w:rFonts w:cs="Times New Roman"/>
                <w:kern w:val="0"/>
                <w:sz w:val="24"/>
                <w:szCs w:val="24"/>
                <w:lang w:bidi="ar"/>
              </w:rPr>
              <w:t>提高就业率、提高农业生产效率、减少食品浪费和损失、提高食品安全和卫生标准、提高医疗设施与服务的覆盖范围和质量、提高教育设施与服务的覆盖范围和质量、促进就业性别平等、提升水资源利用效率和质量、促进文化保护等</w:t>
            </w:r>
            <w:bookmarkEnd w:id="16"/>
            <w:r>
              <w:rPr>
                <w:rFonts w:cs="Times New Roman"/>
                <w:kern w:val="0"/>
                <w:sz w:val="24"/>
                <w:szCs w:val="24"/>
                <w:lang w:bidi="ar"/>
              </w:rPr>
              <w:t>社会效益。</w:t>
            </w:r>
          </w:p>
        </w:tc>
        <w:tc>
          <w:tcPr>
            <w:tcW w:w="838" w:type="pct"/>
            <w:tcBorders>
              <w:top w:val="single" w:color="000000" w:sz="4" w:space="0"/>
              <w:left w:val="single" w:color="000000" w:sz="4" w:space="0"/>
              <w:bottom w:val="single" w:color="auto" w:sz="4" w:space="0"/>
              <w:right w:val="single" w:color="000000" w:sz="4" w:space="0"/>
            </w:tcBorders>
            <w:shd w:val="clear" w:color="auto" w:fill="auto"/>
            <w:vAlign w:val="center"/>
          </w:tcPr>
          <w:p w14:paraId="610E3807">
            <w:pPr>
              <w:widowControl/>
              <w:spacing w:line="320" w:lineRule="exact"/>
              <w:ind w:firstLine="0" w:firstLineChars="0"/>
              <w:textAlignment w:val="center"/>
              <w:rPr>
                <w:rFonts w:cs="Times New Roman"/>
                <w:sz w:val="24"/>
                <w:szCs w:val="24"/>
              </w:rPr>
            </w:pPr>
            <w:r>
              <w:rPr>
                <w:rFonts w:cs="Times New Roman"/>
                <w:kern w:val="0"/>
                <w:sz w:val="24"/>
                <w:szCs w:val="24"/>
                <w:lang w:bidi="ar"/>
              </w:rPr>
              <w:t>项目可行性研究报告、初步设计报告</w:t>
            </w:r>
            <w:r>
              <w:rPr>
                <w:rFonts w:hint="eastAsia" w:cs="Times New Roman"/>
                <w:kern w:val="0"/>
                <w:sz w:val="24"/>
                <w:szCs w:val="24"/>
                <w:lang w:bidi="ar"/>
              </w:rPr>
              <w:t>、</w:t>
            </w:r>
            <w:r>
              <w:rPr>
                <w:rFonts w:cs="Times New Roman"/>
                <w:kern w:val="0"/>
                <w:sz w:val="24"/>
                <w:szCs w:val="24"/>
                <w:lang w:bidi="ar"/>
              </w:rPr>
              <w:t>实施方案</w:t>
            </w:r>
            <w:r>
              <w:rPr>
                <w:rFonts w:hint="eastAsia" w:cs="Times New Roman"/>
                <w:kern w:val="0"/>
                <w:sz w:val="24"/>
                <w:szCs w:val="24"/>
                <w:lang w:bidi="ar"/>
              </w:rPr>
              <w:t>或其他</w:t>
            </w:r>
            <w:r>
              <w:rPr>
                <w:rFonts w:cs="Times New Roman"/>
                <w:kern w:val="0"/>
                <w:sz w:val="24"/>
                <w:szCs w:val="24"/>
                <w:lang w:bidi="ar"/>
              </w:rPr>
              <w:t>相关证明材料</w:t>
            </w:r>
            <w:r>
              <w:rPr>
                <w:rFonts w:hint="eastAsia" w:cs="Times New Roman"/>
                <w:kern w:val="0"/>
                <w:sz w:val="24"/>
                <w:szCs w:val="24"/>
                <w:lang w:bidi="ar"/>
              </w:rPr>
              <w:t>（*，至少提供其中之一）</w:t>
            </w:r>
          </w:p>
        </w:tc>
        <w:tc>
          <w:tcPr>
            <w:tcW w:w="1931" w:type="pct"/>
            <w:tcBorders>
              <w:top w:val="single" w:color="000000" w:sz="4" w:space="0"/>
              <w:left w:val="single" w:color="000000" w:sz="4" w:space="0"/>
              <w:bottom w:val="single" w:color="auto" w:sz="4" w:space="0"/>
              <w:right w:val="single" w:color="000000" w:sz="4" w:space="0"/>
            </w:tcBorders>
            <w:shd w:val="clear" w:color="auto" w:fill="auto"/>
            <w:vAlign w:val="center"/>
          </w:tcPr>
          <w:p w14:paraId="56B5EC75">
            <w:pPr>
              <w:widowControl/>
              <w:numPr>
                <w:ilvl w:val="0"/>
                <w:numId w:val="14"/>
              </w:numPr>
              <w:spacing w:line="320" w:lineRule="exact"/>
              <w:ind w:firstLine="0" w:firstLineChars="0"/>
              <w:jc w:val="left"/>
              <w:textAlignment w:val="center"/>
              <w:rPr>
                <w:rFonts w:cs="Times New Roman"/>
                <w:sz w:val="24"/>
                <w:szCs w:val="24"/>
              </w:rPr>
            </w:pPr>
            <w:r>
              <w:rPr>
                <w:rFonts w:cs="Times New Roman"/>
                <w:kern w:val="0"/>
                <w:sz w:val="24"/>
                <w:szCs w:val="24"/>
                <w:lang w:bidi="ar"/>
              </w:rPr>
              <w:t>项目具有2个（含）以上显著社会效益的，得10分；</w:t>
            </w:r>
          </w:p>
          <w:p w14:paraId="7B98B66D">
            <w:pPr>
              <w:widowControl/>
              <w:numPr>
                <w:ilvl w:val="0"/>
                <w:numId w:val="14"/>
              </w:numPr>
              <w:spacing w:line="320" w:lineRule="exact"/>
              <w:ind w:firstLine="0" w:firstLineChars="0"/>
              <w:jc w:val="left"/>
              <w:textAlignment w:val="center"/>
              <w:rPr>
                <w:rFonts w:cs="Times New Roman"/>
                <w:sz w:val="24"/>
                <w:szCs w:val="24"/>
              </w:rPr>
            </w:pPr>
            <w:r>
              <w:rPr>
                <w:rFonts w:cs="Times New Roman"/>
                <w:kern w:val="0"/>
                <w:sz w:val="24"/>
                <w:szCs w:val="24"/>
                <w:lang w:bidi="ar"/>
              </w:rPr>
              <w:t>项目具有1个显著社会效益的，得5分；</w:t>
            </w:r>
          </w:p>
          <w:p w14:paraId="5057E9B9">
            <w:pPr>
              <w:widowControl/>
              <w:numPr>
                <w:ilvl w:val="0"/>
                <w:numId w:val="14"/>
              </w:numPr>
              <w:spacing w:line="320" w:lineRule="exact"/>
              <w:ind w:firstLine="0" w:firstLineChars="0"/>
              <w:jc w:val="left"/>
              <w:textAlignment w:val="center"/>
              <w:rPr>
                <w:rFonts w:cs="Times New Roman"/>
                <w:sz w:val="24"/>
                <w:szCs w:val="24"/>
              </w:rPr>
            </w:pPr>
            <w:r>
              <w:rPr>
                <w:rFonts w:cs="Times New Roman"/>
                <w:kern w:val="0"/>
                <w:sz w:val="24"/>
                <w:szCs w:val="24"/>
                <w:lang w:bidi="ar"/>
              </w:rPr>
              <w:t>项目不产生社会效益的，得0分。</w:t>
            </w:r>
          </w:p>
        </w:tc>
      </w:tr>
      <w:tr w14:paraId="571BCEE5">
        <w:tblPrEx>
          <w:tblCellMar>
            <w:top w:w="0" w:type="dxa"/>
            <w:left w:w="108" w:type="dxa"/>
            <w:bottom w:w="0" w:type="dxa"/>
            <w:right w:w="108" w:type="dxa"/>
          </w:tblCellMar>
        </w:tblPrEx>
        <w:trPr>
          <w:trHeight w:val="1860" w:hRule="atLeast"/>
        </w:trPr>
        <w:tc>
          <w:tcPr>
            <w:tcW w:w="4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E75E31">
            <w:pPr>
              <w:spacing w:line="320" w:lineRule="exact"/>
              <w:ind w:firstLine="0" w:firstLineChars="0"/>
              <w:jc w:val="center"/>
              <w:rPr>
                <w:rFonts w:cs="Times New Roman"/>
                <w:sz w:val="24"/>
                <w:szCs w:val="24"/>
              </w:rPr>
            </w:pP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112470">
            <w:pPr>
              <w:widowControl/>
              <w:spacing w:line="320" w:lineRule="exact"/>
              <w:ind w:firstLine="0" w:firstLineChars="0"/>
              <w:jc w:val="center"/>
              <w:textAlignment w:val="center"/>
              <w:rPr>
                <w:rFonts w:cs="Times New Roman"/>
                <w:sz w:val="24"/>
                <w:szCs w:val="24"/>
              </w:rPr>
            </w:pPr>
            <w:r>
              <w:rPr>
                <w:rFonts w:cs="Times New Roman"/>
                <w:kern w:val="0"/>
                <w:sz w:val="24"/>
                <w:szCs w:val="24"/>
                <w:lang w:bidi="ar"/>
              </w:rPr>
              <w:t>Ⅰ/Ⅱ类项目</w:t>
            </w: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C2BA16">
            <w:pPr>
              <w:widowControl/>
              <w:spacing w:line="320" w:lineRule="exact"/>
              <w:ind w:firstLine="0" w:firstLineChars="0"/>
              <w:jc w:val="center"/>
              <w:textAlignment w:val="center"/>
              <w:rPr>
                <w:rFonts w:cs="Times New Roman"/>
                <w:kern w:val="0"/>
                <w:sz w:val="24"/>
                <w:szCs w:val="24"/>
                <w:lang w:bidi="ar"/>
              </w:rPr>
            </w:pPr>
            <w:r>
              <w:rPr>
                <w:rFonts w:cs="Times New Roman"/>
                <w:kern w:val="0"/>
                <w:sz w:val="24"/>
                <w:szCs w:val="24"/>
                <w:lang w:bidi="ar"/>
              </w:rPr>
              <w:t>环境协同效益</w:t>
            </w:r>
          </w:p>
          <w:p w14:paraId="068F59C1">
            <w:pPr>
              <w:widowControl/>
              <w:spacing w:line="320" w:lineRule="exact"/>
              <w:ind w:firstLine="0" w:firstLineChars="0"/>
              <w:jc w:val="center"/>
              <w:textAlignment w:val="center"/>
              <w:rPr>
                <w:rFonts w:cs="Times New Roman"/>
                <w:sz w:val="24"/>
                <w:szCs w:val="24"/>
              </w:rPr>
            </w:pPr>
            <w:r>
              <w:rPr>
                <w:rFonts w:hint="eastAsia" w:cs="Times New Roman"/>
                <w:kern w:val="0"/>
                <w:sz w:val="24"/>
                <w:szCs w:val="24"/>
                <w:lang w:bidi="ar"/>
              </w:rPr>
              <w:t>（10分）</w:t>
            </w:r>
          </w:p>
        </w:tc>
        <w:tc>
          <w:tcPr>
            <w:tcW w:w="891" w:type="pct"/>
            <w:tcBorders>
              <w:top w:val="single" w:color="000000" w:sz="4" w:space="0"/>
              <w:left w:val="single" w:color="000000" w:sz="4" w:space="0"/>
              <w:bottom w:val="single" w:color="000000" w:sz="4" w:space="0"/>
              <w:right w:val="single" w:color="auto" w:sz="4" w:space="0"/>
            </w:tcBorders>
            <w:shd w:val="clear" w:color="auto" w:fill="auto"/>
            <w:vAlign w:val="center"/>
          </w:tcPr>
          <w:p w14:paraId="6C569908">
            <w:pPr>
              <w:widowControl/>
              <w:spacing w:line="320" w:lineRule="exact"/>
              <w:ind w:firstLine="0" w:firstLineChars="0"/>
              <w:textAlignment w:val="center"/>
              <w:rPr>
                <w:rFonts w:cs="Times New Roman"/>
                <w:sz w:val="24"/>
                <w:szCs w:val="24"/>
              </w:rPr>
            </w:pPr>
            <w:r>
              <w:rPr>
                <w:rFonts w:cs="Times New Roman"/>
                <w:kern w:val="0"/>
                <w:sz w:val="24"/>
                <w:szCs w:val="24"/>
                <w:lang w:bidi="ar"/>
              </w:rPr>
              <w:t>项目对提高空气、水和土壤质量，促进生物多样性等方面具有协同效益。</w:t>
            </w:r>
          </w:p>
        </w:tc>
        <w:tc>
          <w:tcPr>
            <w:tcW w:w="838" w:type="pct"/>
            <w:tcBorders>
              <w:top w:val="single" w:color="auto" w:sz="4" w:space="0"/>
              <w:left w:val="single" w:color="auto" w:sz="4" w:space="0"/>
              <w:bottom w:val="single" w:color="auto" w:sz="4" w:space="0"/>
              <w:right w:val="single" w:color="auto" w:sz="4" w:space="0"/>
            </w:tcBorders>
            <w:shd w:val="clear" w:color="auto" w:fill="auto"/>
            <w:vAlign w:val="center"/>
          </w:tcPr>
          <w:p w14:paraId="58CE6583">
            <w:pPr>
              <w:widowControl/>
              <w:spacing w:line="320" w:lineRule="exact"/>
              <w:ind w:firstLine="0" w:firstLineChars="0"/>
              <w:textAlignment w:val="center"/>
              <w:rPr>
                <w:rFonts w:cs="Times New Roman"/>
                <w:sz w:val="24"/>
                <w:szCs w:val="24"/>
              </w:rPr>
            </w:pPr>
            <w:r>
              <w:rPr>
                <w:rFonts w:cs="Times New Roman"/>
                <w:kern w:val="0"/>
                <w:sz w:val="24"/>
                <w:szCs w:val="24"/>
                <w:lang w:bidi="ar"/>
              </w:rPr>
              <w:t>项目可行性研究报告、初步设计报告、实施方案</w:t>
            </w:r>
            <w:r>
              <w:rPr>
                <w:rFonts w:hint="eastAsia" w:cs="Times New Roman"/>
                <w:kern w:val="0"/>
                <w:sz w:val="24"/>
                <w:szCs w:val="24"/>
                <w:lang w:bidi="ar"/>
              </w:rPr>
              <w:t>或其他</w:t>
            </w:r>
            <w:r>
              <w:rPr>
                <w:rFonts w:cs="Times New Roman"/>
                <w:kern w:val="0"/>
                <w:sz w:val="24"/>
                <w:szCs w:val="24"/>
                <w:lang w:bidi="ar"/>
              </w:rPr>
              <w:t>相关证明材料</w:t>
            </w:r>
            <w:r>
              <w:rPr>
                <w:rFonts w:hint="eastAsia" w:cs="Times New Roman"/>
                <w:kern w:val="0"/>
                <w:sz w:val="24"/>
                <w:szCs w:val="24"/>
                <w:lang w:bidi="ar"/>
              </w:rPr>
              <w:t>（*，至少提供其中之一）</w:t>
            </w:r>
          </w:p>
        </w:tc>
        <w:tc>
          <w:tcPr>
            <w:tcW w:w="1931" w:type="pct"/>
            <w:tcBorders>
              <w:top w:val="single" w:color="auto" w:sz="4" w:space="0"/>
              <w:left w:val="single" w:color="auto" w:sz="4" w:space="0"/>
              <w:bottom w:val="single" w:color="auto" w:sz="4" w:space="0"/>
              <w:right w:val="single" w:color="auto" w:sz="4" w:space="0"/>
            </w:tcBorders>
            <w:shd w:val="clear" w:color="auto" w:fill="auto"/>
            <w:vAlign w:val="center"/>
          </w:tcPr>
          <w:p w14:paraId="40DF334F">
            <w:pPr>
              <w:widowControl/>
              <w:numPr>
                <w:ilvl w:val="0"/>
                <w:numId w:val="15"/>
              </w:numPr>
              <w:spacing w:line="320" w:lineRule="exact"/>
              <w:ind w:firstLine="0" w:firstLineChars="0"/>
              <w:jc w:val="left"/>
              <w:textAlignment w:val="center"/>
              <w:rPr>
                <w:rFonts w:cs="Times New Roman"/>
                <w:sz w:val="24"/>
                <w:szCs w:val="24"/>
              </w:rPr>
            </w:pPr>
            <w:r>
              <w:rPr>
                <w:rFonts w:cs="Times New Roman"/>
                <w:kern w:val="0"/>
                <w:sz w:val="24"/>
                <w:szCs w:val="24"/>
                <w:lang w:bidi="ar"/>
              </w:rPr>
              <w:t>项目具有2个（含）以上显著环境协同效益的，得10分；</w:t>
            </w:r>
          </w:p>
          <w:p w14:paraId="7AD40D1C">
            <w:pPr>
              <w:widowControl/>
              <w:numPr>
                <w:ilvl w:val="0"/>
                <w:numId w:val="15"/>
              </w:numPr>
              <w:spacing w:line="320" w:lineRule="exact"/>
              <w:ind w:firstLine="0" w:firstLineChars="0"/>
              <w:jc w:val="left"/>
              <w:textAlignment w:val="center"/>
              <w:rPr>
                <w:rFonts w:cs="Times New Roman"/>
                <w:sz w:val="24"/>
                <w:szCs w:val="24"/>
              </w:rPr>
            </w:pPr>
            <w:r>
              <w:rPr>
                <w:rFonts w:cs="Times New Roman"/>
                <w:kern w:val="0"/>
                <w:sz w:val="24"/>
                <w:szCs w:val="24"/>
                <w:lang w:bidi="ar"/>
              </w:rPr>
              <w:t>项目具有1个显著环境协同效益的，得5分；</w:t>
            </w:r>
          </w:p>
          <w:p w14:paraId="7550EDBF">
            <w:pPr>
              <w:widowControl/>
              <w:numPr>
                <w:ilvl w:val="0"/>
                <w:numId w:val="15"/>
              </w:numPr>
              <w:spacing w:line="320" w:lineRule="exact"/>
              <w:ind w:firstLine="0" w:firstLineChars="0"/>
              <w:jc w:val="left"/>
              <w:textAlignment w:val="center"/>
              <w:rPr>
                <w:rFonts w:cs="Times New Roman"/>
                <w:sz w:val="24"/>
                <w:szCs w:val="24"/>
              </w:rPr>
            </w:pPr>
            <w:r>
              <w:rPr>
                <w:rFonts w:cs="Times New Roman"/>
                <w:kern w:val="0"/>
                <w:sz w:val="24"/>
                <w:szCs w:val="24"/>
                <w:lang w:bidi="ar"/>
              </w:rPr>
              <w:t>项目不产生环境协同效益的，得0分。</w:t>
            </w:r>
          </w:p>
        </w:tc>
      </w:tr>
    </w:tbl>
    <w:p w14:paraId="31319C83">
      <w:pPr>
        <w:spacing w:line="240" w:lineRule="auto"/>
        <w:ind w:firstLine="480"/>
        <w:rPr>
          <w:rFonts w:cs="Times New Roman"/>
          <w:kern w:val="44"/>
          <w:sz w:val="24"/>
          <w:szCs w:val="24"/>
        </w:rPr>
      </w:pPr>
      <w:r>
        <w:rPr>
          <w:rFonts w:cs="Times New Roman"/>
          <w:kern w:val="44"/>
          <w:sz w:val="24"/>
          <w:szCs w:val="24"/>
        </w:rPr>
        <w:t>注：</w:t>
      </w:r>
    </w:p>
    <w:p w14:paraId="487D1B3C">
      <w:pPr>
        <w:numPr>
          <w:ilvl w:val="0"/>
          <w:numId w:val="16"/>
        </w:numPr>
        <w:spacing w:line="240" w:lineRule="auto"/>
        <w:ind w:firstLine="480"/>
        <w:rPr>
          <w:rFonts w:cs="Times New Roman"/>
          <w:kern w:val="44"/>
          <w:sz w:val="24"/>
          <w:szCs w:val="24"/>
        </w:rPr>
      </w:pPr>
      <w:r>
        <w:rPr>
          <w:rFonts w:cs="Times New Roman"/>
          <w:kern w:val="44"/>
          <w:sz w:val="24"/>
          <w:szCs w:val="24"/>
        </w:rPr>
        <w:t>Ⅰ类项目为碳减排量无法测量，但却是密云区碳减排进程中不可缺少的重要环节的项目。</w:t>
      </w:r>
    </w:p>
    <w:p w14:paraId="018FAB92">
      <w:pPr>
        <w:numPr>
          <w:ilvl w:val="0"/>
          <w:numId w:val="16"/>
        </w:numPr>
        <w:spacing w:line="240" w:lineRule="auto"/>
        <w:ind w:firstLine="480"/>
        <w:rPr>
          <w:rFonts w:cs="Times New Roman"/>
          <w:kern w:val="44"/>
          <w:sz w:val="24"/>
          <w:szCs w:val="24"/>
        </w:rPr>
      </w:pPr>
      <w:r>
        <w:rPr>
          <w:rFonts w:cs="Times New Roman"/>
          <w:kern w:val="44"/>
          <w:sz w:val="24"/>
          <w:szCs w:val="24"/>
        </w:rPr>
        <w:t>Ⅱ类项目为碳减排量可测量的项目。</w:t>
      </w:r>
    </w:p>
    <w:p w14:paraId="0CF37C31">
      <w:pPr>
        <w:numPr>
          <w:ilvl w:val="0"/>
          <w:numId w:val="16"/>
        </w:numPr>
        <w:spacing w:line="240" w:lineRule="auto"/>
        <w:ind w:firstLine="480"/>
        <w:rPr>
          <w:rFonts w:cs="Times New Roman"/>
          <w:kern w:val="44"/>
          <w:sz w:val="24"/>
          <w:szCs w:val="24"/>
        </w:rPr>
      </w:pPr>
      <w:r>
        <w:rPr>
          <w:rFonts w:cs="Times New Roman"/>
          <w:kern w:val="44"/>
          <w:sz w:val="24"/>
          <w:szCs w:val="24"/>
        </w:rPr>
        <w:t>Ⅰ/Ⅱ项目类型为建议类型，具体类型判断可根据项目情况进行调整并说明。</w:t>
      </w:r>
    </w:p>
    <w:p w14:paraId="7BD09039">
      <w:pPr>
        <w:numPr>
          <w:ilvl w:val="0"/>
          <w:numId w:val="16"/>
        </w:numPr>
        <w:spacing w:line="240" w:lineRule="auto"/>
        <w:ind w:firstLine="480"/>
        <w:rPr>
          <w:rFonts w:cs="Times New Roman"/>
          <w:kern w:val="44"/>
          <w:sz w:val="24"/>
          <w:szCs w:val="24"/>
        </w:rPr>
      </w:pPr>
      <w:r>
        <w:rPr>
          <w:rFonts w:cs="Times New Roman"/>
          <w:kern w:val="44"/>
          <w:sz w:val="24"/>
          <w:szCs w:val="24"/>
        </w:rPr>
        <w:t>标（*）的为</w:t>
      </w:r>
      <w:r>
        <w:rPr>
          <w:rFonts w:hint="eastAsia" w:cs="Times New Roman"/>
          <w:kern w:val="44"/>
          <w:sz w:val="24"/>
          <w:szCs w:val="24"/>
        </w:rPr>
        <w:t>必须提交</w:t>
      </w:r>
      <w:r>
        <w:rPr>
          <w:rFonts w:cs="Times New Roman"/>
          <w:kern w:val="44"/>
          <w:sz w:val="24"/>
          <w:szCs w:val="24"/>
        </w:rPr>
        <w:t>材料。</w:t>
      </w:r>
    </w:p>
    <w:p w14:paraId="54BE4D53">
      <w:pPr>
        <w:ind w:firstLine="480"/>
        <w:rPr>
          <w:rFonts w:cs="Times New Roman"/>
          <w:kern w:val="44"/>
          <w:sz w:val="24"/>
          <w:szCs w:val="24"/>
        </w:rPr>
        <w:sectPr>
          <w:pgSz w:w="16838" w:h="11906" w:orient="landscape"/>
          <w:pgMar w:top="1803" w:right="1440" w:bottom="1803" w:left="1440" w:header="851" w:footer="992" w:gutter="0"/>
          <w:pgNumType w:fmt="numberInDash"/>
          <w:cols w:space="0" w:num="1"/>
          <w:docGrid w:type="lines" w:linePitch="436" w:charSpace="0"/>
        </w:sectPr>
      </w:pPr>
    </w:p>
    <w:p w14:paraId="0C4474B5">
      <w:pPr>
        <w:ind w:firstLine="643"/>
        <w:rPr>
          <w:rFonts w:hint="eastAsia" w:ascii="仿宋_GB2312" w:hAnsi="仿宋_GB2312" w:eastAsia="仿宋_GB2312" w:cs="仿宋_GB2312"/>
          <w:b/>
          <w:bCs/>
        </w:rPr>
      </w:pPr>
      <w:r>
        <w:rPr>
          <w:rFonts w:hint="eastAsia" w:ascii="仿宋_GB2312" w:hAnsi="仿宋_GB2312" w:eastAsia="仿宋_GB2312" w:cs="仿宋_GB2312"/>
          <w:b/>
          <w:bCs/>
        </w:rPr>
        <w:t>附件2-3 评分指标——适应类项目</w:t>
      </w:r>
    </w:p>
    <w:tbl>
      <w:tblPr>
        <w:tblStyle w:val="15"/>
        <w:tblW w:w="4997" w:type="pct"/>
        <w:tblInd w:w="0" w:type="dxa"/>
        <w:tblLayout w:type="fixed"/>
        <w:tblCellMar>
          <w:top w:w="0" w:type="dxa"/>
          <w:left w:w="108" w:type="dxa"/>
          <w:bottom w:w="0" w:type="dxa"/>
          <w:right w:w="108" w:type="dxa"/>
        </w:tblCellMar>
      </w:tblPr>
      <w:tblGrid>
        <w:gridCol w:w="1180"/>
        <w:gridCol w:w="1995"/>
        <w:gridCol w:w="3949"/>
        <w:gridCol w:w="2532"/>
        <w:gridCol w:w="4510"/>
      </w:tblGrid>
      <w:tr w14:paraId="12BE463C">
        <w:tblPrEx>
          <w:tblCellMar>
            <w:top w:w="0" w:type="dxa"/>
            <w:left w:w="108" w:type="dxa"/>
            <w:bottom w:w="0" w:type="dxa"/>
            <w:right w:w="108" w:type="dxa"/>
          </w:tblCellMar>
        </w:tblPrEx>
        <w:trPr>
          <w:trHeight w:val="300" w:hRule="atLeast"/>
        </w:trPr>
        <w:tc>
          <w:tcPr>
            <w:tcW w:w="251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75EF9">
            <w:pPr>
              <w:widowControl/>
              <w:spacing w:line="240" w:lineRule="auto"/>
              <w:ind w:firstLine="0" w:firstLineChars="0"/>
              <w:jc w:val="center"/>
              <w:textAlignment w:val="center"/>
              <w:rPr>
                <w:rFonts w:cs="Times New Roman"/>
                <w:b/>
                <w:bCs/>
                <w:sz w:val="24"/>
                <w:szCs w:val="24"/>
              </w:rPr>
            </w:pPr>
            <w:r>
              <w:rPr>
                <w:rFonts w:cs="Times New Roman"/>
                <w:b/>
                <w:bCs/>
                <w:kern w:val="0"/>
                <w:sz w:val="24"/>
                <w:szCs w:val="24"/>
                <w:lang w:bidi="ar"/>
              </w:rPr>
              <w:t>评分体系</w:t>
            </w:r>
          </w:p>
        </w:tc>
        <w:tc>
          <w:tcPr>
            <w:tcW w:w="89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5A87E8">
            <w:pPr>
              <w:widowControl/>
              <w:spacing w:line="240" w:lineRule="auto"/>
              <w:ind w:firstLine="0" w:firstLineChars="0"/>
              <w:jc w:val="center"/>
              <w:textAlignment w:val="center"/>
              <w:rPr>
                <w:rFonts w:cs="Times New Roman"/>
                <w:b/>
                <w:bCs/>
                <w:sz w:val="24"/>
                <w:szCs w:val="24"/>
              </w:rPr>
            </w:pPr>
            <w:r>
              <w:rPr>
                <w:rFonts w:cs="Times New Roman"/>
                <w:b/>
                <w:bCs/>
                <w:kern w:val="0"/>
                <w:sz w:val="24"/>
                <w:szCs w:val="24"/>
                <w:lang w:bidi="ar"/>
              </w:rPr>
              <w:t>评价参考资料</w:t>
            </w:r>
          </w:p>
        </w:tc>
        <w:tc>
          <w:tcPr>
            <w:tcW w:w="159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D557E1">
            <w:pPr>
              <w:widowControl/>
              <w:spacing w:line="240" w:lineRule="auto"/>
              <w:ind w:firstLine="0" w:firstLineChars="0"/>
              <w:jc w:val="center"/>
              <w:textAlignment w:val="center"/>
              <w:rPr>
                <w:rFonts w:cs="Times New Roman"/>
                <w:b/>
                <w:bCs/>
                <w:sz w:val="24"/>
                <w:szCs w:val="24"/>
              </w:rPr>
            </w:pPr>
            <w:r>
              <w:rPr>
                <w:rFonts w:cs="Times New Roman"/>
                <w:b/>
                <w:bCs/>
                <w:kern w:val="0"/>
                <w:sz w:val="24"/>
                <w:szCs w:val="24"/>
                <w:lang w:bidi="ar"/>
              </w:rPr>
              <w:t>评价标准</w:t>
            </w:r>
          </w:p>
        </w:tc>
      </w:tr>
      <w:tr w14:paraId="163463B7">
        <w:tblPrEx>
          <w:tblCellMar>
            <w:top w:w="0" w:type="dxa"/>
            <w:left w:w="108" w:type="dxa"/>
            <w:bottom w:w="0" w:type="dxa"/>
            <w:right w:w="108" w:type="dxa"/>
          </w:tblCellMar>
        </w:tblPrEx>
        <w:trPr>
          <w:trHeight w:val="300" w:hRule="atLeast"/>
        </w:trPr>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90533">
            <w:pPr>
              <w:widowControl/>
              <w:spacing w:line="320" w:lineRule="exact"/>
              <w:ind w:firstLine="0" w:firstLineChars="0"/>
              <w:jc w:val="center"/>
              <w:textAlignment w:val="center"/>
              <w:rPr>
                <w:rFonts w:cs="Times New Roman"/>
                <w:b/>
                <w:bCs/>
                <w:sz w:val="24"/>
                <w:szCs w:val="24"/>
              </w:rPr>
            </w:pPr>
            <w:r>
              <w:rPr>
                <w:rFonts w:cs="Times New Roman"/>
                <w:b/>
                <w:bCs/>
                <w:kern w:val="0"/>
                <w:sz w:val="24"/>
                <w:szCs w:val="24"/>
                <w:lang w:bidi="ar"/>
              </w:rPr>
              <w:t>一级指标</w:t>
            </w:r>
          </w:p>
        </w:tc>
        <w:tc>
          <w:tcPr>
            <w:tcW w:w="7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AEAF9A">
            <w:pPr>
              <w:widowControl/>
              <w:spacing w:line="320" w:lineRule="exact"/>
              <w:ind w:firstLine="0" w:firstLineChars="0"/>
              <w:jc w:val="center"/>
              <w:textAlignment w:val="center"/>
              <w:rPr>
                <w:rFonts w:cs="Times New Roman"/>
                <w:b/>
                <w:bCs/>
                <w:sz w:val="24"/>
                <w:szCs w:val="24"/>
              </w:rPr>
            </w:pPr>
            <w:r>
              <w:rPr>
                <w:rFonts w:cs="Times New Roman"/>
                <w:b/>
                <w:bCs/>
                <w:kern w:val="0"/>
                <w:sz w:val="24"/>
                <w:szCs w:val="24"/>
                <w:lang w:bidi="ar"/>
              </w:rPr>
              <w:t>二级指标</w:t>
            </w:r>
          </w:p>
        </w:tc>
        <w:tc>
          <w:tcPr>
            <w:tcW w:w="1392" w:type="pct"/>
            <w:tcBorders>
              <w:top w:val="single" w:color="000000" w:sz="4" w:space="0"/>
              <w:left w:val="single" w:color="000000" w:sz="4" w:space="0"/>
              <w:bottom w:val="single" w:color="000000" w:sz="4" w:space="0"/>
              <w:right w:val="nil"/>
            </w:tcBorders>
            <w:shd w:val="clear" w:color="auto" w:fill="auto"/>
            <w:vAlign w:val="center"/>
          </w:tcPr>
          <w:p w14:paraId="4E8E5301">
            <w:pPr>
              <w:widowControl/>
              <w:spacing w:line="320" w:lineRule="exact"/>
              <w:ind w:firstLine="0" w:firstLineChars="0"/>
              <w:jc w:val="center"/>
              <w:textAlignment w:val="center"/>
              <w:rPr>
                <w:rFonts w:cs="Times New Roman"/>
                <w:b/>
                <w:bCs/>
                <w:sz w:val="24"/>
                <w:szCs w:val="24"/>
              </w:rPr>
            </w:pPr>
            <w:r>
              <w:rPr>
                <w:rFonts w:cs="Times New Roman"/>
                <w:b/>
                <w:bCs/>
                <w:kern w:val="0"/>
                <w:sz w:val="24"/>
                <w:szCs w:val="24"/>
                <w:lang w:bidi="ar"/>
              </w:rPr>
              <w:t>二级指标说明</w:t>
            </w:r>
          </w:p>
        </w:tc>
        <w:tc>
          <w:tcPr>
            <w:tcW w:w="89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CBBE86">
            <w:pPr>
              <w:spacing w:line="320" w:lineRule="exact"/>
              <w:ind w:firstLine="0" w:firstLineChars="0"/>
              <w:jc w:val="center"/>
              <w:rPr>
                <w:rFonts w:cs="Times New Roman"/>
                <w:b/>
                <w:bCs/>
                <w:sz w:val="24"/>
                <w:szCs w:val="24"/>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7237F5">
            <w:pPr>
              <w:spacing w:line="320" w:lineRule="exact"/>
              <w:ind w:firstLine="0" w:firstLineChars="0"/>
              <w:jc w:val="center"/>
              <w:rPr>
                <w:rFonts w:cs="Times New Roman"/>
                <w:b/>
                <w:bCs/>
                <w:sz w:val="24"/>
                <w:szCs w:val="24"/>
              </w:rPr>
            </w:pPr>
          </w:p>
        </w:tc>
      </w:tr>
      <w:tr w14:paraId="3557698F">
        <w:tblPrEx>
          <w:tblCellMar>
            <w:top w:w="0" w:type="dxa"/>
            <w:left w:w="108" w:type="dxa"/>
            <w:bottom w:w="0" w:type="dxa"/>
            <w:right w:w="108" w:type="dxa"/>
          </w:tblCellMar>
        </w:tblPrEx>
        <w:trPr>
          <w:trHeight w:val="1626" w:hRule="atLeast"/>
        </w:trPr>
        <w:tc>
          <w:tcPr>
            <w:tcW w:w="416" w:type="pct"/>
            <w:tcBorders>
              <w:top w:val="single" w:color="000000" w:sz="4" w:space="0"/>
              <w:left w:val="single" w:color="000000" w:sz="4" w:space="0"/>
              <w:bottom w:val="single" w:color="auto" w:sz="4" w:space="0"/>
              <w:right w:val="single" w:color="000000" w:sz="4" w:space="0"/>
            </w:tcBorders>
            <w:shd w:val="clear" w:color="auto" w:fill="auto"/>
            <w:vAlign w:val="center"/>
          </w:tcPr>
          <w:p w14:paraId="607EB345">
            <w:pPr>
              <w:widowControl/>
              <w:spacing w:line="320" w:lineRule="exact"/>
              <w:ind w:firstLine="0" w:firstLineChars="0"/>
              <w:jc w:val="center"/>
              <w:textAlignment w:val="center"/>
              <w:rPr>
                <w:rFonts w:cs="Times New Roman"/>
                <w:sz w:val="24"/>
                <w:szCs w:val="24"/>
              </w:rPr>
            </w:pPr>
            <w:r>
              <w:rPr>
                <w:rFonts w:cs="Times New Roman"/>
                <w:kern w:val="0"/>
                <w:sz w:val="24"/>
                <w:szCs w:val="24"/>
                <w:lang w:bidi="ar"/>
              </w:rPr>
              <w:t>约束指标</w:t>
            </w:r>
            <w:r>
              <w:rPr>
                <w:rFonts w:hint="eastAsia" w:cs="Times New Roman"/>
                <w:kern w:val="0"/>
                <w:sz w:val="24"/>
                <w:szCs w:val="24"/>
                <w:lang w:bidi="ar"/>
              </w:rPr>
              <w:t>（40分）</w:t>
            </w:r>
          </w:p>
        </w:tc>
        <w:tc>
          <w:tcPr>
            <w:tcW w:w="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A0E7A">
            <w:pPr>
              <w:widowControl/>
              <w:spacing w:line="320" w:lineRule="exact"/>
              <w:ind w:firstLine="0" w:firstLineChars="0"/>
              <w:jc w:val="center"/>
              <w:textAlignment w:val="center"/>
              <w:rPr>
                <w:rFonts w:cs="Times New Roman"/>
                <w:sz w:val="24"/>
                <w:szCs w:val="24"/>
              </w:rPr>
            </w:pPr>
            <w:r>
              <w:rPr>
                <w:rFonts w:cs="Times New Roman"/>
                <w:kern w:val="0"/>
                <w:sz w:val="24"/>
                <w:szCs w:val="24"/>
                <w:lang w:bidi="ar"/>
              </w:rPr>
              <w:t>约束指标符合性</w:t>
            </w:r>
            <w:r>
              <w:rPr>
                <w:rFonts w:hint="eastAsia" w:cs="Times New Roman"/>
                <w:kern w:val="0"/>
                <w:sz w:val="24"/>
                <w:szCs w:val="24"/>
                <w:lang w:bidi="ar"/>
              </w:rPr>
              <w:t>（40分）</w:t>
            </w:r>
          </w:p>
        </w:tc>
        <w:tc>
          <w:tcPr>
            <w:tcW w:w="1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7EE216">
            <w:pPr>
              <w:widowControl/>
              <w:spacing w:line="320" w:lineRule="exact"/>
              <w:ind w:firstLine="0" w:firstLineChars="0"/>
              <w:textAlignment w:val="center"/>
              <w:rPr>
                <w:rFonts w:cs="Times New Roman"/>
                <w:sz w:val="24"/>
                <w:szCs w:val="24"/>
              </w:rPr>
            </w:pPr>
            <w:r>
              <w:rPr>
                <w:rFonts w:cs="Times New Roman"/>
                <w:kern w:val="0"/>
                <w:sz w:val="24"/>
                <w:szCs w:val="24"/>
                <w:lang w:bidi="ar"/>
              </w:rPr>
              <w:t>项目应通过所有约束指标评价。</w:t>
            </w:r>
          </w:p>
        </w:tc>
        <w:tc>
          <w:tcPr>
            <w:tcW w:w="8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B31255">
            <w:pPr>
              <w:widowControl/>
              <w:spacing w:line="320" w:lineRule="exact"/>
              <w:ind w:firstLine="0" w:firstLineChars="0"/>
              <w:textAlignment w:val="center"/>
              <w:rPr>
                <w:rFonts w:cs="Times New Roman"/>
                <w:sz w:val="24"/>
                <w:szCs w:val="24"/>
              </w:rPr>
            </w:pPr>
            <w:r>
              <w:rPr>
                <w:rFonts w:cs="Times New Roman"/>
                <w:kern w:val="0"/>
                <w:sz w:val="24"/>
                <w:szCs w:val="24"/>
                <w:lang w:bidi="ar"/>
              </w:rPr>
              <w:t>见附件1-1 约束指标评价参考资料</w:t>
            </w:r>
          </w:p>
        </w:tc>
        <w:tc>
          <w:tcPr>
            <w:tcW w:w="1591" w:type="pct"/>
            <w:tcBorders>
              <w:top w:val="nil"/>
              <w:left w:val="single" w:color="000000" w:sz="4" w:space="0"/>
              <w:bottom w:val="single" w:color="000000" w:sz="4" w:space="0"/>
              <w:right w:val="single" w:color="000000" w:sz="4" w:space="0"/>
            </w:tcBorders>
            <w:shd w:val="clear" w:color="auto" w:fill="auto"/>
            <w:vAlign w:val="center"/>
          </w:tcPr>
          <w:p w14:paraId="1033F3CE">
            <w:pPr>
              <w:widowControl/>
              <w:numPr>
                <w:ilvl w:val="0"/>
                <w:numId w:val="17"/>
              </w:numPr>
              <w:spacing w:line="320" w:lineRule="exact"/>
              <w:ind w:firstLine="0" w:firstLineChars="0"/>
              <w:jc w:val="left"/>
              <w:textAlignment w:val="center"/>
              <w:rPr>
                <w:rFonts w:cs="Times New Roman"/>
                <w:sz w:val="24"/>
                <w:szCs w:val="24"/>
              </w:rPr>
            </w:pPr>
            <w:r>
              <w:rPr>
                <w:rFonts w:cs="Times New Roman"/>
                <w:kern w:val="0"/>
                <w:sz w:val="24"/>
                <w:szCs w:val="24"/>
                <w:lang w:bidi="ar"/>
              </w:rPr>
              <w:t>项目通过所有约束指标评价，得40分；</w:t>
            </w:r>
          </w:p>
          <w:p w14:paraId="3A2724B9">
            <w:pPr>
              <w:widowControl/>
              <w:numPr>
                <w:ilvl w:val="0"/>
                <w:numId w:val="17"/>
              </w:numPr>
              <w:spacing w:line="320" w:lineRule="exact"/>
              <w:ind w:firstLine="0" w:firstLineChars="0"/>
              <w:jc w:val="left"/>
              <w:textAlignment w:val="center"/>
              <w:rPr>
                <w:rFonts w:cs="Times New Roman"/>
                <w:sz w:val="24"/>
                <w:szCs w:val="24"/>
              </w:rPr>
            </w:pPr>
            <w:r>
              <w:rPr>
                <w:rFonts w:cs="Times New Roman"/>
                <w:kern w:val="0"/>
                <w:sz w:val="24"/>
                <w:szCs w:val="24"/>
                <w:lang w:bidi="ar"/>
              </w:rPr>
              <w:t>项目任一约束指标不符合，不得入库。</w:t>
            </w:r>
          </w:p>
        </w:tc>
      </w:tr>
      <w:tr w14:paraId="1CD0F1A2">
        <w:tblPrEx>
          <w:tblCellMar>
            <w:top w:w="0" w:type="dxa"/>
            <w:left w:w="108" w:type="dxa"/>
            <w:bottom w:w="0" w:type="dxa"/>
            <w:right w:w="108" w:type="dxa"/>
          </w:tblCellMar>
        </w:tblPrEx>
        <w:trPr>
          <w:trHeight w:val="1589" w:hRule="atLeast"/>
        </w:trPr>
        <w:tc>
          <w:tcPr>
            <w:tcW w:w="41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89DC6FA">
            <w:pPr>
              <w:widowControl/>
              <w:spacing w:line="320" w:lineRule="exact"/>
              <w:ind w:firstLine="0" w:firstLineChars="0"/>
              <w:jc w:val="center"/>
              <w:textAlignment w:val="center"/>
              <w:rPr>
                <w:rFonts w:cs="Times New Roman"/>
                <w:kern w:val="0"/>
                <w:sz w:val="24"/>
                <w:szCs w:val="24"/>
                <w:lang w:bidi="ar"/>
              </w:rPr>
            </w:pPr>
          </w:p>
          <w:p w14:paraId="59439997">
            <w:pPr>
              <w:widowControl/>
              <w:spacing w:line="320" w:lineRule="exact"/>
              <w:ind w:firstLine="0" w:firstLineChars="0"/>
              <w:jc w:val="center"/>
              <w:textAlignment w:val="center"/>
              <w:rPr>
                <w:rFonts w:cs="Times New Roman"/>
                <w:kern w:val="0"/>
                <w:sz w:val="24"/>
                <w:szCs w:val="24"/>
                <w:lang w:bidi="ar"/>
              </w:rPr>
            </w:pPr>
          </w:p>
          <w:p w14:paraId="62193CD0">
            <w:pPr>
              <w:widowControl/>
              <w:spacing w:line="320" w:lineRule="exact"/>
              <w:ind w:firstLine="0" w:firstLineChars="0"/>
              <w:jc w:val="center"/>
              <w:textAlignment w:val="center"/>
              <w:rPr>
                <w:rFonts w:cs="Times New Roman"/>
                <w:kern w:val="0"/>
                <w:sz w:val="24"/>
                <w:szCs w:val="24"/>
                <w:lang w:bidi="ar"/>
              </w:rPr>
            </w:pPr>
          </w:p>
          <w:p w14:paraId="47D74AC7">
            <w:pPr>
              <w:widowControl/>
              <w:spacing w:line="320" w:lineRule="exact"/>
              <w:ind w:firstLine="0" w:firstLineChars="0"/>
              <w:jc w:val="center"/>
              <w:textAlignment w:val="center"/>
              <w:rPr>
                <w:rFonts w:cs="Times New Roman"/>
                <w:kern w:val="0"/>
                <w:sz w:val="24"/>
                <w:szCs w:val="24"/>
                <w:lang w:bidi="ar"/>
              </w:rPr>
            </w:pPr>
          </w:p>
          <w:p w14:paraId="23778A1F">
            <w:pPr>
              <w:widowControl/>
              <w:spacing w:line="320" w:lineRule="exact"/>
              <w:ind w:firstLine="0" w:firstLineChars="0"/>
              <w:jc w:val="center"/>
              <w:textAlignment w:val="center"/>
              <w:rPr>
                <w:rFonts w:cs="Times New Roman"/>
                <w:kern w:val="0"/>
                <w:sz w:val="24"/>
                <w:szCs w:val="24"/>
                <w:lang w:bidi="ar"/>
              </w:rPr>
            </w:pPr>
          </w:p>
          <w:p w14:paraId="0958D066">
            <w:pPr>
              <w:widowControl/>
              <w:spacing w:line="320" w:lineRule="exact"/>
              <w:ind w:firstLine="0" w:firstLineChars="0"/>
              <w:jc w:val="center"/>
              <w:textAlignment w:val="center"/>
              <w:rPr>
                <w:rFonts w:cs="Times New Roman"/>
                <w:sz w:val="24"/>
                <w:szCs w:val="24"/>
              </w:rPr>
            </w:pPr>
            <w:r>
              <w:rPr>
                <w:rFonts w:cs="Times New Roman"/>
                <w:kern w:val="0"/>
                <w:sz w:val="24"/>
                <w:szCs w:val="24"/>
                <w:lang w:bidi="ar"/>
              </w:rPr>
              <w:t>气候效益</w:t>
            </w:r>
            <w:r>
              <w:rPr>
                <w:rFonts w:hint="eastAsia" w:cs="Times New Roman"/>
                <w:kern w:val="0"/>
                <w:sz w:val="24"/>
                <w:szCs w:val="24"/>
                <w:lang w:bidi="ar"/>
              </w:rPr>
              <w:t>（40分）</w:t>
            </w:r>
          </w:p>
        </w:tc>
        <w:tc>
          <w:tcPr>
            <w:tcW w:w="704" w:type="pct"/>
            <w:tcBorders>
              <w:top w:val="single" w:color="000000" w:sz="4" w:space="0"/>
              <w:left w:val="single" w:color="auto" w:sz="4" w:space="0"/>
              <w:bottom w:val="single" w:color="000000" w:sz="4" w:space="0"/>
              <w:right w:val="single" w:color="000000" w:sz="4" w:space="0"/>
            </w:tcBorders>
            <w:shd w:val="clear" w:color="auto" w:fill="auto"/>
            <w:vAlign w:val="center"/>
          </w:tcPr>
          <w:p w14:paraId="3D5B5EFD">
            <w:pPr>
              <w:widowControl/>
              <w:spacing w:line="320" w:lineRule="exact"/>
              <w:ind w:firstLine="0" w:firstLineChars="0"/>
              <w:jc w:val="center"/>
              <w:textAlignment w:val="center"/>
              <w:rPr>
                <w:rFonts w:cs="Times New Roman"/>
                <w:kern w:val="0"/>
                <w:sz w:val="24"/>
                <w:szCs w:val="24"/>
                <w:lang w:bidi="ar"/>
              </w:rPr>
            </w:pPr>
            <w:r>
              <w:rPr>
                <w:rFonts w:cs="Times New Roman"/>
                <w:kern w:val="0"/>
                <w:sz w:val="24"/>
                <w:szCs w:val="24"/>
                <w:lang w:bidi="ar"/>
              </w:rPr>
              <w:t>投资规模</w:t>
            </w:r>
          </w:p>
          <w:p w14:paraId="3ADD1052">
            <w:pPr>
              <w:widowControl/>
              <w:spacing w:line="320" w:lineRule="exact"/>
              <w:ind w:firstLine="0" w:firstLineChars="0"/>
              <w:jc w:val="center"/>
              <w:textAlignment w:val="center"/>
              <w:rPr>
                <w:rFonts w:cs="Times New Roman"/>
                <w:sz w:val="24"/>
                <w:szCs w:val="24"/>
              </w:rPr>
            </w:pPr>
            <w:r>
              <w:rPr>
                <w:rFonts w:hint="eastAsia" w:cs="Times New Roman"/>
                <w:kern w:val="0"/>
                <w:sz w:val="24"/>
                <w:szCs w:val="24"/>
                <w:lang w:bidi="ar"/>
              </w:rPr>
              <w:t>（20分）</w:t>
            </w:r>
          </w:p>
        </w:tc>
        <w:tc>
          <w:tcPr>
            <w:tcW w:w="1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CBAB89">
            <w:pPr>
              <w:widowControl/>
              <w:spacing w:line="320" w:lineRule="exact"/>
              <w:ind w:firstLine="0" w:firstLineChars="0"/>
              <w:textAlignment w:val="center"/>
              <w:rPr>
                <w:rFonts w:cs="Times New Roman"/>
                <w:sz w:val="24"/>
                <w:szCs w:val="24"/>
              </w:rPr>
            </w:pPr>
            <w:r>
              <w:rPr>
                <w:rFonts w:cs="Times New Roman"/>
                <w:kern w:val="0"/>
                <w:sz w:val="24"/>
                <w:szCs w:val="24"/>
                <w:lang w:bidi="ar"/>
              </w:rPr>
              <w:t>项目具备一定的体量和规模。</w:t>
            </w:r>
          </w:p>
        </w:tc>
        <w:tc>
          <w:tcPr>
            <w:tcW w:w="8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925453">
            <w:pPr>
              <w:widowControl/>
              <w:spacing w:line="320" w:lineRule="exact"/>
              <w:ind w:firstLine="0" w:firstLineChars="0"/>
              <w:textAlignment w:val="center"/>
              <w:rPr>
                <w:rFonts w:cs="Times New Roman"/>
                <w:sz w:val="24"/>
                <w:szCs w:val="24"/>
              </w:rPr>
            </w:pPr>
            <w:r>
              <w:rPr>
                <w:rFonts w:cs="Times New Roman"/>
                <w:kern w:val="0"/>
                <w:sz w:val="24"/>
                <w:szCs w:val="24"/>
                <w:lang w:bidi="ar"/>
              </w:rPr>
              <w:t>项目可行性研究报告、初步设计报告、实施方案</w:t>
            </w:r>
            <w:r>
              <w:rPr>
                <w:rFonts w:hint="eastAsia" w:cs="Times New Roman"/>
                <w:kern w:val="0"/>
                <w:sz w:val="24"/>
                <w:szCs w:val="24"/>
                <w:lang w:bidi="ar"/>
              </w:rPr>
              <w:t>或其他</w:t>
            </w:r>
            <w:r>
              <w:rPr>
                <w:rFonts w:cs="Times New Roman"/>
                <w:kern w:val="0"/>
                <w:sz w:val="24"/>
                <w:szCs w:val="24"/>
                <w:lang w:bidi="ar"/>
              </w:rPr>
              <w:t>相关证明材料</w:t>
            </w:r>
            <w:r>
              <w:rPr>
                <w:rFonts w:hint="eastAsia" w:cs="Times New Roman"/>
                <w:kern w:val="0"/>
                <w:sz w:val="24"/>
                <w:szCs w:val="24"/>
                <w:lang w:bidi="ar"/>
              </w:rPr>
              <w:t>（*，至少提供其中之一）</w:t>
            </w:r>
          </w:p>
        </w:tc>
        <w:tc>
          <w:tcPr>
            <w:tcW w:w="15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8F85EE">
            <w:pPr>
              <w:widowControl/>
              <w:numPr>
                <w:ilvl w:val="0"/>
                <w:numId w:val="18"/>
              </w:numPr>
              <w:spacing w:line="320" w:lineRule="exact"/>
              <w:ind w:firstLine="0" w:firstLineChars="0"/>
              <w:jc w:val="left"/>
              <w:textAlignment w:val="center"/>
              <w:rPr>
                <w:rFonts w:cs="Times New Roman"/>
                <w:sz w:val="24"/>
                <w:szCs w:val="24"/>
              </w:rPr>
            </w:pPr>
            <w:r>
              <w:rPr>
                <w:rFonts w:cs="Times New Roman"/>
                <w:kern w:val="0"/>
                <w:sz w:val="24"/>
                <w:szCs w:val="24"/>
                <w:lang w:bidi="ar"/>
              </w:rPr>
              <w:t>项目投资额≥</w:t>
            </w:r>
            <w:r>
              <w:rPr>
                <w:rFonts w:hint="eastAsia" w:cs="Times New Roman"/>
                <w:kern w:val="0"/>
                <w:sz w:val="24"/>
                <w:szCs w:val="24"/>
                <w:lang w:bidi="ar"/>
              </w:rPr>
              <w:t>5</w:t>
            </w:r>
            <w:r>
              <w:rPr>
                <w:rFonts w:cs="Times New Roman"/>
                <w:kern w:val="0"/>
                <w:sz w:val="24"/>
                <w:szCs w:val="24"/>
                <w:lang w:bidi="ar"/>
              </w:rPr>
              <w:t>亿元，得</w:t>
            </w:r>
            <w:r>
              <w:rPr>
                <w:rFonts w:hint="eastAsia" w:cs="Times New Roman"/>
                <w:kern w:val="0"/>
                <w:sz w:val="24"/>
                <w:szCs w:val="24"/>
                <w:lang w:bidi="ar"/>
              </w:rPr>
              <w:t>20</w:t>
            </w:r>
            <w:r>
              <w:rPr>
                <w:rFonts w:cs="Times New Roman"/>
                <w:kern w:val="0"/>
                <w:sz w:val="24"/>
                <w:szCs w:val="24"/>
                <w:lang w:bidi="ar"/>
              </w:rPr>
              <w:t>分；</w:t>
            </w:r>
          </w:p>
          <w:p w14:paraId="26352A82">
            <w:pPr>
              <w:widowControl/>
              <w:numPr>
                <w:ilvl w:val="0"/>
                <w:numId w:val="18"/>
              </w:numPr>
              <w:spacing w:line="320" w:lineRule="exact"/>
              <w:ind w:firstLine="0" w:firstLineChars="0"/>
              <w:jc w:val="left"/>
              <w:textAlignment w:val="center"/>
              <w:rPr>
                <w:rFonts w:cs="Times New Roman"/>
                <w:sz w:val="24"/>
                <w:szCs w:val="24"/>
              </w:rPr>
            </w:pPr>
            <w:r>
              <w:rPr>
                <w:rFonts w:hint="eastAsia" w:cs="Times New Roman"/>
                <w:kern w:val="0"/>
                <w:sz w:val="24"/>
                <w:szCs w:val="24"/>
                <w:lang w:bidi="ar"/>
              </w:rPr>
              <w:t>3</w:t>
            </w:r>
            <w:r>
              <w:rPr>
                <w:rFonts w:cs="Times New Roman"/>
                <w:kern w:val="0"/>
                <w:sz w:val="24"/>
                <w:szCs w:val="24"/>
                <w:lang w:bidi="ar"/>
              </w:rPr>
              <w:t>亿元≤项目投资额＜</w:t>
            </w:r>
            <w:r>
              <w:rPr>
                <w:rFonts w:hint="eastAsia" w:cs="Times New Roman"/>
                <w:kern w:val="0"/>
                <w:sz w:val="24"/>
                <w:szCs w:val="24"/>
                <w:lang w:bidi="ar"/>
              </w:rPr>
              <w:t>5</w:t>
            </w:r>
            <w:r>
              <w:rPr>
                <w:rFonts w:cs="Times New Roman"/>
                <w:kern w:val="0"/>
                <w:sz w:val="24"/>
                <w:szCs w:val="24"/>
                <w:lang w:bidi="ar"/>
              </w:rPr>
              <w:t>亿元，得1</w:t>
            </w:r>
            <w:r>
              <w:rPr>
                <w:rFonts w:hint="eastAsia" w:cs="Times New Roman"/>
                <w:kern w:val="0"/>
                <w:sz w:val="24"/>
                <w:szCs w:val="24"/>
                <w:lang w:bidi="ar"/>
              </w:rPr>
              <w:t>5</w:t>
            </w:r>
            <w:r>
              <w:rPr>
                <w:rFonts w:cs="Times New Roman"/>
                <w:kern w:val="0"/>
                <w:sz w:val="24"/>
                <w:szCs w:val="24"/>
                <w:lang w:bidi="ar"/>
              </w:rPr>
              <w:t>分；</w:t>
            </w:r>
          </w:p>
          <w:p w14:paraId="03B5CFA7">
            <w:pPr>
              <w:widowControl/>
              <w:numPr>
                <w:ilvl w:val="0"/>
                <w:numId w:val="18"/>
              </w:numPr>
              <w:spacing w:line="320" w:lineRule="exact"/>
              <w:ind w:firstLine="0" w:firstLineChars="0"/>
              <w:jc w:val="left"/>
              <w:textAlignment w:val="center"/>
              <w:rPr>
                <w:rFonts w:cs="Times New Roman"/>
                <w:sz w:val="24"/>
                <w:szCs w:val="24"/>
              </w:rPr>
            </w:pPr>
            <w:r>
              <w:rPr>
                <w:rFonts w:cs="Times New Roman"/>
                <w:kern w:val="0"/>
                <w:sz w:val="24"/>
                <w:szCs w:val="24"/>
                <w:lang w:bidi="ar"/>
              </w:rPr>
              <w:t>1亿元≤项目投资额＜</w:t>
            </w:r>
            <w:r>
              <w:rPr>
                <w:rFonts w:hint="eastAsia" w:cs="Times New Roman"/>
                <w:kern w:val="0"/>
                <w:sz w:val="24"/>
                <w:szCs w:val="24"/>
                <w:lang w:bidi="ar"/>
              </w:rPr>
              <w:t>3</w:t>
            </w:r>
            <w:r>
              <w:rPr>
                <w:rFonts w:cs="Times New Roman"/>
                <w:kern w:val="0"/>
                <w:sz w:val="24"/>
                <w:szCs w:val="24"/>
                <w:lang w:bidi="ar"/>
              </w:rPr>
              <w:t>亿元，得10分；</w:t>
            </w:r>
          </w:p>
          <w:p w14:paraId="7B25B514">
            <w:pPr>
              <w:widowControl/>
              <w:numPr>
                <w:ilvl w:val="0"/>
                <w:numId w:val="18"/>
              </w:numPr>
              <w:spacing w:line="320" w:lineRule="exact"/>
              <w:ind w:firstLine="0" w:firstLineChars="0"/>
              <w:jc w:val="left"/>
              <w:textAlignment w:val="center"/>
              <w:rPr>
                <w:rFonts w:cs="Times New Roman"/>
                <w:sz w:val="24"/>
                <w:szCs w:val="24"/>
              </w:rPr>
            </w:pPr>
            <w:r>
              <w:rPr>
                <w:rFonts w:cs="Times New Roman"/>
                <w:kern w:val="0"/>
                <w:sz w:val="24"/>
                <w:szCs w:val="24"/>
                <w:lang w:bidi="ar"/>
              </w:rPr>
              <w:t>项目投资额＜1亿元，得5分。</w:t>
            </w:r>
          </w:p>
        </w:tc>
      </w:tr>
      <w:tr w14:paraId="50284131">
        <w:tblPrEx>
          <w:tblCellMar>
            <w:top w:w="0" w:type="dxa"/>
            <w:left w:w="108" w:type="dxa"/>
            <w:bottom w:w="0" w:type="dxa"/>
            <w:right w:w="108" w:type="dxa"/>
          </w:tblCellMar>
        </w:tblPrEx>
        <w:trPr>
          <w:trHeight w:val="3289" w:hRule="atLeast"/>
        </w:trPr>
        <w:tc>
          <w:tcPr>
            <w:tcW w:w="41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E4B4A65">
            <w:pPr>
              <w:spacing w:line="320" w:lineRule="exact"/>
              <w:ind w:firstLine="0" w:firstLineChars="0"/>
              <w:jc w:val="center"/>
              <w:rPr>
                <w:rFonts w:cs="Times New Roman"/>
                <w:sz w:val="24"/>
                <w:szCs w:val="24"/>
              </w:rPr>
            </w:pPr>
          </w:p>
        </w:tc>
        <w:tc>
          <w:tcPr>
            <w:tcW w:w="704" w:type="pct"/>
            <w:tcBorders>
              <w:top w:val="single" w:color="000000" w:sz="4" w:space="0"/>
              <w:left w:val="single" w:color="auto" w:sz="4" w:space="0"/>
              <w:bottom w:val="single" w:color="000000" w:sz="4" w:space="0"/>
              <w:right w:val="single" w:color="000000" w:sz="4" w:space="0"/>
            </w:tcBorders>
            <w:shd w:val="clear" w:color="auto" w:fill="auto"/>
            <w:vAlign w:val="center"/>
          </w:tcPr>
          <w:p w14:paraId="7A2C6260">
            <w:pPr>
              <w:widowControl/>
              <w:spacing w:line="320" w:lineRule="exact"/>
              <w:ind w:firstLine="0" w:firstLineChars="0"/>
              <w:jc w:val="center"/>
              <w:textAlignment w:val="center"/>
              <w:rPr>
                <w:rFonts w:cs="Times New Roman"/>
                <w:kern w:val="0"/>
                <w:sz w:val="24"/>
                <w:szCs w:val="24"/>
                <w:lang w:bidi="ar"/>
              </w:rPr>
            </w:pPr>
            <w:r>
              <w:rPr>
                <w:rFonts w:cs="Times New Roman"/>
                <w:kern w:val="0"/>
                <w:sz w:val="24"/>
                <w:szCs w:val="24"/>
                <w:lang w:bidi="ar"/>
              </w:rPr>
              <w:t>示范作用</w:t>
            </w:r>
          </w:p>
          <w:p w14:paraId="659D00D4">
            <w:pPr>
              <w:widowControl/>
              <w:spacing w:line="320" w:lineRule="exact"/>
              <w:ind w:firstLine="0" w:firstLineChars="0"/>
              <w:jc w:val="center"/>
              <w:textAlignment w:val="center"/>
              <w:rPr>
                <w:rFonts w:cs="Times New Roman"/>
                <w:sz w:val="24"/>
                <w:szCs w:val="24"/>
              </w:rPr>
            </w:pPr>
            <w:r>
              <w:rPr>
                <w:rFonts w:hint="eastAsia" w:cs="Times New Roman"/>
                <w:kern w:val="0"/>
                <w:sz w:val="24"/>
                <w:szCs w:val="24"/>
                <w:lang w:bidi="ar"/>
              </w:rPr>
              <w:t>（20分）</w:t>
            </w:r>
          </w:p>
        </w:tc>
        <w:tc>
          <w:tcPr>
            <w:tcW w:w="1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A79A6B">
            <w:pPr>
              <w:widowControl/>
              <w:spacing w:line="320" w:lineRule="exact"/>
              <w:ind w:firstLine="0" w:firstLineChars="0"/>
              <w:textAlignment w:val="center"/>
              <w:rPr>
                <w:rFonts w:cs="Times New Roman"/>
                <w:sz w:val="24"/>
                <w:szCs w:val="24"/>
              </w:rPr>
            </w:pPr>
            <w:r>
              <w:rPr>
                <w:rFonts w:cs="Times New Roman"/>
                <w:kern w:val="0"/>
                <w:sz w:val="24"/>
                <w:szCs w:val="24"/>
                <w:lang w:bidi="ar"/>
              </w:rPr>
              <w:t>项目在改善适应气候变化目标方面具有领先于行业平均水平的示范作用。强化极端天气气候事件预警类项目可参考“预警准确率、精细度和提前量”等指标；建立适应气候变化的粮食安全保障体系类项目可参考“农田灌溉用水有效利用系数”等指标；实施生态保护和修复重大工程规划与建设类项目可参考“沙化土地治理面积”等指标进行评价。</w:t>
            </w:r>
          </w:p>
        </w:tc>
        <w:tc>
          <w:tcPr>
            <w:tcW w:w="8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CE79D4">
            <w:pPr>
              <w:widowControl/>
              <w:spacing w:line="320" w:lineRule="exact"/>
              <w:ind w:firstLine="0" w:firstLineChars="0"/>
              <w:textAlignment w:val="center"/>
              <w:rPr>
                <w:rFonts w:cs="Times New Roman"/>
                <w:sz w:val="24"/>
                <w:szCs w:val="24"/>
              </w:rPr>
            </w:pPr>
            <w:r>
              <w:rPr>
                <w:rFonts w:cs="Times New Roman"/>
                <w:kern w:val="0"/>
                <w:sz w:val="24"/>
                <w:szCs w:val="24"/>
                <w:lang w:bidi="ar"/>
              </w:rPr>
              <w:t>项目可行性研究报告、初步设计报告、实施方案</w:t>
            </w:r>
            <w:r>
              <w:rPr>
                <w:rFonts w:hint="eastAsia" w:cs="Times New Roman"/>
                <w:kern w:val="0"/>
                <w:sz w:val="24"/>
                <w:szCs w:val="24"/>
                <w:lang w:bidi="ar"/>
              </w:rPr>
              <w:t>或其他</w:t>
            </w:r>
            <w:r>
              <w:rPr>
                <w:rFonts w:cs="Times New Roman"/>
                <w:kern w:val="0"/>
                <w:sz w:val="24"/>
                <w:szCs w:val="24"/>
                <w:lang w:bidi="ar"/>
              </w:rPr>
              <w:t>相关证明材料</w:t>
            </w:r>
            <w:r>
              <w:rPr>
                <w:rFonts w:hint="eastAsia" w:cs="Times New Roman"/>
                <w:kern w:val="0"/>
                <w:sz w:val="24"/>
                <w:szCs w:val="24"/>
                <w:lang w:bidi="ar"/>
              </w:rPr>
              <w:t>（*，至少提供其中之一）</w:t>
            </w:r>
          </w:p>
        </w:tc>
        <w:tc>
          <w:tcPr>
            <w:tcW w:w="15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7EFC60">
            <w:pPr>
              <w:widowControl/>
              <w:numPr>
                <w:ilvl w:val="0"/>
                <w:numId w:val="19"/>
              </w:numPr>
              <w:spacing w:line="320" w:lineRule="exact"/>
              <w:ind w:firstLine="0" w:firstLineChars="0"/>
              <w:jc w:val="left"/>
              <w:textAlignment w:val="center"/>
              <w:rPr>
                <w:rFonts w:cs="Times New Roman"/>
                <w:sz w:val="24"/>
                <w:szCs w:val="24"/>
              </w:rPr>
            </w:pPr>
            <w:r>
              <w:rPr>
                <w:rFonts w:cs="Times New Roman"/>
                <w:kern w:val="0"/>
                <w:sz w:val="24"/>
                <w:szCs w:val="24"/>
                <w:lang w:bidi="ar"/>
              </w:rPr>
              <w:t>项目具备较大示范作用，得20分；</w:t>
            </w:r>
          </w:p>
          <w:p w14:paraId="516A7580">
            <w:pPr>
              <w:widowControl/>
              <w:numPr>
                <w:ilvl w:val="0"/>
                <w:numId w:val="19"/>
              </w:numPr>
              <w:spacing w:line="320" w:lineRule="exact"/>
              <w:ind w:firstLine="0" w:firstLineChars="0"/>
              <w:jc w:val="left"/>
              <w:textAlignment w:val="center"/>
              <w:rPr>
                <w:rFonts w:cs="Times New Roman"/>
                <w:sz w:val="24"/>
                <w:szCs w:val="24"/>
              </w:rPr>
            </w:pPr>
            <w:r>
              <w:rPr>
                <w:rFonts w:cs="Times New Roman"/>
                <w:kern w:val="0"/>
                <w:sz w:val="24"/>
                <w:szCs w:val="24"/>
                <w:lang w:bidi="ar"/>
              </w:rPr>
              <w:t>项目具备一般示范作用，得15分；</w:t>
            </w:r>
          </w:p>
          <w:p w14:paraId="01EA35F7">
            <w:pPr>
              <w:widowControl/>
              <w:numPr>
                <w:ilvl w:val="0"/>
                <w:numId w:val="19"/>
              </w:numPr>
              <w:spacing w:line="320" w:lineRule="exact"/>
              <w:ind w:firstLine="0" w:firstLineChars="0"/>
              <w:jc w:val="left"/>
              <w:textAlignment w:val="center"/>
              <w:rPr>
                <w:rFonts w:cs="Times New Roman"/>
                <w:sz w:val="24"/>
                <w:szCs w:val="24"/>
              </w:rPr>
            </w:pPr>
            <w:r>
              <w:rPr>
                <w:rFonts w:cs="Times New Roman"/>
                <w:kern w:val="0"/>
                <w:sz w:val="24"/>
                <w:szCs w:val="24"/>
                <w:lang w:bidi="ar"/>
              </w:rPr>
              <w:t>项目具备较小示范作用，得10分。</w:t>
            </w:r>
          </w:p>
        </w:tc>
      </w:tr>
      <w:tr w14:paraId="152F4C75">
        <w:tblPrEx>
          <w:tblCellMar>
            <w:top w:w="0" w:type="dxa"/>
            <w:left w:w="108" w:type="dxa"/>
            <w:bottom w:w="0" w:type="dxa"/>
            <w:right w:w="108" w:type="dxa"/>
          </w:tblCellMar>
        </w:tblPrEx>
        <w:trPr>
          <w:trHeight w:val="2200" w:hRule="atLeast"/>
        </w:trPr>
        <w:tc>
          <w:tcPr>
            <w:tcW w:w="416" w:type="pct"/>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3E4E75A2">
            <w:pPr>
              <w:widowControl/>
              <w:spacing w:line="320" w:lineRule="exact"/>
              <w:ind w:firstLine="0" w:firstLineChars="0"/>
              <w:jc w:val="center"/>
              <w:textAlignment w:val="center"/>
              <w:rPr>
                <w:rFonts w:cs="Times New Roman"/>
                <w:kern w:val="0"/>
                <w:sz w:val="24"/>
                <w:szCs w:val="24"/>
                <w:lang w:bidi="ar"/>
              </w:rPr>
            </w:pPr>
            <w:r>
              <w:rPr>
                <w:rFonts w:cs="Times New Roman"/>
                <w:kern w:val="0"/>
                <w:sz w:val="24"/>
                <w:szCs w:val="24"/>
                <w:lang w:bidi="ar"/>
              </w:rPr>
              <w:t>可持续发展影响</w:t>
            </w:r>
          </w:p>
          <w:p w14:paraId="19C5E752">
            <w:pPr>
              <w:widowControl/>
              <w:spacing w:line="320" w:lineRule="exact"/>
              <w:ind w:firstLine="0" w:firstLineChars="0"/>
              <w:jc w:val="center"/>
              <w:textAlignment w:val="center"/>
              <w:rPr>
                <w:rFonts w:cs="Times New Roman"/>
                <w:kern w:val="0"/>
                <w:sz w:val="24"/>
                <w:szCs w:val="24"/>
                <w:lang w:bidi="ar"/>
              </w:rPr>
            </w:pPr>
            <w:r>
              <w:rPr>
                <w:rFonts w:hint="eastAsia" w:cs="Times New Roman"/>
                <w:kern w:val="0"/>
                <w:sz w:val="24"/>
                <w:szCs w:val="24"/>
                <w:lang w:bidi="ar"/>
              </w:rPr>
              <w:t>（20分）</w:t>
            </w:r>
          </w:p>
        </w:tc>
        <w:tc>
          <w:tcPr>
            <w:tcW w:w="7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B9EACB">
            <w:pPr>
              <w:widowControl/>
              <w:spacing w:line="320" w:lineRule="exact"/>
              <w:ind w:firstLine="0" w:firstLineChars="0"/>
              <w:jc w:val="center"/>
              <w:textAlignment w:val="center"/>
              <w:rPr>
                <w:rFonts w:cs="Times New Roman"/>
                <w:kern w:val="0"/>
                <w:sz w:val="24"/>
                <w:szCs w:val="24"/>
                <w:lang w:bidi="ar"/>
              </w:rPr>
            </w:pPr>
            <w:r>
              <w:rPr>
                <w:rFonts w:cs="Times New Roman"/>
                <w:kern w:val="0"/>
                <w:sz w:val="24"/>
                <w:szCs w:val="24"/>
                <w:lang w:bidi="ar"/>
              </w:rPr>
              <w:t>社会效益</w:t>
            </w:r>
          </w:p>
          <w:p w14:paraId="480135B4">
            <w:pPr>
              <w:widowControl/>
              <w:spacing w:line="320" w:lineRule="exact"/>
              <w:ind w:firstLine="0" w:firstLineChars="0"/>
              <w:jc w:val="center"/>
              <w:textAlignment w:val="center"/>
              <w:rPr>
                <w:rFonts w:cs="Times New Roman"/>
                <w:sz w:val="24"/>
                <w:szCs w:val="24"/>
              </w:rPr>
            </w:pPr>
            <w:r>
              <w:rPr>
                <w:rFonts w:hint="eastAsia" w:cs="Times New Roman"/>
                <w:kern w:val="0"/>
                <w:sz w:val="24"/>
                <w:szCs w:val="24"/>
                <w:lang w:bidi="ar"/>
              </w:rPr>
              <w:t>（10分）</w:t>
            </w:r>
          </w:p>
        </w:tc>
        <w:tc>
          <w:tcPr>
            <w:tcW w:w="1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C2DF51">
            <w:pPr>
              <w:widowControl/>
              <w:spacing w:line="320" w:lineRule="exact"/>
              <w:ind w:firstLine="0" w:firstLineChars="0"/>
              <w:textAlignment w:val="center"/>
              <w:rPr>
                <w:rFonts w:cs="Times New Roman"/>
                <w:sz w:val="24"/>
                <w:szCs w:val="24"/>
              </w:rPr>
            </w:pPr>
            <w:r>
              <w:rPr>
                <w:rFonts w:cs="Times New Roman"/>
                <w:kern w:val="0"/>
                <w:sz w:val="24"/>
                <w:szCs w:val="24"/>
                <w:lang w:bidi="ar"/>
              </w:rPr>
              <w:t>项目实施能够产生提高就业率、提高农业生产效率、减少食品浪费和损失、提高食品安全和卫生标准、提高医疗设施与服务的覆盖范围和质量、提高教育设施与服务的覆盖范围和质量、促进就业性别平等、提升水资源利用效率和质量、促进文化保护等社会效益。</w:t>
            </w:r>
          </w:p>
        </w:tc>
        <w:tc>
          <w:tcPr>
            <w:tcW w:w="8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285AFE">
            <w:pPr>
              <w:widowControl/>
              <w:spacing w:line="320" w:lineRule="exact"/>
              <w:ind w:firstLine="0" w:firstLineChars="0"/>
              <w:textAlignment w:val="center"/>
              <w:rPr>
                <w:rFonts w:cs="Times New Roman"/>
                <w:sz w:val="24"/>
                <w:szCs w:val="24"/>
              </w:rPr>
            </w:pPr>
            <w:r>
              <w:rPr>
                <w:rFonts w:cs="Times New Roman"/>
                <w:kern w:val="0"/>
                <w:sz w:val="24"/>
                <w:szCs w:val="24"/>
                <w:lang w:bidi="ar"/>
              </w:rPr>
              <w:t>项目可行性研究报告、初步设计报告、实施方案</w:t>
            </w:r>
            <w:r>
              <w:rPr>
                <w:rFonts w:hint="eastAsia" w:cs="Times New Roman"/>
                <w:kern w:val="0"/>
                <w:sz w:val="24"/>
                <w:szCs w:val="24"/>
                <w:lang w:bidi="ar"/>
              </w:rPr>
              <w:t>或其他</w:t>
            </w:r>
            <w:r>
              <w:rPr>
                <w:rFonts w:cs="Times New Roman"/>
                <w:kern w:val="0"/>
                <w:sz w:val="24"/>
                <w:szCs w:val="24"/>
                <w:lang w:bidi="ar"/>
              </w:rPr>
              <w:t>相关证明材料</w:t>
            </w:r>
            <w:r>
              <w:rPr>
                <w:rFonts w:hint="eastAsia" w:cs="Times New Roman"/>
                <w:kern w:val="0"/>
                <w:sz w:val="24"/>
                <w:szCs w:val="24"/>
                <w:lang w:bidi="ar"/>
              </w:rPr>
              <w:t>（*，至少提供其中之一）</w:t>
            </w:r>
          </w:p>
        </w:tc>
        <w:tc>
          <w:tcPr>
            <w:tcW w:w="1591" w:type="pct"/>
            <w:tcBorders>
              <w:top w:val="single" w:color="000000" w:sz="4" w:space="0"/>
              <w:left w:val="single" w:color="000000" w:sz="4" w:space="0"/>
              <w:bottom w:val="single" w:color="auto" w:sz="4" w:space="0"/>
              <w:right w:val="single" w:color="000000" w:sz="4" w:space="0"/>
            </w:tcBorders>
            <w:shd w:val="clear" w:color="auto" w:fill="auto"/>
            <w:vAlign w:val="center"/>
          </w:tcPr>
          <w:p w14:paraId="4E91EC4B">
            <w:pPr>
              <w:widowControl/>
              <w:numPr>
                <w:ilvl w:val="0"/>
                <w:numId w:val="20"/>
              </w:numPr>
              <w:spacing w:line="320" w:lineRule="exact"/>
              <w:ind w:firstLine="0" w:firstLineChars="0"/>
              <w:jc w:val="left"/>
              <w:textAlignment w:val="center"/>
              <w:rPr>
                <w:rFonts w:cs="Times New Roman"/>
                <w:sz w:val="24"/>
                <w:szCs w:val="24"/>
              </w:rPr>
            </w:pPr>
            <w:r>
              <w:rPr>
                <w:rFonts w:cs="Times New Roman"/>
                <w:kern w:val="0"/>
                <w:sz w:val="24"/>
                <w:szCs w:val="24"/>
                <w:lang w:bidi="ar"/>
              </w:rPr>
              <w:t>项目具有2个（含）以上显著社会效益的，得10分；</w:t>
            </w:r>
          </w:p>
          <w:p w14:paraId="7EC193C9">
            <w:pPr>
              <w:widowControl/>
              <w:numPr>
                <w:ilvl w:val="0"/>
                <w:numId w:val="20"/>
              </w:numPr>
              <w:spacing w:line="320" w:lineRule="exact"/>
              <w:ind w:firstLine="0" w:firstLineChars="0"/>
              <w:jc w:val="left"/>
              <w:textAlignment w:val="center"/>
              <w:rPr>
                <w:rFonts w:cs="Times New Roman"/>
                <w:sz w:val="24"/>
                <w:szCs w:val="24"/>
              </w:rPr>
            </w:pPr>
            <w:r>
              <w:rPr>
                <w:rFonts w:cs="Times New Roman"/>
                <w:kern w:val="0"/>
                <w:sz w:val="24"/>
                <w:szCs w:val="24"/>
                <w:lang w:bidi="ar"/>
              </w:rPr>
              <w:t>项目具有1个显著社会效益的，得5分；</w:t>
            </w:r>
          </w:p>
          <w:p w14:paraId="575C021E">
            <w:pPr>
              <w:widowControl/>
              <w:numPr>
                <w:ilvl w:val="0"/>
                <w:numId w:val="20"/>
              </w:numPr>
              <w:spacing w:line="320" w:lineRule="exact"/>
              <w:ind w:firstLine="0" w:firstLineChars="0"/>
              <w:jc w:val="left"/>
              <w:textAlignment w:val="center"/>
              <w:rPr>
                <w:rFonts w:cs="Times New Roman"/>
                <w:sz w:val="24"/>
                <w:szCs w:val="24"/>
              </w:rPr>
            </w:pPr>
            <w:r>
              <w:rPr>
                <w:rFonts w:cs="Times New Roman"/>
                <w:kern w:val="0"/>
                <w:sz w:val="24"/>
                <w:szCs w:val="24"/>
                <w:lang w:bidi="ar"/>
              </w:rPr>
              <w:t>项目不产生社会效益的，得0分。</w:t>
            </w:r>
          </w:p>
        </w:tc>
      </w:tr>
      <w:tr w14:paraId="5A7F0DC8">
        <w:tblPrEx>
          <w:tblCellMar>
            <w:top w:w="0" w:type="dxa"/>
            <w:left w:w="108" w:type="dxa"/>
            <w:bottom w:w="0" w:type="dxa"/>
            <w:right w:w="108" w:type="dxa"/>
          </w:tblCellMar>
        </w:tblPrEx>
        <w:trPr>
          <w:trHeight w:val="1860" w:hRule="atLeast"/>
        </w:trPr>
        <w:tc>
          <w:tcPr>
            <w:tcW w:w="416"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0D1A2DEF">
            <w:pPr>
              <w:spacing w:line="320" w:lineRule="exact"/>
              <w:ind w:firstLine="0" w:firstLineChars="0"/>
              <w:jc w:val="center"/>
              <w:rPr>
                <w:rFonts w:cs="Times New Roman"/>
                <w:sz w:val="24"/>
                <w:szCs w:val="24"/>
              </w:rPr>
            </w:pPr>
          </w:p>
        </w:tc>
        <w:tc>
          <w:tcPr>
            <w:tcW w:w="7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6005EE">
            <w:pPr>
              <w:widowControl/>
              <w:spacing w:line="320" w:lineRule="exact"/>
              <w:ind w:firstLine="0" w:firstLineChars="0"/>
              <w:jc w:val="center"/>
              <w:textAlignment w:val="center"/>
              <w:rPr>
                <w:rFonts w:cs="Times New Roman"/>
                <w:kern w:val="0"/>
                <w:sz w:val="24"/>
                <w:szCs w:val="24"/>
                <w:lang w:bidi="ar"/>
              </w:rPr>
            </w:pPr>
            <w:r>
              <w:rPr>
                <w:rFonts w:cs="Times New Roman"/>
                <w:kern w:val="0"/>
                <w:sz w:val="24"/>
                <w:szCs w:val="24"/>
                <w:lang w:bidi="ar"/>
              </w:rPr>
              <w:t>环境协同效益</w:t>
            </w:r>
          </w:p>
          <w:p w14:paraId="69A9DBA4">
            <w:pPr>
              <w:widowControl/>
              <w:spacing w:line="320" w:lineRule="exact"/>
              <w:ind w:firstLine="0" w:firstLineChars="0"/>
              <w:jc w:val="center"/>
              <w:textAlignment w:val="center"/>
              <w:rPr>
                <w:rFonts w:cs="Times New Roman"/>
                <w:sz w:val="24"/>
                <w:szCs w:val="24"/>
              </w:rPr>
            </w:pPr>
            <w:r>
              <w:rPr>
                <w:rFonts w:hint="eastAsia" w:cs="Times New Roman"/>
                <w:kern w:val="0"/>
                <w:sz w:val="24"/>
                <w:szCs w:val="24"/>
                <w:lang w:bidi="ar"/>
              </w:rPr>
              <w:t>（10分）</w:t>
            </w:r>
          </w:p>
        </w:tc>
        <w:tc>
          <w:tcPr>
            <w:tcW w:w="1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32DFB0">
            <w:pPr>
              <w:widowControl/>
              <w:spacing w:line="320" w:lineRule="exact"/>
              <w:ind w:firstLine="0" w:firstLineChars="0"/>
              <w:textAlignment w:val="center"/>
              <w:rPr>
                <w:rFonts w:cs="Times New Roman"/>
                <w:sz w:val="24"/>
                <w:szCs w:val="24"/>
              </w:rPr>
            </w:pPr>
            <w:r>
              <w:rPr>
                <w:rFonts w:cs="Times New Roman"/>
                <w:kern w:val="0"/>
                <w:sz w:val="24"/>
                <w:szCs w:val="24"/>
                <w:lang w:bidi="ar"/>
              </w:rPr>
              <w:t>项目对提高空气、水和土壤质量，促进生物多样性等方面具有协同效益。</w:t>
            </w:r>
          </w:p>
        </w:tc>
        <w:tc>
          <w:tcPr>
            <w:tcW w:w="8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0C9231">
            <w:pPr>
              <w:widowControl/>
              <w:spacing w:line="320" w:lineRule="exact"/>
              <w:ind w:firstLine="0" w:firstLineChars="0"/>
              <w:textAlignment w:val="center"/>
              <w:rPr>
                <w:rFonts w:cs="Times New Roman"/>
                <w:sz w:val="24"/>
                <w:szCs w:val="24"/>
              </w:rPr>
            </w:pPr>
            <w:r>
              <w:rPr>
                <w:rFonts w:cs="Times New Roman"/>
                <w:kern w:val="0"/>
                <w:sz w:val="24"/>
                <w:szCs w:val="24"/>
                <w:lang w:bidi="ar"/>
              </w:rPr>
              <w:t>项目可行性研究报告、初步设计报告、实施方案</w:t>
            </w:r>
            <w:r>
              <w:rPr>
                <w:rFonts w:hint="eastAsia" w:cs="Times New Roman"/>
                <w:kern w:val="0"/>
                <w:sz w:val="24"/>
                <w:szCs w:val="24"/>
                <w:lang w:bidi="ar"/>
              </w:rPr>
              <w:t>或其他</w:t>
            </w:r>
            <w:r>
              <w:rPr>
                <w:rFonts w:cs="Times New Roman"/>
                <w:kern w:val="0"/>
                <w:sz w:val="24"/>
                <w:szCs w:val="24"/>
                <w:lang w:bidi="ar"/>
              </w:rPr>
              <w:t>相关证明材料</w:t>
            </w:r>
            <w:r>
              <w:rPr>
                <w:rFonts w:hint="eastAsia" w:cs="Times New Roman"/>
                <w:kern w:val="0"/>
                <w:sz w:val="24"/>
                <w:szCs w:val="24"/>
                <w:lang w:bidi="ar"/>
              </w:rPr>
              <w:t>（*，至少提供其中之一）</w:t>
            </w:r>
          </w:p>
        </w:tc>
        <w:tc>
          <w:tcPr>
            <w:tcW w:w="1591" w:type="pct"/>
            <w:tcBorders>
              <w:top w:val="single" w:color="auto" w:sz="4" w:space="0"/>
              <w:left w:val="single" w:color="auto" w:sz="4" w:space="0"/>
              <w:bottom w:val="single" w:color="auto" w:sz="4" w:space="0"/>
              <w:right w:val="single" w:color="auto" w:sz="4" w:space="0"/>
            </w:tcBorders>
            <w:shd w:val="clear" w:color="auto" w:fill="auto"/>
            <w:vAlign w:val="center"/>
          </w:tcPr>
          <w:p w14:paraId="390CCC3A">
            <w:pPr>
              <w:widowControl/>
              <w:numPr>
                <w:ilvl w:val="0"/>
                <w:numId w:val="21"/>
              </w:numPr>
              <w:spacing w:line="320" w:lineRule="exact"/>
              <w:ind w:firstLine="0" w:firstLineChars="0"/>
              <w:jc w:val="left"/>
              <w:textAlignment w:val="center"/>
              <w:rPr>
                <w:rFonts w:cs="Times New Roman"/>
                <w:sz w:val="24"/>
                <w:szCs w:val="24"/>
              </w:rPr>
            </w:pPr>
            <w:r>
              <w:rPr>
                <w:rFonts w:cs="Times New Roman"/>
                <w:kern w:val="0"/>
                <w:sz w:val="24"/>
                <w:szCs w:val="24"/>
                <w:lang w:bidi="ar"/>
              </w:rPr>
              <w:t>项目具有2个（含）以上显著环境协同效益的，得10分；</w:t>
            </w:r>
          </w:p>
          <w:p w14:paraId="046FD12C">
            <w:pPr>
              <w:widowControl/>
              <w:numPr>
                <w:ilvl w:val="0"/>
                <w:numId w:val="21"/>
              </w:numPr>
              <w:spacing w:line="320" w:lineRule="exact"/>
              <w:ind w:firstLine="0" w:firstLineChars="0"/>
              <w:jc w:val="left"/>
              <w:textAlignment w:val="center"/>
              <w:rPr>
                <w:rFonts w:cs="Times New Roman"/>
                <w:sz w:val="24"/>
                <w:szCs w:val="24"/>
              </w:rPr>
            </w:pPr>
            <w:r>
              <w:rPr>
                <w:rFonts w:cs="Times New Roman"/>
                <w:kern w:val="0"/>
                <w:sz w:val="24"/>
                <w:szCs w:val="24"/>
                <w:lang w:bidi="ar"/>
              </w:rPr>
              <w:t>项目具有1个显著环境协同效益的，得5分；</w:t>
            </w:r>
          </w:p>
          <w:p w14:paraId="466ED187">
            <w:pPr>
              <w:widowControl/>
              <w:numPr>
                <w:ilvl w:val="0"/>
                <w:numId w:val="21"/>
              </w:numPr>
              <w:spacing w:line="320" w:lineRule="exact"/>
              <w:ind w:firstLine="0" w:firstLineChars="0"/>
              <w:jc w:val="left"/>
              <w:textAlignment w:val="center"/>
              <w:rPr>
                <w:rFonts w:cs="Times New Roman"/>
                <w:sz w:val="24"/>
                <w:szCs w:val="24"/>
              </w:rPr>
            </w:pPr>
            <w:r>
              <w:rPr>
                <w:rFonts w:cs="Times New Roman"/>
                <w:kern w:val="0"/>
                <w:sz w:val="24"/>
                <w:szCs w:val="24"/>
                <w:lang w:bidi="ar"/>
              </w:rPr>
              <w:t>项目不产生环境协同效益的，得0分。</w:t>
            </w:r>
          </w:p>
        </w:tc>
      </w:tr>
    </w:tbl>
    <w:p w14:paraId="4C836B5E">
      <w:pPr>
        <w:numPr>
          <w:ilvl w:val="255"/>
          <w:numId w:val="0"/>
        </w:numPr>
        <w:spacing w:line="240" w:lineRule="auto"/>
        <w:rPr>
          <w:rFonts w:cs="Times New Roman"/>
          <w:kern w:val="44"/>
          <w:sz w:val="24"/>
          <w:szCs w:val="24"/>
        </w:rPr>
      </w:pPr>
      <w:r>
        <w:rPr>
          <w:rFonts w:cs="Times New Roman"/>
          <w:kern w:val="44"/>
          <w:sz w:val="24"/>
          <w:szCs w:val="24"/>
        </w:rPr>
        <w:t>注：标（*）的为</w:t>
      </w:r>
      <w:r>
        <w:rPr>
          <w:rFonts w:hint="eastAsia" w:cs="Times New Roman"/>
          <w:kern w:val="44"/>
          <w:sz w:val="24"/>
          <w:szCs w:val="24"/>
        </w:rPr>
        <w:t>必须提交</w:t>
      </w:r>
      <w:r>
        <w:rPr>
          <w:rFonts w:cs="Times New Roman"/>
          <w:kern w:val="44"/>
          <w:sz w:val="24"/>
          <w:szCs w:val="24"/>
        </w:rPr>
        <w:t>材料。</w:t>
      </w:r>
    </w:p>
    <w:p w14:paraId="780A3969">
      <w:pPr>
        <w:rPr>
          <w:rFonts w:eastAsia="黑体" w:cs="Times New Roman"/>
          <w:kern w:val="44"/>
          <w:szCs w:val="44"/>
        </w:rPr>
        <w:sectPr>
          <w:pgSz w:w="16838" w:h="11906" w:orient="landscape"/>
          <w:pgMar w:top="1803" w:right="1440" w:bottom="1803" w:left="1440" w:header="851" w:footer="992" w:gutter="0"/>
          <w:pgNumType w:fmt="numberInDash"/>
          <w:cols w:space="0" w:num="1"/>
          <w:docGrid w:type="lines" w:linePitch="436" w:charSpace="0"/>
        </w:sectPr>
      </w:pPr>
    </w:p>
    <w:p w14:paraId="6D69464C">
      <w:pPr>
        <w:ind w:left="0" w:leftChars="0" w:firstLine="0" w:firstLineChars="0"/>
        <w:jc w:val="left"/>
        <w:outlineLvl w:val="0"/>
        <w:rPr>
          <w:rFonts w:hint="eastAsia" w:ascii="黑体" w:hAnsi="黑体" w:eastAsia="黑体" w:cs="黑体"/>
          <w:kern w:val="44"/>
          <w:szCs w:val="44"/>
        </w:rPr>
      </w:pPr>
      <w:bookmarkStart w:id="17" w:name="_Toc31174"/>
      <w:bookmarkStart w:id="18" w:name="_Hlk120267491"/>
      <w:r>
        <w:rPr>
          <w:rFonts w:hint="eastAsia" w:ascii="黑体" w:hAnsi="黑体" w:eastAsia="黑体" w:cs="黑体"/>
          <w:kern w:val="44"/>
          <w:szCs w:val="44"/>
        </w:rPr>
        <w:t>附件</w:t>
      </w:r>
      <w:bookmarkEnd w:id="17"/>
      <w:r>
        <w:rPr>
          <w:rFonts w:hint="eastAsia" w:ascii="黑体" w:hAnsi="黑体" w:eastAsia="黑体" w:cs="黑体"/>
          <w:kern w:val="44"/>
          <w:szCs w:val="44"/>
        </w:rPr>
        <w:t>3</w:t>
      </w:r>
    </w:p>
    <w:p w14:paraId="403D324E">
      <w:pPr>
        <w:ind w:firstLine="0" w:firstLineChars="0"/>
        <w:jc w:val="center"/>
        <w:outlineLvl w:val="0"/>
        <w:rPr>
          <w:rFonts w:eastAsia="方正小标宋简体" w:cs="Times New Roman"/>
          <w:sz w:val="36"/>
          <w:szCs w:val="36"/>
        </w:rPr>
      </w:pPr>
      <w:bookmarkStart w:id="19" w:name="_Toc22471"/>
      <w:r>
        <w:rPr>
          <w:rFonts w:eastAsia="方正小标宋简体" w:cs="Times New Roman"/>
          <w:sz w:val="36"/>
          <w:szCs w:val="36"/>
        </w:rPr>
        <w:t>密云区气候投融资项目</w:t>
      </w:r>
      <w:r>
        <w:rPr>
          <w:rFonts w:hint="eastAsia" w:eastAsia="方正小标宋简体" w:cs="Times New Roman"/>
          <w:sz w:val="36"/>
          <w:szCs w:val="36"/>
        </w:rPr>
        <w:t>入库</w:t>
      </w:r>
      <w:r>
        <w:rPr>
          <w:rFonts w:eastAsia="方正小标宋简体" w:cs="Times New Roman"/>
          <w:sz w:val="36"/>
          <w:szCs w:val="36"/>
        </w:rPr>
        <w:t>评价流程</w:t>
      </w:r>
      <w:bookmarkEnd w:id="18"/>
      <w:bookmarkEnd w:id="19"/>
    </w:p>
    <w:p w14:paraId="516A6021">
      <w:pPr>
        <w:ind w:firstLine="720"/>
        <w:rPr>
          <w:rFonts w:cs="Times New Roman"/>
          <w:sz w:val="24"/>
        </w:rPr>
      </w:pPr>
      <w:r>
        <w:rPr>
          <w:rFonts w:hint="eastAsia" w:eastAsia="方正小标宋简体" w:cs="Times New Roman"/>
          <w:sz w:val="36"/>
          <w:szCs w:val="36"/>
        </w:rPr>
        <w:drawing>
          <wp:anchor distT="0" distB="0" distL="114300" distR="114300" simplePos="0" relativeHeight="251660288" behindDoc="1" locked="0" layoutInCell="1" allowOverlap="1">
            <wp:simplePos x="0" y="0"/>
            <wp:positionH relativeFrom="column">
              <wp:posOffset>-229870</wp:posOffset>
            </wp:positionH>
            <wp:positionV relativeFrom="paragraph">
              <wp:posOffset>619760</wp:posOffset>
            </wp:positionV>
            <wp:extent cx="5268595" cy="6771005"/>
            <wp:effectExtent l="0" t="0" r="0" b="0"/>
            <wp:wrapTight wrapText="bothSides">
              <wp:wrapPolygon>
                <wp:start x="0" y="0"/>
                <wp:lineTo x="0" y="21600"/>
                <wp:lineTo x="21600" y="21600"/>
                <wp:lineTo x="21600" y="0"/>
                <wp:lineTo x="0" y="0"/>
              </wp:wrapPolygon>
            </wp:wrapTight>
            <wp:docPr id="1" name="ECB019B1-382A-4266-B25C-5B523AA43C14-1" descr="C:/Users/Yanda/AppData/Local/Temp/wps.jfSuEU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B019B1-382A-4266-B25C-5B523AA43C14-1" descr="C:/Users/Yanda/AppData/Local/Temp/wps.jfSuEUwps"/>
                    <pic:cNvPicPr>
                      <a:picLocks noChangeAspect="1"/>
                    </pic:cNvPicPr>
                  </pic:nvPicPr>
                  <pic:blipFill>
                    <a:blip r:embed="rId16"/>
                    <a:stretch>
                      <a:fillRect/>
                    </a:stretch>
                  </pic:blipFill>
                  <pic:spPr>
                    <a:xfrm>
                      <a:off x="0" y="0"/>
                      <a:ext cx="5268595" cy="6771005"/>
                    </a:xfrm>
                    <a:prstGeom prst="rect">
                      <a:avLst/>
                    </a:prstGeom>
                  </pic:spPr>
                </pic:pic>
              </a:graphicData>
            </a:graphic>
          </wp:anchor>
        </w:drawing>
      </w:r>
    </w:p>
    <w:p w14:paraId="1C3A4E55">
      <w:pPr>
        <w:ind w:firstLine="480"/>
        <w:rPr>
          <w:rFonts w:eastAsia="黑体" w:cs="Times New Roman"/>
          <w:bCs/>
          <w:szCs w:val="32"/>
        </w:rPr>
        <w:sectPr>
          <w:pgSz w:w="11906" w:h="16838"/>
          <w:pgMar w:top="1440" w:right="1797" w:bottom="1440" w:left="1797" w:header="851" w:footer="992" w:gutter="0"/>
          <w:pgNumType w:fmt="numberInDash"/>
          <w:cols w:space="425" w:num="1"/>
          <w:docGrid w:type="lines" w:linePitch="326" w:charSpace="0"/>
        </w:sectPr>
      </w:pPr>
      <w:r>
        <w:rPr>
          <w:rFonts w:cs="Times New Roman"/>
          <w:sz w:val="24"/>
        </w:rPr>
        <w:br w:type="page"/>
      </w:r>
    </w:p>
    <w:p w14:paraId="07F48C3E">
      <w:pPr>
        <w:ind w:left="0" w:leftChars="0" w:firstLine="0" w:firstLineChars="0"/>
        <w:jc w:val="left"/>
        <w:outlineLvl w:val="0"/>
        <w:rPr>
          <w:rFonts w:hint="eastAsia" w:ascii="黑体" w:hAnsi="黑体" w:eastAsia="黑体" w:cs="黑体"/>
          <w:kern w:val="44"/>
          <w:szCs w:val="44"/>
        </w:rPr>
      </w:pPr>
      <w:bookmarkStart w:id="20" w:name="_Toc4920"/>
      <w:r>
        <w:rPr>
          <w:rFonts w:hint="eastAsia" w:ascii="黑体" w:hAnsi="黑体" w:eastAsia="黑体" w:cs="黑体"/>
          <w:kern w:val="44"/>
          <w:szCs w:val="44"/>
        </w:rPr>
        <w:t>附件</w:t>
      </w:r>
      <w:bookmarkEnd w:id="20"/>
      <w:r>
        <w:rPr>
          <w:rFonts w:hint="eastAsia" w:ascii="黑体" w:hAnsi="黑体" w:eastAsia="黑体" w:cs="黑体"/>
          <w:kern w:val="44"/>
          <w:szCs w:val="44"/>
        </w:rPr>
        <w:t xml:space="preserve">4 </w:t>
      </w:r>
    </w:p>
    <w:p w14:paraId="2ADE3A6C">
      <w:pPr>
        <w:ind w:firstLine="0" w:firstLineChars="0"/>
        <w:jc w:val="center"/>
        <w:outlineLvl w:val="0"/>
        <w:rPr>
          <w:rFonts w:eastAsia="方正小标宋简体" w:cs="Times New Roman"/>
          <w:sz w:val="36"/>
          <w:szCs w:val="36"/>
        </w:rPr>
      </w:pPr>
      <w:bookmarkStart w:id="21" w:name="_Toc24442"/>
      <w:r>
        <w:rPr>
          <w:rFonts w:eastAsia="方正小标宋简体" w:cs="Times New Roman"/>
          <w:sz w:val="36"/>
          <w:szCs w:val="36"/>
        </w:rPr>
        <w:t>密云区气候投融资项目申报表</w:t>
      </w:r>
      <w:bookmarkEnd w:id="21"/>
    </w:p>
    <w:p w14:paraId="30D391A7">
      <w:pPr>
        <w:ind w:firstLine="643"/>
        <w:rPr>
          <w:rFonts w:hint="eastAsia" w:ascii="仿宋_GB2312" w:hAnsi="仿宋_GB2312" w:eastAsia="仿宋_GB2312" w:cs="仿宋_GB2312"/>
          <w:b/>
          <w:szCs w:val="32"/>
        </w:rPr>
      </w:pPr>
      <w:r>
        <w:rPr>
          <w:rFonts w:hint="eastAsia" w:ascii="仿宋_GB2312" w:hAnsi="仿宋_GB2312" w:eastAsia="仿宋_GB2312" w:cs="仿宋_GB2312"/>
          <w:b/>
          <w:szCs w:val="32"/>
        </w:rPr>
        <w:t>附件4-1项目基本信息表</w:t>
      </w:r>
    </w:p>
    <w:p w14:paraId="54AC65C0">
      <w:pPr>
        <w:rPr>
          <w:rFonts w:cs="Times New Roman"/>
          <w:sz w:val="24"/>
          <w:szCs w:val="20"/>
        </w:rPr>
      </w:pPr>
      <w:r>
        <w:rPr>
          <w:rFonts w:cs="Times New Roman"/>
        </w:rPr>
        <w:drawing>
          <wp:anchor distT="0" distB="0" distL="0" distR="0" simplePos="0" relativeHeight="251659264" behindDoc="0" locked="0" layoutInCell="1" allowOverlap="1">
            <wp:simplePos x="0" y="0"/>
            <wp:positionH relativeFrom="column">
              <wp:posOffset>-12065</wp:posOffset>
            </wp:positionH>
            <wp:positionV relativeFrom="paragraph">
              <wp:posOffset>135255</wp:posOffset>
            </wp:positionV>
            <wp:extent cx="9777730" cy="1455420"/>
            <wp:effectExtent l="0" t="0" r="1270" b="508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7"/>
                    <a:stretch>
                      <a:fillRect/>
                    </a:stretch>
                  </pic:blipFill>
                  <pic:spPr>
                    <a:xfrm>
                      <a:off x="0" y="0"/>
                      <a:ext cx="9821942" cy="1462307"/>
                    </a:xfrm>
                    <a:prstGeom prst="rect">
                      <a:avLst/>
                    </a:prstGeom>
                  </pic:spPr>
                </pic:pic>
              </a:graphicData>
            </a:graphic>
          </wp:anchor>
        </w:drawing>
      </w:r>
      <w:r>
        <w:rPr>
          <w:rFonts w:cs="Times New Roman"/>
          <w:sz w:val="24"/>
          <w:szCs w:val="20"/>
        </w:rPr>
        <w:t>联系人：                             联系电话：                       填报日期：                     盖章：</w:t>
      </w:r>
    </w:p>
    <w:p w14:paraId="08739326">
      <w:pPr>
        <w:ind w:firstLine="420"/>
        <w:rPr>
          <w:rFonts w:cs="Times New Roman"/>
          <w:sz w:val="21"/>
          <w:szCs w:val="20"/>
        </w:rPr>
      </w:pPr>
      <w:r>
        <w:rPr>
          <w:rFonts w:cs="Times New Roman"/>
          <w:sz w:val="21"/>
          <w:szCs w:val="20"/>
        </w:rPr>
        <w:t>注：</w:t>
      </w:r>
    </w:p>
    <w:p w14:paraId="0A46F0E3">
      <w:pPr>
        <w:pStyle w:val="30"/>
        <w:numPr>
          <w:ilvl w:val="0"/>
          <w:numId w:val="22"/>
        </w:numPr>
        <w:spacing w:line="240" w:lineRule="auto"/>
        <w:ind w:firstLine="420"/>
        <w:rPr>
          <w:rFonts w:cs="Times New Roman"/>
          <w:sz w:val="21"/>
        </w:rPr>
      </w:pPr>
      <w:r>
        <w:rPr>
          <w:rFonts w:cs="Times New Roman"/>
          <w:sz w:val="21"/>
          <w:szCs w:val="20"/>
        </w:rPr>
        <w:t>企业类型包括：央企及控股公司、国有控股公司、非国有控股公司、政府机关、事业单位。</w:t>
      </w:r>
    </w:p>
    <w:p w14:paraId="43BD0207">
      <w:pPr>
        <w:pStyle w:val="30"/>
        <w:numPr>
          <w:ilvl w:val="0"/>
          <w:numId w:val="22"/>
        </w:numPr>
        <w:spacing w:line="240" w:lineRule="auto"/>
        <w:ind w:firstLine="420"/>
        <w:rPr>
          <w:rFonts w:cs="Times New Roman"/>
          <w:sz w:val="21"/>
        </w:rPr>
      </w:pPr>
      <w:r>
        <w:rPr>
          <w:rFonts w:cs="Times New Roman"/>
          <w:sz w:val="21"/>
          <w:szCs w:val="20"/>
        </w:rPr>
        <w:t>项目所属领域：根据《北京市密云区气候投融资项目分类目录（生态涵养区</w:t>
      </w:r>
      <w:r>
        <w:rPr>
          <w:rFonts w:hint="eastAsia" w:cs="Times New Roman"/>
          <w:sz w:val="21"/>
          <w:szCs w:val="20"/>
        </w:rPr>
        <w:t xml:space="preserve"> 试行</w:t>
      </w:r>
      <w:r>
        <w:rPr>
          <w:rFonts w:cs="Times New Roman"/>
          <w:sz w:val="21"/>
          <w:szCs w:val="20"/>
        </w:rPr>
        <w:t>）》判断项目类别，分别列出一、二、三级项目类别。</w:t>
      </w:r>
    </w:p>
    <w:p w14:paraId="21BD55AE">
      <w:pPr>
        <w:pStyle w:val="30"/>
        <w:numPr>
          <w:ilvl w:val="0"/>
          <w:numId w:val="22"/>
        </w:numPr>
        <w:spacing w:line="240" w:lineRule="auto"/>
        <w:ind w:firstLine="420"/>
        <w:rPr>
          <w:rFonts w:cs="Times New Roman"/>
          <w:sz w:val="21"/>
        </w:rPr>
      </w:pPr>
      <w:r>
        <w:rPr>
          <w:rFonts w:cs="Times New Roman"/>
          <w:sz w:val="21"/>
        </w:rPr>
        <w:t>项目级别包括：国家级、省级、地市级、县级。</w:t>
      </w:r>
    </w:p>
    <w:p w14:paraId="0D8CC77D">
      <w:pPr>
        <w:pStyle w:val="30"/>
        <w:numPr>
          <w:ilvl w:val="0"/>
          <w:numId w:val="22"/>
        </w:numPr>
        <w:spacing w:line="240" w:lineRule="auto"/>
        <w:ind w:firstLine="420"/>
        <w:rPr>
          <w:rFonts w:cs="Times New Roman"/>
          <w:sz w:val="21"/>
        </w:rPr>
      </w:pPr>
      <w:r>
        <w:rPr>
          <w:rFonts w:cs="Times New Roman"/>
          <w:sz w:val="21"/>
          <w:szCs w:val="20"/>
        </w:rPr>
        <w:t>项目阶段包括：已开工、可研已批尚未开工、可研已报发改部门、可研技术审查已完成等，优先填写已开工项目和可以尽快开工的项目。</w:t>
      </w:r>
    </w:p>
    <w:p w14:paraId="46147E2F">
      <w:pPr>
        <w:pStyle w:val="30"/>
        <w:numPr>
          <w:ilvl w:val="0"/>
          <w:numId w:val="22"/>
        </w:numPr>
        <w:spacing w:line="240" w:lineRule="auto"/>
        <w:ind w:firstLine="420"/>
        <w:rPr>
          <w:rFonts w:cs="Times New Roman"/>
          <w:sz w:val="21"/>
        </w:rPr>
      </w:pPr>
      <w:r>
        <w:rPr>
          <w:rFonts w:cs="Times New Roman"/>
          <w:sz w:val="21"/>
        </w:rPr>
        <w:t>项目运作模式包括：</w:t>
      </w:r>
      <w:bookmarkStart w:id="22" w:name="OLE_LINK5"/>
      <w:r>
        <w:rPr>
          <w:rFonts w:cs="Times New Roman"/>
          <w:sz w:val="21"/>
        </w:rPr>
        <w:t>公私合营</w:t>
      </w:r>
      <w:bookmarkEnd w:id="22"/>
      <w:r>
        <w:rPr>
          <w:rFonts w:cs="Times New Roman"/>
          <w:sz w:val="21"/>
        </w:rPr>
        <w:t>（PPP）、非公私合营。</w:t>
      </w:r>
    </w:p>
    <w:p w14:paraId="128FF70B">
      <w:pPr>
        <w:pStyle w:val="30"/>
        <w:numPr>
          <w:ilvl w:val="0"/>
          <w:numId w:val="22"/>
        </w:numPr>
        <w:spacing w:line="240" w:lineRule="auto"/>
        <w:ind w:firstLine="420"/>
        <w:rPr>
          <w:rFonts w:cs="Times New Roman"/>
          <w:sz w:val="21"/>
        </w:rPr>
      </w:pPr>
      <w:r>
        <w:rPr>
          <w:rFonts w:cs="Times New Roman"/>
          <w:sz w:val="21"/>
        </w:rPr>
        <w:t>担保方式包括：抵押、保证、质押、信用。</w:t>
      </w:r>
    </w:p>
    <w:p w14:paraId="5DA84E24">
      <w:pPr>
        <w:pStyle w:val="30"/>
        <w:numPr>
          <w:ilvl w:val="0"/>
          <w:numId w:val="22"/>
        </w:numPr>
        <w:spacing w:line="240" w:lineRule="auto"/>
        <w:ind w:firstLine="420"/>
        <w:rPr>
          <w:rFonts w:cs="Times New Roman"/>
          <w:sz w:val="21"/>
        </w:rPr>
      </w:pPr>
      <w:r>
        <w:rPr>
          <w:rFonts w:cs="Times New Roman"/>
          <w:sz w:val="21"/>
        </w:rPr>
        <w:t>项目回报率指项目融资前税前财务内部收益率。</w:t>
      </w:r>
    </w:p>
    <w:p w14:paraId="094A019C">
      <w:pPr>
        <w:pStyle w:val="30"/>
        <w:numPr>
          <w:ilvl w:val="0"/>
          <w:numId w:val="22"/>
        </w:numPr>
        <w:spacing w:line="240" w:lineRule="auto"/>
        <w:ind w:firstLine="420"/>
        <w:rPr>
          <w:rFonts w:eastAsia="黑体" w:cs="Times New Roman"/>
          <w:bCs/>
          <w:szCs w:val="32"/>
        </w:rPr>
        <w:sectPr>
          <w:pgSz w:w="16838" w:h="11906" w:orient="landscape"/>
          <w:pgMar w:top="720" w:right="720" w:bottom="720" w:left="720" w:header="851" w:footer="992" w:gutter="0"/>
          <w:pgNumType w:fmt="numberInDash"/>
          <w:cols w:space="425" w:num="1"/>
          <w:docGrid w:type="lines" w:linePitch="326" w:charSpace="0"/>
        </w:sectPr>
      </w:pPr>
      <w:r>
        <w:rPr>
          <w:rFonts w:cs="Times New Roman"/>
          <w:sz w:val="21"/>
        </w:rPr>
        <w:t>标*栏为必填项。</w:t>
      </w:r>
    </w:p>
    <w:p w14:paraId="0C142890">
      <w:pPr>
        <w:ind w:firstLine="643"/>
        <w:rPr>
          <w:rFonts w:hint="eastAsia" w:ascii="仿宋_GB2312" w:hAnsi="仿宋_GB2312" w:eastAsia="仿宋_GB2312" w:cs="仿宋_GB2312"/>
          <w:b/>
          <w:szCs w:val="32"/>
        </w:rPr>
      </w:pPr>
      <w:bookmarkStart w:id="23" w:name="_Toc16928"/>
      <w:r>
        <w:rPr>
          <w:rFonts w:hint="eastAsia" w:ascii="仿宋_GB2312" w:hAnsi="仿宋_GB2312" w:eastAsia="仿宋_GB2312" w:cs="仿宋_GB2312"/>
          <w:b/>
          <w:szCs w:val="32"/>
        </w:rPr>
        <w:t>附件4-2 项目自评表</w:t>
      </w:r>
      <w:bookmarkEnd w:id="23"/>
    </w:p>
    <w:tbl>
      <w:tblPr>
        <w:tblStyle w:val="15"/>
        <w:tblW w:w="4998" w:type="pct"/>
        <w:tblInd w:w="0" w:type="dxa"/>
        <w:tblLayout w:type="autofit"/>
        <w:tblCellMar>
          <w:top w:w="0" w:type="dxa"/>
          <w:left w:w="108" w:type="dxa"/>
          <w:bottom w:w="0" w:type="dxa"/>
          <w:right w:w="108" w:type="dxa"/>
        </w:tblCellMar>
      </w:tblPr>
      <w:tblGrid>
        <w:gridCol w:w="781"/>
        <w:gridCol w:w="2890"/>
        <w:gridCol w:w="1170"/>
        <w:gridCol w:w="3672"/>
      </w:tblGrid>
      <w:tr w14:paraId="55837D58">
        <w:tblPrEx>
          <w:tblCellMar>
            <w:top w:w="0" w:type="dxa"/>
            <w:left w:w="108" w:type="dxa"/>
            <w:bottom w:w="0" w:type="dxa"/>
            <w:right w:w="108" w:type="dxa"/>
          </w:tblCellMar>
        </w:tblPrEx>
        <w:trPr>
          <w:trHeight w:val="520" w:hRule="atLeast"/>
        </w:trPr>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8E790">
            <w:pPr>
              <w:widowControl/>
              <w:spacing w:line="400" w:lineRule="exact"/>
              <w:ind w:firstLine="0" w:firstLineChars="0"/>
              <w:jc w:val="center"/>
              <w:textAlignment w:val="center"/>
              <w:rPr>
                <w:rFonts w:cs="Times New Roman"/>
                <w:sz w:val="24"/>
                <w:szCs w:val="24"/>
              </w:rPr>
            </w:pPr>
            <w:r>
              <w:rPr>
                <w:rFonts w:cs="Times New Roman"/>
                <w:b/>
                <w:bCs/>
                <w:kern w:val="0"/>
                <w:sz w:val="24"/>
                <w:szCs w:val="24"/>
                <w:lang w:bidi="ar"/>
              </w:rPr>
              <w:t>序号</w:t>
            </w:r>
          </w:p>
        </w:tc>
        <w:tc>
          <w:tcPr>
            <w:tcW w:w="454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31ABB80">
            <w:pPr>
              <w:widowControl/>
              <w:spacing w:line="400" w:lineRule="exact"/>
              <w:ind w:firstLine="0" w:firstLineChars="0"/>
              <w:jc w:val="center"/>
              <w:textAlignment w:val="center"/>
              <w:rPr>
                <w:rFonts w:cs="Times New Roman"/>
                <w:b/>
                <w:bCs/>
                <w:sz w:val="24"/>
                <w:szCs w:val="24"/>
              </w:rPr>
            </w:pPr>
            <w:r>
              <w:rPr>
                <w:rFonts w:cs="Times New Roman"/>
                <w:b/>
                <w:bCs/>
                <w:kern w:val="0"/>
                <w:sz w:val="24"/>
                <w:szCs w:val="24"/>
                <w:lang w:bidi="ar"/>
              </w:rPr>
              <w:t>项目评价内容</w:t>
            </w:r>
          </w:p>
        </w:tc>
      </w:tr>
      <w:tr w14:paraId="7EA01EBB">
        <w:tblPrEx>
          <w:tblCellMar>
            <w:top w:w="0" w:type="dxa"/>
            <w:left w:w="108" w:type="dxa"/>
            <w:bottom w:w="0" w:type="dxa"/>
            <w:right w:w="108" w:type="dxa"/>
          </w:tblCellMar>
        </w:tblPrEx>
        <w:trPr>
          <w:trHeight w:val="355" w:hRule="atLeast"/>
        </w:trPr>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F631EF">
            <w:pPr>
              <w:widowControl/>
              <w:spacing w:line="320" w:lineRule="exact"/>
              <w:ind w:firstLine="0" w:firstLineChars="0"/>
              <w:jc w:val="center"/>
              <w:textAlignment w:val="center"/>
              <w:rPr>
                <w:rFonts w:cs="Times New Roman"/>
                <w:sz w:val="24"/>
                <w:szCs w:val="24"/>
              </w:rPr>
            </w:pPr>
            <w:r>
              <w:rPr>
                <w:rFonts w:cs="Times New Roman"/>
                <w:kern w:val="0"/>
                <w:sz w:val="24"/>
                <w:szCs w:val="24"/>
                <w:lang w:bidi="ar"/>
              </w:rPr>
              <w:t>1</w:t>
            </w:r>
          </w:p>
        </w:tc>
        <w:tc>
          <w:tcPr>
            <w:tcW w:w="1697" w:type="pct"/>
            <w:tcBorders>
              <w:top w:val="nil"/>
              <w:left w:val="single" w:color="000000" w:sz="4" w:space="0"/>
              <w:bottom w:val="single" w:color="000000" w:sz="4" w:space="0"/>
              <w:right w:val="single" w:color="000000" w:sz="4" w:space="0"/>
            </w:tcBorders>
            <w:shd w:val="clear" w:color="auto" w:fill="auto"/>
            <w:vAlign w:val="center"/>
          </w:tcPr>
          <w:p w14:paraId="5A16D86F">
            <w:pPr>
              <w:widowControl/>
              <w:spacing w:line="320" w:lineRule="exact"/>
              <w:ind w:firstLine="0" w:firstLineChars="0"/>
              <w:textAlignment w:val="center"/>
              <w:rPr>
                <w:rFonts w:cs="Times New Roman"/>
                <w:sz w:val="24"/>
                <w:szCs w:val="24"/>
              </w:rPr>
            </w:pPr>
            <w:r>
              <w:rPr>
                <w:rFonts w:cs="Times New Roman"/>
                <w:kern w:val="0"/>
                <w:sz w:val="24"/>
                <w:szCs w:val="24"/>
                <w:lang w:bidi="ar"/>
              </w:rPr>
              <w:t>项目是否核算碳减排量。</w:t>
            </w:r>
          </w:p>
        </w:tc>
        <w:tc>
          <w:tcPr>
            <w:tcW w:w="687" w:type="pct"/>
            <w:tcBorders>
              <w:top w:val="nil"/>
              <w:left w:val="single" w:color="000000" w:sz="4" w:space="0"/>
              <w:bottom w:val="single" w:color="000000" w:sz="4" w:space="0"/>
              <w:right w:val="single" w:color="000000" w:sz="4" w:space="0"/>
            </w:tcBorders>
            <w:shd w:val="clear" w:color="auto" w:fill="auto"/>
            <w:vAlign w:val="center"/>
          </w:tcPr>
          <w:p w14:paraId="7E072ECB">
            <w:pPr>
              <w:widowControl/>
              <w:spacing w:line="320" w:lineRule="exact"/>
              <w:ind w:firstLine="0" w:firstLineChars="0"/>
              <w:jc w:val="center"/>
              <w:textAlignment w:val="center"/>
              <w:rPr>
                <w:rStyle w:val="34"/>
                <w:rFonts w:hint="default" w:ascii="Times New Roman" w:cs="Times New Roman"/>
                <w:color w:val="auto"/>
                <w:sz w:val="24"/>
                <w:szCs w:val="24"/>
                <w:lang w:bidi="ar"/>
              </w:rPr>
            </w:pPr>
            <w:r>
              <w:rPr>
                <w:rFonts w:ascii="Segoe UI Symbol" w:hAnsi="Segoe UI Symbol" w:cs="Segoe UI Symbol"/>
                <w:kern w:val="0"/>
                <w:sz w:val="24"/>
                <w:szCs w:val="24"/>
                <w:lang w:bidi="ar"/>
              </w:rPr>
              <w:t>☐</w:t>
            </w:r>
            <w:r>
              <w:rPr>
                <w:rStyle w:val="34"/>
                <w:rFonts w:hint="default" w:ascii="Times New Roman" w:cs="Times New Roman"/>
                <w:color w:val="auto"/>
                <w:sz w:val="24"/>
                <w:szCs w:val="24"/>
                <w:lang w:bidi="ar"/>
              </w:rPr>
              <w:t>是</w:t>
            </w:r>
          </w:p>
          <w:p w14:paraId="04C72762">
            <w:pPr>
              <w:widowControl/>
              <w:spacing w:line="320" w:lineRule="exact"/>
              <w:ind w:firstLine="0" w:firstLineChars="0"/>
              <w:jc w:val="center"/>
              <w:textAlignment w:val="center"/>
              <w:rPr>
                <w:rFonts w:cs="Times New Roman"/>
                <w:sz w:val="24"/>
                <w:szCs w:val="24"/>
              </w:rPr>
            </w:pPr>
            <w:r>
              <w:rPr>
                <w:rStyle w:val="35"/>
                <w:rFonts w:hint="default" w:ascii="Segoe UI Symbol" w:hAnsi="Segoe UI Symbol" w:eastAsia="仿宋_GB2312" w:cs="Segoe UI Symbol"/>
                <w:color w:val="auto"/>
                <w:sz w:val="24"/>
                <w:szCs w:val="24"/>
                <w:lang w:bidi="ar"/>
              </w:rPr>
              <w:t>☐</w:t>
            </w:r>
            <w:r>
              <w:rPr>
                <w:rStyle w:val="34"/>
                <w:rFonts w:hint="default" w:ascii="Times New Roman" w:cs="Times New Roman"/>
                <w:color w:val="auto"/>
                <w:sz w:val="24"/>
                <w:szCs w:val="24"/>
                <w:lang w:bidi="ar"/>
              </w:rPr>
              <w:t>否</w:t>
            </w:r>
          </w:p>
        </w:tc>
        <w:tc>
          <w:tcPr>
            <w:tcW w:w="2154" w:type="pct"/>
            <w:tcBorders>
              <w:top w:val="nil"/>
              <w:left w:val="single" w:color="000000" w:sz="4" w:space="0"/>
              <w:bottom w:val="single" w:color="000000" w:sz="4" w:space="0"/>
              <w:right w:val="single" w:color="000000" w:sz="4" w:space="0"/>
            </w:tcBorders>
            <w:shd w:val="clear" w:color="auto" w:fill="auto"/>
            <w:vAlign w:val="center"/>
          </w:tcPr>
          <w:p w14:paraId="78CC7686">
            <w:pPr>
              <w:widowControl/>
              <w:spacing w:line="320" w:lineRule="exact"/>
              <w:ind w:firstLine="0" w:firstLineChars="0"/>
              <w:jc w:val="left"/>
              <w:textAlignment w:val="center"/>
              <w:rPr>
                <w:rFonts w:cs="Times New Roman"/>
                <w:sz w:val="24"/>
                <w:szCs w:val="24"/>
              </w:rPr>
            </w:pPr>
            <w:r>
              <w:rPr>
                <w:rFonts w:cs="Times New Roman"/>
                <w:kern w:val="0"/>
                <w:sz w:val="24"/>
                <w:szCs w:val="24"/>
                <w:lang w:bidi="ar"/>
              </w:rPr>
              <w:t>若是，年碳减排量为_______ 吨二氧化碳当量。</w:t>
            </w:r>
          </w:p>
        </w:tc>
      </w:tr>
      <w:tr w14:paraId="1D026ADB">
        <w:tblPrEx>
          <w:tblCellMar>
            <w:top w:w="0" w:type="dxa"/>
            <w:left w:w="108" w:type="dxa"/>
            <w:bottom w:w="0" w:type="dxa"/>
            <w:right w:w="108" w:type="dxa"/>
          </w:tblCellMar>
        </w:tblPrEx>
        <w:trPr>
          <w:trHeight w:val="934" w:hRule="atLeast"/>
        </w:trPr>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817EE4">
            <w:pPr>
              <w:widowControl/>
              <w:spacing w:line="320" w:lineRule="exact"/>
              <w:ind w:firstLine="0" w:firstLineChars="0"/>
              <w:jc w:val="center"/>
              <w:textAlignment w:val="center"/>
              <w:rPr>
                <w:rFonts w:cs="Times New Roman"/>
                <w:sz w:val="24"/>
                <w:szCs w:val="24"/>
              </w:rPr>
            </w:pPr>
            <w:r>
              <w:rPr>
                <w:rFonts w:cs="Times New Roman"/>
                <w:kern w:val="0"/>
                <w:sz w:val="24"/>
                <w:szCs w:val="24"/>
                <w:lang w:bidi="ar"/>
              </w:rPr>
              <w:t>2</w:t>
            </w:r>
          </w:p>
        </w:tc>
        <w:tc>
          <w:tcPr>
            <w:tcW w:w="16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F2ADBA">
            <w:pPr>
              <w:widowControl/>
              <w:spacing w:line="320" w:lineRule="exact"/>
              <w:ind w:firstLine="0" w:firstLineChars="0"/>
              <w:textAlignment w:val="center"/>
              <w:rPr>
                <w:rFonts w:cs="Times New Roman"/>
                <w:sz w:val="24"/>
                <w:szCs w:val="24"/>
              </w:rPr>
            </w:pPr>
            <w:r>
              <w:rPr>
                <w:rFonts w:cs="Times New Roman"/>
                <w:kern w:val="0"/>
                <w:sz w:val="24"/>
                <w:szCs w:val="24"/>
                <w:lang w:bidi="ar"/>
              </w:rPr>
              <w:t>项目是否核算单位总投资碳减排量。</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73C8B5">
            <w:pPr>
              <w:widowControl/>
              <w:spacing w:line="320" w:lineRule="exact"/>
              <w:ind w:firstLine="0" w:firstLineChars="0"/>
              <w:jc w:val="center"/>
              <w:textAlignment w:val="center"/>
              <w:rPr>
                <w:rStyle w:val="34"/>
                <w:rFonts w:hint="default" w:ascii="Times New Roman" w:cs="Times New Roman"/>
                <w:color w:val="auto"/>
                <w:sz w:val="24"/>
                <w:szCs w:val="24"/>
                <w:lang w:bidi="ar"/>
              </w:rPr>
            </w:pPr>
            <w:r>
              <w:rPr>
                <w:rFonts w:ascii="Segoe UI Symbol" w:hAnsi="Segoe UI Symbol" w:cs="Segoe UI Symbol"/>
                <w:kern w:val="0"/>
                <w:sz w:val="24"/>
                <w:szCs w:val="24"/>
                <w:lang w:bidi="ar"/>
              </w:rPr>
              <w:t>☐</w:t>
            </w:r>
            <w:r>
              <w:rPr>
                <w:rStyle w:val="34"/>
                <w:rFonts w:hint="default" w:ascii="Times New Roman" w:cs="Times New Roman"/>
                <w:color w:val="auto"/>
                <w:sz w:val="24"/>
                <w:szCs w:val="24"/>
                <w:lang w:bidi="ar"/>
              </w:rPr>
              <w:t>是</w:t>
            </w:r>
          </w:p>
          <w:p w14:paraId="656C667C">
            <w:pPr>
              <w:widowControl/>
              <w:spacing w:line="320" w:lineRule="exact"/>
              <w:ind w:firstLine="0" w:firstLineChars="0"/>
              <w:jc w:val="center"/>
              <w:textAlignment w:val="center"/>
              <w:rPr>
                <w:rFonts w:cs="Times New Roman"/>
                <w:sz w:val="24"/>
                <w:szCs w:val="24"/>
              </w:rPr>
            </w:pPr>
            <w:r>
              <w:rPr>
                <w:rStyle w:val="35"/>
                <w:rFonts w:hint="default" w:ascii="Segoe UI Symbol" w:hAnsi="Segoe UI Symbol" w:eastAsia="仿宋_GB2312" w:cs="Segoe UI Symbol"/>
                <w:color w:val="auto"/>
                <w:sz w:val="24"/>
                <w:szCs w:val="24"/>
                <w:lang w:bidi="ar"/>
              </w:rPr>
              <w:t>☐</w:t>
            </w:r>
            <w:r>
              <w:rPr>
                <w:rStyle w:val="34"/>
                <w:rFonts w:hint="default" w:ascii="Times New Roman" w:cs="Times New Roman"/>
                <w:color w:val="auto"/>
                <w:sz w:val="24"/>
                <w:szCs w:val="24"/>
                <w:lang w:bidi="ar"/>
              </w:rPr>
              <w:t>否</w:t>
            </w:r>
          </w:p>
        </w:tc>
        <w:tc>
          <w:tcPr>
            <w:tcW w:w="21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9408FE">
            <w:pPr>
              <w:widowControl/>
              <w:spacing w:line="320" w:lineRule="exact"/>
              <w:ind w:firstLine="0" w:firstLineChars="0"/>
              <w:jc w:val="left"/>
              <w:textAlignment w:val="center"/>
              <w:rPr>
                <w:rFonts w:cs="Times New Roman"/>
                <w:sz w:val="24"/>
                <w:szCs w:val="24"/>
              </w:rPr>
            </w:pPr>
            <w:r>
              <w:rPr>
                <w:rFonts w:cs="Times New Roman"/>
                <w:kern w:val="0"/>
                <w:sz w:val="24"/>
                <w:szCs w:val="24"/>
                <w:lang w:bidi="ar"/>
              </w:rPr>
              <w:t>若是，单位总投资碳减排量为_______吨二氧化碳当量/万元。</w:t>
            </w:r>
          </w:p>
        </w:tc>
      </w:tr>
      <w:tr w14:paraId="73DD13A4">
        <w:tblPrEx>
          <w:tblCellMar>
            <w:top w:w="0" w:type="dxa"/>
            <w:left w:w="108" w:type="dxa"/>
            <w:bottom w:w="0" w:type="dxa"/>
            <w:right w:w="108" w:type="dxa"/>
          </w:tblCellMar>
        </w:tblPrEx>
        <w:trPr>
          <w:trHeight w:val="934" w:hRule="atLeast"/>
        </w:trPr>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A9677D">
            <w:pPr>
              <w:widowControl/>
              <w:spacing w:line="320" w:lineRule="exact"/>
              <w:ind w:firstLine="0" w:firstLineChars="0"/>
              <w:jc w:val="center"/>
              <w:textAlignment w:val="center"/>
              <w:rPr>
                <w:rFonts w:cs="Times New Roman"/>
                <w:kern w:val="0"/>
                <w:sz w:val="24"/>
                <w:szCs w:val="24"/>
                <w:lang w:bidi="ar"/>
              </w:rPr>
            </w:pPr>
            <w:r>
              <w:rPr>
                <w:rFonts w:cs="Times New Roman"/>
                <w:kern w:val="0"/>
                <w:sz w:val="24"/>
                <w:szCs w:val="24"/>
                <w:lang w:bidi="ar"/>
              </w:rPr>
              <w:t>3</w:t>
            </w:r>
          </w:p>
        </w:tc>
        <w:tc>
          <w:tcPr>
            <w:tcW w:w="16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8CE0BA">
            <w:pPr>
              <w:widowControl/>
              <w:spacing w:line="320" w:lineRule="exact"/>
              <w:ind w:firstLine="0" w:firstLineChars="0"/>
              <w:textAlignment w:val="center"/>
              <w:rPr>
                <w:rFonts w:cs="Times New Roman"/>
                <w:kern w:val="0"/>
                <w:sz w:val="24"/>
                <w:szCs w:val="24"/>
                <w:lang w:bidi="ar"/>
              </w:rPr>
            </w:pPr>
            <w:r>
              <w:rPr>
                <w:rFonts w:cs="Times New Roman"/>
                <w:kern w:val="0"/>
                <w:sz w:val="24"/>
                <w:szCs w:val="24"/>
                <w:lang w:bidi="ar"/>
              </w:rPr>
              <w:t>项目是否主动采取减少温室气体排放的措施。</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F63690">
            <w:pPr>
              <w:widowControl/>
              <w:spacing w:line="320" w:lineRule="exact"/>
              <w:ind w:firstLine="0" w:firstLineChars="0"/>
              <w:jc w:val="center"/>
              <w:textAlignment w:val="center"/>
              <w:rPr>
                <w:rStyle w:val="34"/>
                <w:rFonts w:hint="default" w:ascii="Times New Roman" w:cs="Times New Roman"/>
                <w:color w:val="auto"/>
                <w:sz w:val="24"/>
                <w:szCs w:val="24"/>
                <w:lang w:bidi="ar"/>
              </w:rPr>
            </w:pPr>
            <w:r>
              <w:rPr>
                <w:rFonts w:ascii="Segoe UI Symbol" w:hAnsi="Segoe UI Symbol" w:cs="Segoe UI Symbol"/>
                <w:kern w:val="0"/>
                <w:sz w:val="24"/>
                <w:szCs w:val="24"/>
                <w:lang w:bidi="ar"/>
              </w:rPr>
              <w:t>☐</w:t>
            </w:r>
            <w:r>
              <w:rPr>
                <w:rStyle w:val="34"/>
                <w:rFonts w:hint="default" w:ascii="Times New Roman" w:cs="Times New Roman"/>
                <w:color w:val="auto"/>
                <w:sz w:val="24"/>
                <w:szCs w:val="24"/>
                <w:lang w:bidi="ar"/>
              </w:rPr>
              <w:t>是</w:t>
            </w:r>
          </w:p>
          <w:p w14:paraId="2408058D">
            <w:pPr>
              <w:widowControl/>
              <w:spacing w:line="320" w:lineRule="exact"/>
              <w:ind w:firstLine="0" w:firstLineChars="0"/>
              <w:jc w:val="center"/>
              <w:textAlignment w:val="center"/>
              <w:rPr>
                <w:rStyle w:val="35"/>
                <w:rFonts w:hint="default" w:ascii="Times New Roman" w:hAnsi="Times New Roman" w:eastAsia="仿宋_GB2312" w:cs="Times New Roman"/>
                <w:color w:val="auto"/>
                <w:sz w:val="24"/>
                <w:szCs w:val="24"/>
                <w:lang w:bidi="ar"/>
              </w:rPr>
            </w:pPr>
            <w:r>
              <w:rPr>
                <w:rStyle w:val="35"/>
                <w:rFonts w:hint="default" w:ascii="Segoe UI Symbol" w:hAnsi="Segoe UI Symbol" w:eastAsia="仿宋_GB2312" w:cs="Segoe UI Symbol"/>
                <w:color w:val="auto"/>
                <w:sz w:val="24"/>
                <w:szCs w:val="24"/>
                <w:lang w:bidi="ar"/>
              </w:rPr>
              <w:t>☐</w:t>
            </w:r>
            <w:r>
              <w:rPr>
                <w:rStyle w:val="34"/>
                <w:rFonts w:hint="default" w:ascii="Times New Roman" w:cs="Times New Roman"/>
                <w:color w:val="auto"/>
                <w:sz w:val="24"/>
                <w:szCs w:val="24"/>
                <w:lang w:bidi="ar"/>
              </w:rPr>
              <w:t>否</w:t>
            </w:r>
          </w:p>
        </w:tc>
        <w:tc>
          <w:tcPr>
            <w:tcW w:w="21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EF4381">
            <w:pPr>
              <w:widowControl/>
              <w:spacing w:line="320" w:lineRule="exact"/>
              <w:ind w:firstLine="0" w:firstLineChars="0"/>
              <w:jc w:val="left"/>
              <w:textAlignment w:val="center"/>
              <w:rPr>
                <w:rFonts w:cs="Times New Roman"/>
                <w:kern w:val="0"/>
                <w:sz w:val="24"/>
                <w:szCs w:val="24"/>
                <w:u w:val="dash"/>
                <w:lang w:bidi="ar"/>
              </w:rPr>
            </w:pPr>
            <w:r>
              <w:rPr>
                <w:rFonts w:cs="Times New Roman"/>
                <w:kern w:val="0"/>
                <w:sz w:val="24"/>
                <w:szCs w:val="24"/>
                <w:lang w:bidi="ar"/>
              </w:rPr>
              <w:t>若是，采取的措施为___________________。</w:t>
            </w:r>
          </w:p>
        </w:tc>
      </w:tr>
      <w:tr w14:paraId="24CE0EC8">
        <w:tblPrEx>
          <w:tblCellMar>
            <w:top w:w="0" w:type="dxa"/>
            <w:left w:w="108" w:type="dxa"/>
            <w:bottom w:w="0" w:type="dxa"/>
            <w:right w:w="108" w:type="dxa"/>
          </w:tblCellMar>
        </w:tblPrEx>
        <w:trPr>
          <w:trHeight w:val="889" w:hRule="atLeast"/>
        </w:trPr>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D5BE83">
            <w:pPr>
              <w:widowControl/>
              <w:spacing w:line="320" w:lineRule="exact"/>
              <w:ind w:firstLine="0" w:firstLineChars="0"/>
              <w:jc w:val="center"/>
              <w:textAlignment w:val="center"/>
              <w:rPr>
                <w:rFonts w:cs="Times New Roman"/>
                <w:sz w:val="24"/>
                <w:szCs w:val="24"/>
              </w:rPr>
            </w:pPr>
            <w:r>
              <w:rPr>
                <w:rFonts w:cs="Times New Roman"/>
                <w:kern w:val="0"/>
                <w:sz w:val="24"/>
                <w:szCs w:val="24"/>
                <w:lang w:bidi="ar"/>
              </w:rPr>
              <w:t>4</w:t>
            </w:r>
          </w:p>
        </w:tc>
        <w:tc>
          <w:tcPr>
            <w:tcW w:w="16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5D94A6">
            <w:pPr>
              <w:widowControl/>
              <w:spacing w:line="320" w:lineRule="exact"/>
              <w:ind w:firstLine="0" w:firstLineChars="0"/>
              <w:textAlignment w:val="center"/>
              <w:rPr>
                <w:rFonts w:cs="Times New Roman"/>
                <w:sz w:val="24"/>
                <w:szCs w:val="24"/>
              </w:rPr>
            </w:pPr>
            <w:r>
              <w:rPr>
                <w:rFonts w:cs="Times New Roman"/>
                <w:kern w:val="0"/>
                <w:sz w:val="24"/>
                <w:szCs w:val="24"/>
                <w:lang w:bidi="ar"/>
              </w:rPr>
              <w:t>项目是否核算碳排放强度。</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8172EE">
            <w:pPr>
              <w:widowControl/>
              <w:spacing w:line="320" w:lineRule="exact"/>
              <w:ind w:firstLine="0" w:firstLineChars="0"/>
              <w:jc w:val="center"/>
              <w:textAlignment w:val="center"/>
              <w:rPr>
                <w:rStyle w:val="34"/>
                <w:rFonts w:hint="default" w:ascii="Times New Roman" w:cs="Times New Roman"/>
                <w:color w:val="auto"/>
                <w:sz w:val="24"/>
                <w:szCs w:val="24"/>
                <w:lang w:bidi="ar"/>
              </w:rPr>
            </w:pPr>
            <w:r>
              <w:rPr>
                <w:rFonts w:ascii="Segoe UI Symbol" w:hAnsi="Segoe UI Symbol" w:cs="Segoe UI Symbol"/>
                <w:kern w:val="0"/>
                <w:sz w:val="24"/>
                <w:szCs w:val="24"/>
                <w:lang w:bidi="ar"/>
              </w:rPr>
              <w:t>☐</w:t>
            </w:r>
            <w:r>
              <w:rPr>
                <w:rStyle w:val="34"/>
                <w:rFonts w:hint="default" w:ascii="Times New Roman" w:cs="Times New Roman"/>
                <w:color w:val="auto"/>
                <w:sz w:val="24"/>
                <w:szCs w:val="24"/>
                <w:lang w:bidi="ar"/>
              </w:rPr>
              <w:t>是</w:t>
            </w:r>
          </w:p>
          <w:p w14:paraId="561DD697">
            <w:pPr>
              <w:widowControl/>
              <w:spacing w:line="320" w:lineRule="exact"/>
              <w:ind w:firstLine="0" w:firstLineChars="0"/>
              <w:jc w:val="center"/>
              <w:textAlignment w:val="center"/>
              <w:rPr>
                <w:rFonts w:cs="Times New Roman"/>
                <w:sz w:val="24"/>
                <w:szCs w:val="24"/>
              </w:rPr>
            </w:pPr>
            <w:r>
              <w:rPr>
                <w:rStyle w:val="35"/>
                <w:rFonts w:hint="default" w:ascii="Segoe UI Symbol" w:hAnsi="Segoe UI Symbol" w:eastAsia="仿宋_GB2312" w:cs="Segoe UI Symbol"/>
                <w:color w:val="auto"/>
                <w:sz w:val="24"/>
                <w:szCs w:val="24"/>
                <w:lang w:bidi="ar"/>
              </w:rPr>
              <w:t>☐</w:t>
            </w:r>
            <w:r>
              <w:rPr>
                <w:rStyle w:val="34"/>
                <w:rFonts w:hint="default" w:ascii="Times New Roman" w:cs="Times New Roman"/>
                <w:color w:val="auto"/>
                <w:sz w:val="24"/>
                <w:szCs w:val="24"/>
                <w:lang w:bidi="ar"/>
              </w:rPr>
              <w:t>否</w:t>
            </w:r>
          </w:p>
        </w:tc>
        <w:tc>
          <w:tcPr>
            <w:tcW w:w="21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E33357">
            <w:pPr>
              <w:widowControl/>
              <w:spacing w:line="320" w:lineRule="exact"/>
              <w:ind w:firstLine="0" w:firstLineChars="0"/>
              <w:jc w:val="left"/>
              <w:textAlignment w:val="center"/>
              <w:rPr>
                <w:rFonts w:cs="Times New Roman"/>
                <w:sz w:val="24"/>
                <w:szCs w:val="24"/>
              </w:rPr>
            </w:pPr>
            <w:r>
              <w:rPr>
                <w:rFonts w:cs="Times New Roman"/>
                <w:kern w:val="0"/>
                <w:sz w:val="24"/>
                <w:szCs w:val="24"/>
                <w:lang w:bidi="ar"/>
              </w:rPr>
              <w:t>若是，碳排放强度为_______吨二氧化碳当量/万元。</w:t>
            </w:r>
          </w:p>
        </w:tc>
      </w:tr>
      <w:tr w14:paraId="511257CA">
        <w:tblPrEx>
          <w:tblCellMar>
            <w:top w:w="0" w:type="dxa"/>
            <w:left w:w="108" w:type="dxa"/>
            <w:bottom w:w="0" w:type="dxa"/>
            <w:right w:w="108" w:type="dxa"/>
          </w:tblCellMar>
        </w:tblPrEx>
        <w:trPr>
          <w:trHeight w:val="904" w:hRule="atLeast"/>
        </w:trPr>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6CB263">
            <w:pPr>
              <w:widowControl/>
              <w:spacing w:line="320" w:lineRule="exact"/>
              <w:ind w:firstLine="0" w:firstLineChars="0"/>
              <w:jc w:val="center"/>
              <w:textAlignment w:val="center"/>
              <w:rPr>
                <w:rFonts w:cs="Times New Roman"/>
                <w:sz w:val="24"/>
                <w:szCs w:val="24"/>
              </w:rPr>
            </w:pPr>
            <w:r>
              <w:rPr>
                <w:rFonts w:cs="Times New Roman"/>
                <w:kern w:val="0"/>
                <w:sz w:val="24"/>
                <w:szCs w:val="24"/>
                <w:lang w:bidi="ar"/>
              </w:rPr>
              <w:t>5</w:t>
            </w:r>
          </w:p>
        </w:tc>
        <w:tc>
          <w:tcPr>
            <w:tcW w:w="16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D349D5">
            <w:pPr>
              <w:widowControl/>
              <w:spacing w:line="320" w:lineRule="exact"/>
              <w:ind w:firstLine="0" w:firstLineChars="0"/>
              <w:textAlignment w:val="center"/>
              <w:rPr>
                <w:rFonts w:cs="Times New Roman"/>
                <w:sz w:val="24"/>
                <w:szCs w:val="24"/>
              </w:rPr>
            </w:pPr>
            <w:r>
              <w:rPr>
                <w:rFonts w:cs="Times New Roman"/>
                <w:kern w:val="0"/>
                <w:sz w:val="24"/>
                <w:szCs w:val="24"/>
                <w:lang w:bidi="ar"/>
              </w:rPr>
              <w:t>项目是否核算财务内部收益率（针对减缓类项目）。</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D465A2">
            <w:pPr>
              <w:widowControl/>
              <w:spacing w:line="320" w:lineRule="exact"/>
              <w:ind w:firstLine="0" w:firstLineChars="0"/>
              <w:jc w:val="center"/>
              <w:textAlignment w:val="center"/>
              <w:rPr>
                <w:rStyle w:val="34"/>
                <w:rFonts w:hint="default" w:ascii="Times New Roman" w:cs="Times New Roman"/>
                <w:color w:val="auto"/>
                <w:sz w:val="24"/>
                <w:szCs w:val="24"/>
                <w:lang w:bidi="ar"/>
              </w:rPr>
            </w:pPr>
            <w:r>
              <w:rPr>
                <w:rFonts w:ascii="Segoe UI Symbol" w:hAnsi="Segoe UI Symbol" w:cs="Segoe UI Symbol"/>
                <w:kern w:val="0"/>
                <w:sz w:val="24"/>
                <w:szCs w:val="24"/>
                <w:lang w:bidi="ar"/>
              </w:rPr>
              <w:t>☐</w:t>
            </w:r>
            <w:r>
              <w:rPr>
                <w:rStyle w:val="34"/>
                <w:rFonts w:hint="default" w:ascii="Times New Roman" w:cs="Times New Roman"/>
                <w:color w:val="auto"/>
                <w:sz w:val="24"/>
                <w:szCs w:val="24"/>
                <w:lang w:bidi="ar"/>
              </w:rPr>
              <w:t>是</w:t>
            </w:r>
          </w:p>
          <w:p w14:paraId="38F0A542">
            <w:pPr>
              <w:widowControl/>
              <w:spacing w:line="320" w:lineRule="exact"/>
              <w:ind w:firstLine="0" w:firstLineChars="0"/>
              <w:jc w:val="center"/>
              <w:textAlignment w:val="center"/>
              <w:rPr>
                <w:rFonts w:cs="Times New Roman"/>
                <w:sz w:val="24"/>
                <w:szCs w:val="24"/>
              </w:rPr>
            </w:pPr>
            <w:r>
              <w:rPr>
                <w:rStyle w:val="35"/>
                <w:rFonts w:hint="default" w:ascii="Segoe UI Symbol" w:hAnsi="Segoe UI Symbol" w:eastAsia="仿宋_GB2312" w:cs="Segoe UI Symbol"/>
                <w:color w:val="auto"/>
                <w:sz w:val="24"/>
                <w:szCs w:val="24"/>
                <w:lang w:bidi="ar"/>
              </w:rPr>
              <w:t>☐</w:t>
            </w:r>
            <w:r>
              <w:rPr>
                <w:rStyle w:val="34"/>
                <w:rFonts w:hint="default" w:ascii="Times New Roman" w:cs="Times New Roman"/>
                <w:color w:val="auto"/>
                <w:sz w:val="24"/>
                <w:szCs w:val="24"/>
                <w:lang w:bidi="ar"/>
              </w:rPr>
              <w:t>否</w:t>
            </w:r>
          </w:p>
        </w:tc>
        <w:tc>
          <w:tcPr>
            <w:tcW w:w="21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CF46D2">
            <w:pPr>
              <w:widowControl/>
              <w:spacing w:line="320" w:lineRule="exact"/>
              <w:ind w:firstLine="0" w:firstLineChars="0"/>
              <w:jc w:val="left"/>
              <w:textAlignment w:val="center"/>
              <w:rPr>
                <w:rFonts w:cs="Times New Roman"/>
                <w:sz w:val="24"/>
                <w:szCs w:val="24"/>
              </w:rPr>
            </w:pPr>
            <w:r>
              <w:rPr>
                <w:rFonts w:cs="Times New Roman"/>
                <w:kern w:val="0"/>
                <w:sz w:val="24"/>
                <w:szCs w:val="24"/>
                <w:lang w:bidi="ar"/>
              </w:rPr>
              <w:t>若是，项目融资前税前财务内部收益率为___________________。</w:t>
            </w:r>
          </w:p>
        </w:tc>
      </w:tr>
      <w:tr w14:paraId="3000F602">
        <w:tblPrEx>
          <w:tblCellMar>
            <w:top w:w="0" w:type="dxa"/>
            <w:left w:w="108" w:type="dxa"/>
            <w:bottom w:w="0" w:type="dxa"/>
            <w:right w:w="108" w:type="dxa"/>
          </w:tblCellMar>
        </w:tblPrEx>
        <w:trPr>
          <w:trHeight w:val="896" w:hRule="atLeast"/>
        </w:trPr>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00EC55">
            <w:pPr>
              <w:widowControl/>
              <w:spacing w:line="320" w:lineRule="exact"/>
              <w:ind w:firstLine="0" w:firstLineChars="0"/>
              <w:jc w:val="center"/>
              <w:textAlignment w:val="center"/>
              <w:rPr>
                <w:rFonts w:cs="Times New Roman"/>
                <w:sz w:val="24"/>
                <w:szCs w:val="24"/>
              </w:rPr>
            </w:pPr>
            <w:r>
              <w:rPr>
                <w:rFonts w:cs="Times New Roman"/>
                <w:kern w:val="0"/>
                <w:sz w:val="24"/>
                <w:szCs w:val="24"/>
                <w:lang w:bidi="ar"/>
              </w:rPr>
              <w:t>6</w:t>
            </w:r>
          </w:p>
        </w:tc>
        <w:tc>
          <w:tcPr>
            <w:tcW w:w="16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1E5B5C">
            <w:pPr>
              <w:widowControl/>
              <w:spacing w:line="320" w:lineRule="exact"/>
              <w:ind w:firstLine="0" w:firstLineChars="0"/>
              <w:textAlignment w:val="center"/>
              <w:rPr>
                <w:rFonts w:cs="Times New Roman"/>
                <w:sz w:val="24"/>
                <w:szCs w:val="24"/>
              </w:rPr>
            </w:pPr>
            <w:r>
              <w:rPr>
                <w:rFonts w:cs="Times New Roman"/>
                <w:kern w:val="0"/>
                <w:sz w:val="24"/>
                <w:szCs w:val="24"/>
                <w:lang w:bidi="ar"/>
              </w:rPr>
              <w:t>项目是否具有示范作用（针对适应类项目）。</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945287">
            <w:pPr>
              <w:widowControl/>
              <w:spacing w:line="320" w:lineRule="exact"/>
              <w:ind w:firstLine="0" w:firstLineChars="0"/>
              <w:jc w:val="center"/>
              <w:textAlignment w:val="center"/>
              <w:rPr>
                <w:rStyle w:val="34"/>
                <w:rFonts w:hint="default" w:ascii="Times New Roman" w:cs="Times New Roman"/>
                <w:color w:val="auto"/>
                <w:sz w:val="24"/>
                <w:szCs w:val="24"/>
                <w:lang w:bidi="ar"/>
              </w:rPr>
            </w:pPr>
            <w:r>
              <w:rPr>
                <w:rFonts w:ascii="Segoe UI Symbol" w:hAnsi="Segoe UI Symbol" w:cs="Segoe UI Symbol"/>
                <w:kern w:val="0"/>
                <w:sz w:val="24"/>
                <w:szCs w:val="24"/>
                <w:lang w:bidi="ar"/>
              </w:rPr>
              <w:t>☐</w:t>
            </w:r>
            <w:r>
              <w:rPr>
                <w:rStyle w:val="34"/>
                <w:rFonts w:hint="default" w:ascii="Times New Roman" w:cs="Times New Roman"/>
                <w:color w:val="auto"/>
                <w:sz w:val="24"/>
                <w:szCs w:val="24"/>
                <w:lang w:bidi="ar"/>
              </w:rPr>
              <w:t>是</w:t>
            </w:r>
          </w:p>
          <w:p w14:paraId="3226FE1D">
            <w:pPr>
              <w:widowControl/>
              <w:spacing w:line="320" w:lineRule="exact"/>
              <w:ind w:firstLine="0" w:firstLineChars="0"/>
              <w:jc w:val="center"/>
              <w:textAlignment w:val="center"/>
              <w:rPr>
                <w:rFonts w:cs="Times New Roman"/>
                <w:sz w:val="24"/>
                <w:szCs w:val="24"/>
              </w:rPr>
            </w:pPr>
            <w:r>
              <w:rPr>
                <w:rStyle w:val="35"/>
                <w:rFonts w:hint="default" w:ascii="Segoe UI Symbol" w:hAnsi="Segoe UI Symbol" w:eastAsia="仿宋_GB2312" w:cs="Segoe UI Symbol"/>
                <w:color w:val="auto"/>
                <w:sz w:val="24"/>
                <w:szCs w:val="24"/>
                <w:lang w:bidi="ar"/>
              </w:rPr>
              <w:t>☐</w:t>
            </w:r>
            <w:r>
              <w:rPr>
                <w:rStyle w:val="34"/>
                <w:rFonts w:hint="default" w:ascii="Times New Roman" w:cs="Times New Roman"/>
                <w:color w:val="auto"/>
                <w:sz w:val="24"/>
                <w:szCs w:val="24"/>
                <w:lang w:bidi="ar"/>
              </w:rPr>
              <w:t>否</w:t>
            </w:r>
          </w:p>
        </w:tc>
        <w:tc>
          <w:tcPr>
            <w:tcW w:w="21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FB4B60">
            <w:pPr>
              <w:widowControl/>
              <w:spacing w:line="320" w:lineRule="exact"/>
              <w:ind w:firstLine="0" w:firstLineChars="0"/>
              <w:jc w:val="left"/>
              <w:textAlignment w:val="center"/>
              <w:rPr>
                <w:rFonts w:cs="Times New Roman"/>
                <w:sz w:val="24"/>
                <w:szCs w:val="24"/>
              </w:rPr>
            </w:pPr>
            <w:r>
              <w:rPr>
                <w:rFonts w:cs="Times New Roman"/>
                <w:kern w:val="0"/>
                <w:sz w:val="24"/>
                <w:szCs w:val="24"/>
                <w:lang w:bidi="ar"/>
              </w:rPr>
              <w:t>若是，项目所采用的量化评价指标及数值为___________________</w:t>
            </w:r>
          </w:p>
        </w:tc>
      </w:tr>
      <w:tr w14:paraId="746FF4B4">
        <w:tblPrEx>
          <w:tblCellMar>
            <w:top w:w="0" w:type="dxa"/>
            <w:left w:w="108" w:type="dxa"/>
            <w:bottom w:w="0" w:type="dxa"/>
            <w:right w:w="108" w:type="dxa"/>
          </w:tblCellMar>
        </w:tblPrEx>
        <w:trPr>
          <w:trHeight w:val="1780" w:hRule="atLeast"/>
        </w:trPr>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AD14DF">
            <w:pPr>
              <w:widowControl/>
              <w:spacing w:line="320" w:lineRule="exact"/>
              <w:ind w:firstLine="0" w:firstLineChars="0"/>
              <w:jc w:val="center"/>
              <w:textAlignment w:val="center"/>
              <w:rPr>
                <w:rFonts w:cs="Times New Roman"/>
                <w:sz w:val="24"/>
                <w:szCs w:val="24"/>
              </w:rPr>
            </w:pPr>
            <w:r>
              <w:rPr>
                <w:rFonts w:cs="Times New Roman"/>
                <w:kern w:val="0"/>
                <w:sz w:val="24"/>
                <w:szCs w:val="24"/>
                <w:lang w:bidi="ar"/>
              </w:rPr>
              <w:t>7</w:t>
            </w:r>
          </w:p>
        </w:tc>
        <w:tc>
          <w:tcPr>
            <w:tcW w:w="16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FC9AF2">
            <w:pPr>
              <w:widowControl/>
              <w:spacing w:line="320" w:lineRule="exact"/>
              <w:ind w:firstLine="0" w:firstLineChars="0"/>
              <w:textAlignment w:val="center"/>
              <w:rPr>
                <w:rFonts w:cs="Times New Roman"/>
                <w:sz w:val="24"/>
                <w:szCs w:val="24"/>
              </w:rPr>
            </w:pPr>
            <w:r>
              <w:rPr>
                <w:rFonts w:cs="Times New Roman"/>
                <w:kern w:val="0"/>
                <w:sz w:val="24"/>
                <w:szCs w:val="24"/>
                <w:lang w:bidi="ar"/>
              </w:rPr>
              <w:t>项目实施是否产生提高就业率、提高农业生产效率、减少食品浪费和损失、提高食品安全和卫生标准、提高医疗设施与服务的覆盖范围和质量、提高教育设施与服务的覆盖范围和质量、促进就业性别平等、提升水资源利用效率和质量、促进文化保护等社会效益。</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B19F11">
            <w:pPr>
              <w:widowControl/>
              <w:spacing w:line="320" w:lineRule="exact"/>
              <w:ind w:firstLine="0" w:firstLineChars="0"/>
              <w:jc w:val="center"/>
              <w:textAlignment w:val="center"/>
              <w:rPr>
                <w:rStyle w:val="34"/>
                <w:rFonts w:hint="default" w:ascii="Times New Roman" w:cs="Times New Roman"/>
                <w:color w:val="auto"/>
                <w:sz w:val="24"/>
                <w:szCs w:val="24"/>
                <w:lang w:bidi="ar"/>
              </w:rPr>
            </w:pPr>
            <w:r>
              <w:rPr>
                <w:rFonts w:ascii="Segoe UI Symbol" w:hAnsi="Segoe UI Symbol" w:cs="Segoe UI Symbol"/>
                <w:kern w:val="0"/>
                <w:sz w:val="24"/>
                <w:szCs w:val="24"/>
                <w:lang w:bidi="ar"/>
              </w:rPr>
              <w:t>☐</w:t>
            </w:r>
            <w:r>
              <w:rPr>
                <w:rStyle w:val="34"/>
                <w:rFonts w:hint="default" w:ascii="Times New Roman" w:cs="Times New Roman"/>
                <w:color w:val="auto"/>
                <w:sz w:val="24"/>
                <w:szCs w:val="24"/>
                <w:lang w:bidi="ar"/>
              </w:rPr>
              <w:t>是</w:t>
            </w:r>
          </w:p>
          <w:p w14:paraId="45001889">
            <w:pPr>
              <w:widowControl/>
              <w:spacing w:line="320" w:lineRule="exact"/>
              <w:ind w:firstLine="0" w:firstLineChars="0"/>
              <w:jc w:val="center"/>
              <w:textAlignment w:val="center"/>
              <w:rPr>
                <w:rFonts w:cs="Times New Roman"/>
                <w:sz w:val="24"/>
                <w:szCs w:val="24"/>
              </w:rPr>
            </w:pPr>
            <w:r>
              <w:rPr>
                <w:rStyle w:val="35"/>
                <w:rFonts w:hint="default" w:ascii="Segoe UI Symbol" w:hAnsi="Segoe UI Symbol" w:eastAsia="仿宋_GB2312" w:cs="Segoe UI Symbol"/>
                <w:color w:val="auto"/>
                <w:sz w:val="24"/>
                <w:szCs w:val="24"/>
                <w:lang w:bidi="ar"/>
              </w:rPr>
              <w:t>☐</w:t>
            </w:r>
            <w:r>
              <w:rPr>
                <w:rStyle w:val="34"/>
                <w:rFonts w:hint="default" w:ascii="Times New Roman" w:cs="Times New Roman"/>
                <w:color w:val="auto"/>
                <w:sz w:val="24"/>
                <w:szCs w:val="24"/>
                <w:lang w:bidi="ar"/>
              </w:rPr>
              <w:t>否</w:t>
            </w:r>
          </w:p>
        </w:tc>
        <w:tc>
          <w:tcPr>
            <w:tcW w:w="21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5F30BA">
            <w:pPr>
              <w:widowControl/>
              <w:spacing w:line="320" w:lineRule="exact"/>
              <w:ind w:firstLine="0" w:firstLineChars="0"/>
              <w:jc w:val="left"/>
              <w:textAlignment w:val="center"/>
              <w:rPr>
                <w:rFonts w:cs="Times New Roman"/>
                <w:sz w:val="24"/>
                <w:szCs w:val="24"/>
              </w:rPr>
            </w:pPr>
            <w:r>
              <w:rPr>
                <w:rFonts w:cs="Times New Roman"/>
                <w:kern w:val="0"/>
                <w:sz w:val="24"/>
                <w:szCs w:val="24"/>
                <w:lang w:bidi="ar"/>
              </w:rPr>
              <w:t>若是，项目产生的社会效益为_________________。</w:t>
            </w:r>
          </w:p>
        </w:tc>
      </w:tr>
      <w:tr w14:paraId="18F584CC">
        <w:tblPrEx>
          <w:tblCellMar>
            <w:top w:w="0" w:type="dxa"/>
            <w:left w:w="108" w:type="dxa"/>
            <w:bottom w:w="0" w:type="dxa"/>
            <w:right w:w="108" w:type="dxa"/>
          </w:tblCellMar>
        </w:tblPrEx>
        <w:trPr>
          <w:trHeight w:val="1353" w:hRule="atLeast"/>
        </w:trPr>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708309">
            <w:pPr>
              <w:widowControl/>
              <w:spacing w:line="320" w:lineRule="exact"/>
              <w:ind w:firstLine="0" w:firstLineChars="0"/>
              <w:jc w:val="center"/>
              <w:textAlignment w:val="center"/>
              <w:rPr>
                <w:rFonts w:cs="Times New Roman"/>
                <w:sz w:val="24"/>
                <w:szCs w:val="24"/>
              </w:rPr>
            </w:pPr>
            <w:r>
              <w:rPr>
                <w:rFonts w:cs="Times New Roman"/>
                <w:kern w:val="0"/>
                <w:sz w:val="24"/>
                <w:szCs w:val="24"/>
                <w:lang w:bidi="ar"/>
              </w:rPr>
              <w:t>8</w:t>
            </w:r>
          </w:p>
        </w:tc>
        <w:tc>
          <w:tcPr>
            <w:tcW w:w="16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FCC5CE">
            <w:pPr>
              <w:widowControl/>
              <w:spacing w:line="320" w:lineRule="exact"/>
              <w:ind w:firstLine="0" w:firstLineChars="0"/>
              <w:textAlignment w:val="center"/>
              <w:rPr>
                <w:rFonts w:cs="Times New Roman"/>
                <w:sz w:val="24"/>
                <w:szCs w:val="24"/>
              </w:rPr>
            </w:pPr>
            <w:r>
              <w:rPr>
                <w:rFonts w:cs="Times New Roman"/>
                <w:kern w:val="0"/>
                <w:sz w:val="24"/>
                <w:szCs w:val="24"/>
                <w:lang w:bidi="ar"/>
              </w:rPr>
              <w:t>项目实施是否产生提升空气、水和土壤质量或/和促进保护生物多样性等环境协同效益。</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B546A1">
            <w:pPr>
              <w:widowControl/>
              <w:spacing w:line="320" w:lineRule="exact"/>
              <w:ind w:firstLine="0" w:firstLineChars="0"/>
              <w:jc w:val="center"/>
              <w:textAlignment w:val="center"/>
              <w:rPr>
                <w:rStyle w:val="34"/>
                <w:rFonts w:hint="default" w:ascii="Times New Roman" w:cs="Times New Roman"/>
                <w:color w:val="auto"/>
                <w:sz w:val="24"/>
                <w:szCs w:val="24"/>
                <w:lang w:bidi="ar"/>
              </w:rPr>
            </w:pPr>
            <w:r>
              <w:rPr>
                <w:rFonts w:ascii="Segoe UI Symbol" w:hAnsi="Segoe UI Symbol" w:cs="Segoe UI Symbol"/>
                <w:kern w:val="0"/>
                <w:sz w:val="24"/>
                <w:szCs w:val="24"/>
                <w:lang w:bidi="ar"/>
              </w:rPr>
              <w:t>☐</w:t>
            </w:r>
            <w:r>
              <w:rPr>
                <w:rStyle w:val="34"/>
                <w:rFonts w:hint="default" w:ascii="Times New Roman" w:cs="Times New Roman"/>
                <w:color w:val="auto"/>
                <w:sz w:val="24"/>
                <w:szCs w:val="24"/>
                <w:lang w:bidi="ar"/>
              </w:rPr>
              <w:t>是</w:t>
            </w:r>
          </w:p>
          <w:p w14:paraId="5BCD0776">
            <w:pPr>
              <w:widowControl/>
              <w:spacing w:line="320" w:lineRule="exact"/>
              <w:ind w:firstLine="0" w:firstLineChars="0"/>
              <w:jc w:val="center"/>
              <w:textAlignment w:val="center"/>
              <w:rPr>
                <w:rFonts w:cs="Times New Roman"/>
                <w:sz w:val="24"/>
                <w:szCs w:val="24"/>
              </w:rPr>
            </w:pPr>
            <w:r>
              <w:rPr>
                <w:rStyle w:val="35"/>
                <w:rFonts w:hint="default" w:ascii="Segoe UI Symbol" w:hAnsi="Segoe UI Symbol" w:eastAsia="仿宋_GB2312" w:cs="Segoe UI Symbol"/>
                <w:color w:val="auto"/>
                <w:sz w:val="24"/>
                <w:szCs w:val="24"/>
                <w:lang w:bidi="ar"/>
              </w:rPr>
              <w:t>☐</w:t>
            </w:r>
            <w:r>
              <w:rPr>
                <w:rStyle w:val="34"/>
                <w:rFonts w:hint="default" w:ascii="Times New Roman" w:cs="Times New Roman"/>
                <w:color w:val="auto"/>
                <w:sz w:val="24"/>
                <w:szCs w:val="24"/>
                <w:lang w:bidi="ar"/>
              </w:rPr>
              <w:t>否</w:t>
            </w:r>
          </w:p>
        </w:tc>
        <w:tc>
          <w:tcPr>
            <w:tcW w:w="21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FD97B1">
            <w:pPr>
              <w:widowControl/>
              <w:spacing w:line="320" w:lineRule="exact"/>
              <w:ind w:firstLine="0" w:firstLineChars="0"/>
              <w:jc w:val="left"/>
              <w:textAlignment w:val="center"/>
              <w:rPr>
                <w:rFonts w:cs="Times New Roman"/>
                <w:sz w:val="24"/>
                <w:szCs w:val="24"/>
              </w:rPr>
            </w:pPr>
            <w:r>
              <w:rPr>
                <w:rFonts w:cs="Times New Roman"/>
                <w:kern w:val="0"/>
                <w:sz w:val="24"/>
                <w:szCs w:val="24"/>
                <w:lang w:bidi="ar"/>
              </w:rPr>
              <w:t>若是，项目产生的环境效益为__________________。</w:t>
            </w:r>
          </w:p>
        </w:tc>
      </w:tr>
    </w:tbl>
    <w:p w14:paraId="4CE38F95">
      <w:pPr>
        <w:spacing w:line="240" w:lineRule="auto"/>
        <w:jc w:val="left"/>
        <w:rPr>
          <w:rFonts w:cs="Times New Roman"/>
        </w:rPr>
      </w:pPr>
      <w:r>
        <w:rPr>
          <w:rFonts w:eastAsia="黑体" w:cs="Times New Roman"/>
          <w:bCs/>
          <w:szCs w:val="32"/>
        </w:rPr>
        <w:br w:type="page"/>
      </w:r>
    </w:p>
    <w:p w14:paraId="24FE7A69">
      <w:pPr>
        <w:spacing w:line="240" w:lineRule="auto"/>
        <w:jc w:val="left"/>
        <w:rPr>
          <w:rFonts w:eastAsia="黑体" w:cs="Times New Roman"/>
          <w:bCs/>
          <w:szCs w:val="32"/>
        </w:rPr>
        <w:sectPr>
          <w:headerReference r:id="rId14" w:type="default"/>
          <w:pgSz w:w="11906" w:h="16838"/>
          <w:pgMar w:top="1440" w:right="1803" w:bottom="1440" w:left="1803" w:header="851" w:footer="992" w:gutter="0"/>
          <w:pgNumType w:fmt="numberInDash"/>
          <w:cols w:space="0" w:num="1"/>
          <w:docGrid w:type="lines" w:linePitch="436" w:charSpace="0"/>
        </w:sectPr>
      </w:pPr>
    </w:p>
    <w:p w14:paraId="3CCD52EC">
      <w:pPr>
        <w:ind w:left="0" w:leftChars="0" w:firstLine="0" w:firstLineChars="0"/>
        <w:jc w:val="left"/>
        <w:outlineLvl w:val="0"/>
        <w:rPr>
          <w:rFonts w:hint="eastAsia" w:ascii="黑体" w:hAnsi="黑体" w:eastAsia="黑体" w:cs="黑体"/>
          <w:kern w:val="44"/>
          <w:szCs w:val="44"/>
        </w:rPr>
      </w:pPr>
      <w:bookmarkStart w:id="24" w:name="_Toc14942"/>
      <w:r>
        <w:rPr>
          <w:rFonts w:hint="eastAsia" w:ascii="黑体" w:hAnsi="黑体" w:eastAsia="黑体" w:cs="黑体"/>
          <w:kern w:val="44"/>
          <w:szCs w:val="44"/>
        </w:rPr>
        <w:t>附件</w:t>
      </w:r>
      <w:bookmarkEnd w:id="24"/>
      <w:r>
        <w:rPr>
          <w:rFonts w:hint="eastAsia" w:ascii="黑体" w:hAnsi="黑体" w:eastAsia="黑体" w:cs="黑体"/>
          <w:kern w:val="44"/>
          <w:szCs w:val="44"/>
        </w:rPr>
        <w:t xml:space="preserve">5 </w:t>
      </w:r>
    </w:p>
    <w:p w14:paraId="0053BE54">
      <w:pPr>
        <w:ind w:firstLine="0" w:firstLineChars="0"/>
        <w:jc w:val="center"/>
        <w:outlineLvl w:val="0"/>
        <w:rPr>
          <w:rFonts w:eastAsia="方正小标宋简体" w:cs="Times New Roman"/>
          <w:sz w:val="36"/>
          <w:szCs w:val="36"/>
        </w:rPr>
      </w:pPr>
      <w:bookmarkStart w:id="25" w:name="_Toc19908"/>
      <w:r>
        <w:rPr>
          <w:rFonts w:eastAsia="方正小标宋简体" w:cs="Times New Roman"/>
          <w:sz w:val="36"/>
          <w:szCs w:val="36"/>
        </w:rPr>
        <w:t>密云区气候投融资项目评价报告</w:t>
      </w:r>
      <w:bookmarkEnd w:id="25"/>
    </w:p>
    <w:p w14:paraId="7F047AFB">
      <w:pPr>
        <w:ind w:firstLine="643"/>
        <w:rPr>
          <w:rFonts w:hint="eastAsia" w:ascii="仿宋_GB2312" w:hAnsi="仿宋_GB2312" w:eastAsia="仿宋_GB2312" w:cs="仿宋_GB2312"/>
          <w:b/>
          <w:szCs w:val="32"/>
        </w:rPr>
      </w:pPr>
      <w:bookmarkStart w:id="26" w:name="_Toc18718"/>
      <w:r>
        <w:rPr>
          <w:rFonts w:hint="eastAsia" w:ascii="仿宋_GB2312" w:hAnsi="仿宋_GB2312" w:eastAsia="仿宋_GB2312" w:cs="仿宋_GB2312"/>
          <w:b/>
          <w:szCs w:val="32"/>
        </w:rPr>
        <w:t>附件5-1 减缓类项目评价报告</w:t>
      </w:r>
      <w:bookmarkEnd w:id="26"/>
    </w:p>
    <w:tbl>
      <w:tblPr>
        <w:tblStyle w:val="15"/>
        <w:tblW w:w="4977" w:type="pct"/>
        <w:tblInd w:w="0" w:type="dxa"/>
        <w:tblLayout w:type="fixed"/>
        <w:tblCellMar>
          <w:top w:w="0" w:type="dxa"/>
          <w:left w:w="108" w:type="dxa"/>
          <w:bottom w:w="0" w:type="dxa"/>
          <w:right w:w="108" w:type="dxa"/>
        </w:tblCellMar>
      </w:tblPr>
      <w:tblGrid>
        <w:gridCol w:w="2113"/>
        <w:gridCol w:w="1341"/>
        <w:gridCol w:w="2470"/>
        <w:gridCol w:w="5592"/>
        <w:gridCol w:w="726"/>
        <w:gridCol w:w="1869"/>
      </w:tblGrid>
      <w:tr w14:paraId="3184445D">
        <w:tblPrEx>
          <w:tblCellMar>
            <w:top w:w="0" w:type="dxa"/>
            <w:left w:w="108" w:type="dxa"/>
            <w:bottom w:w="0" w:type="dxa"/>
            <w:right w:w="108" w:type="dxa"/>
          </w:tblCellMar>
        </w:tblPrEx>
        <w:trPr>
          <w:trHeight w:val="300" w:hRule="atLeast"/>
        </w:trPr>
        <w:tc>
          <w:tcPr>
            <w:tcW w:w="3452" w:type="dxa"/>
            <w:gridSpan w:val="2"/>
            <w:tcBorders>
              <w:top w:val="single" w:color="000000" w:sz="4" w:space="0"/>
              <w:left w:val="single" w:color="000000" w:sz="4" w:space="0"/>
              <w:bottom w:val="single" w:color="000000" w:sz="4" w:space="0"/>
              <w:right w:val="single" w:color="000000" w:sz="4" w:space="0"/>
            </w:tcBorders>
            <w:vAlign w:val="center"/>
          </w:tcPr>
          <w:p w14:paraId="559D74CF">
            <w:pPr>
              <w:ind w:firstLine="0" w:firstLineChars="0"/>
              <w:rPr>
                <w:rFonts w:cs="Times New Roman"/>
                <w:b/>
                <w:bCs/>
                <w:sz w:val="24"/>
                <w:szCs w:val="24"/>
              </w:rPr>
            </w:pPr>
            <w:r>
              <w:rPr>
                <w:rFonts w:cs="Times New Roman"/>
                <w:b/>
                <w:bCs/>
                <w:kern w:val="0"/>
                <w:sz w:val="24"/>
                <w:szCs w:val="24"/>
              </w:rPr>
              <w:t>项目名称</w:t>
            </w:r>
          </w:p>
        </w:tc>
        <w:tc>
          <w:tcPr>
            <w:tcW w:w="10658" w:type="dxa"/>
            <w:gridSpan w:val="4"/>
            <w:tcBorders>
              <w:top w:val="single" w:color="000000" w:sz="4" w:space="0"/>
              <w:left w:val="single" w:color="000000" w:sz="4" w:space="0"/>
              <w:bottom w:val="single" w:color="000000" w:sz="4" w:space="0"/>
              <w:right w:val="single" w:color="000000" w:sz="4" w:space="0"/>
            </w:tcBorders>
            <w:vAlign w:val="center"/>
          </w:tcPr>
          <w:p w14:paraId="1D07F421">
            <w:pPr>
              <w:ind w:firstLine="0" w:firstLineChars="0"/>
              <w:rPr>
                <w:rFonts w:eastAsia="黑体" w:cs="Times New Roman"/>
                <w:sz w:val="24"/>
                <w:szCs w:val="24"/>
              </w:rPr>
            </w:pPr>
          </w:p>
        </w:tc>
      </w:tr>
      <w:tr w14:paraId="7B7F72CE">
        <w:tblPrEx>
          <w:tblCellMar>
            <w:top w:w="0" w:type="dxa"/>
            <w:left w:w="108" w:type="dxa"/>
            <w:bottom w:w="0" w:type="dxa"/>
            <w:right w:w="108" w:type="dxa"/>
          </w:tblCellMar>
        </w:tblPrEx>
        <w:trPr>
          <w:trHeight w:val="300" w:hRule="atLeast"/>
        </w:trPr>
        <w:tc>
          <w:tcPr>
            <w:tcW w:w="3452" w:type="dxa"/>
            <w:gridSpan w:val="2"/>
            <w:tcBorders>
              <w:top w:val="single" w:color="000000" w:sz="4" w:space="0"/>
              <w:left w:val="single" w:color="000000" w:sz="4" w:space="0"/>
              <w:bottom w:val="single" w:color="000000" w:sz="4" w:space="0"/>
              <w:right w:val="single" w:color="000000" w:sz="4" w:space="0"/>
            </w:tcBorders>
            <w:vAlign w:val="center"/>
          </w:tcPr>
          <w:p w14:paraId="13F2735D">
            <w:pPr>
              <w:ind w:firstLine="0" w:firstLineChars="0"/>
              <w:rPr>
                <w:rFonts w:cs="Times New Roman"/>
                <w:b/>
                <w:bCs/>
                <w:kern w:val="0"/>
                <w:sz w:val="24"/>
                <w:szCs w:val="24"/>
              </w:rPr>
            </w:pPr>
            <w:r>
              <w:rPr>
                <w:rFonts w:cs="Times New Roman"/>
                <w:b/>
                <w:bCs/>
                <w:kern w:val="0"/>
                <w:sz w:val="24"/>
                <w:szCs w:val="24"/>
              </w:rPr>
              <w:t>项目类别属性</w:t>
            </w:r>
          </w:p>
        </w:tc>
        <w:tc>
          <w:tcPr>
            <w:tcW w:w="10658" w:type="dxa"/>
            <w:gridSpan w:val="4"/>
            <w:tcBorders>
              <w:top w:val="single" w:color="000000" w:sz="4" w:space="0"/>
              <w:left w:val="single" w:color="000000" w:sz="4" w:space="0"/>
              <w:bottom w:val="single" w:color="000000" w:sz="4" w:space="0"/>
              <w:right w:val="single" w:color="000000" w:sz="4" w:space="0"/>
            </w:tcBorders>
            <w:vAlign w:val="center"/>
          </w:tcPr>
          <w:p w14:paraId="7DB286ED">
            <w:pPr>
              <w:ind w:firstLine="0" w:firstLineChars="0"/>
              <w:rPr>
                <w:rFonts w:eastAsia="黑体" w:cs="Times New Roman"/>
                <w:kern w:val="0"/>
                <w:sz w:val="24"/>
                <w:szCs w:val="24"/>
              </w:rPr>
            </w:pPr>
          </w:p>
        </w:tc>
      </w:tr>
      <w:tr w14:paraId="77A3AF32">
        <w:tblPrEx>
          <w:tblCellMar>
            <w:top w:w="0" w:type="dxa"/>
            <w:left w:w="108" w:type="dxa"/>
            <w:bottom w:w="0" w:type="dxa"/>
            <w:right w:w="108" w:type="dxa"/>
          </w:tblCellMar>
        </w:tblPrEx>
        <w:trPr>
          <w:trHeight w:val="300" w:hRule="atLeast"/>
        </w:trPr>
        <w:tc>
          <w:tcPr>
            <w:tcW w:w="14110" w:type="dxa"/>
            <w:gridSpan w:val="6"/>
            <w:tcBorders>
              <w:top w:val="single" w:color="000000" w:sz="4" w:space="0"/>
              <w:left w:val="single" w:color="000000" w:sz="4" w:space="0"/>
              <w:bottom w:val="single" w:color="000000" w:sz="4" w:space="0"/>
              <w:right w:val="single" w:color="000000" w:sz="4" w:space="0"/>
            </w:tcBorders>
            <w:vAlign w:val="center"/>
          </w:tcPr>
          <w:p w14:paraId="7FB0AB3A">
            <w:pPr>
              <w:widowControl/>
              <w:ind w:firstLine="0" w:firstLineChars="0"/>
              <w:jc w:val="left"/>
              <w:textAlignment w:val="center"/>
              <w:rPr>
                <w:rFonts w:cs="Times New Roman"/>
                <w:b/>
                <w:bCs/>
                <w:sz w:val="24"/>
                <w:szCs w:val="24"/>
              </w:rPr>
            </w:pPr>
            <w:r>
              <w:rPr>
                <w:rFonts w:cs="Times New Roman"/>
                <w:b/>
                <w:bCs/>
                <w:kern w:val="0"/>
                <w:sz w:val="24"/>
                <w:szCs w:val="24"/>
              </w:rPr>
              <w:t>一、评分体系</w:t>
            </w:r>
          </w:p>
        </w:tc>
      </w:tr>
      <w:tr w14:paraId="6501B4CC">
        <w:tblPrEx>
          <w:tblCellMar>
            <w:top w:w="0" w:type="dxa"/>
            <w:left w:w="108" w:type="dxa"/>
            <w:bottom w:w="0" w:type="dxa"/>
            <w:right w:w="108" w:type="dxa"/>
          </w:tblCellMar>
        </w:tblPrEx>
        <w:trPr>
          <w:trHeight w:val="300" w:hRule="atLeast"/>
        </w:trPr>
        <w:tc>
          <w:tcPr>
            <w:tcW w:w="2112" w:type="dxa"/>
            <w:tcBorders>
              <w:top w:val="nil"/>
              <w:left w:val="single" w:color="000000" w:sz="4" w:space="0"/>
              <w:bottom w:val="single" w:color="000000" w:sz="4" w:space="0"/>
              <w:right w:val="single" w:color="000000" w:sz="4" w:space="0"/>
            </w:tcBorders>
            <w:vAlign w:val="center"/>
          </w:tcPr>
          <w:p w14:paraId="2BC6FD32">
            <w:pPr>
              <w:widowControl/>
              <w:spacing w:line="320" w:lineRule="exact"/>
              <w:ind w:firstLine="0" w:firstLineChars="0"/>
              <w:jc w:val="center"/>
              <w:textAlignment w:val="center"/>
              <w:rPr>
                <w:rFonts w:cs="Times New Roman"/>
                <w:b/>
                <w:bCs/>
                <w:sz w:val="24"/>
                <w:szCs w:val="24"/>
              </w:rPr>
            </w:pPr>
            <w:bookmarkStart w:id="27" w:name="_Hlk144123594"/>
            <w:r>
              <w:rPr>
                <w:rFonts w:cs="Times New Roman"/>
                <w:b/>
                <w:bCs/>
                <w:kern w:val="0"/>
                <w:sz w:val="24"/>
                <w:szCs w:val="24"/>
              </w:rPr>
              <w:t>一级指标</w:t>
            </w:r>
          </w:p>
        </w:tc>
        <w:tc>
          <w:tcPr>
            <w:tcW w:w="1340" w:type="dxa"/>
            <w:tcBorders>
              <w:top w:val="nil"/>
              <w:left w:val="nil"/>
              <w:bottom w:val="single" w:color="000000" w:sz="4" w:space="0"/>
              <w:right w:val="single" w:color="000000" w:sz="4" w:space="0"/>
            </w:tcBorders>
            <w:vAlign w:val="center"/>
          </w:tcPr>
          <w:p w14:paraId="384FA746">
            <w:pPr>
              <w:widowControl/>
              <w:spacing w:line="320" w:lineRule="exact"/>
              <w:ind w:firstLine="0" w:firstLineChars="0"/>
              <w:jc w:val="center"/>
              <w:textAlignment w:val="center"/>
              <w:rPr>
                <w:rFonts w:cs="Times New Roman"/>
                <w:b/>
                <w:bCs/>
                <w:sz w:val="24"/>
                <w:szCs w:val="24"/>
              </w:rPr>
            </w:pPr>
            <w:r>
              <w:rPr>
                <w:rFonts w:cs="Times New Roman"/>
                <w:b/>
                <w:bCs/>
                <w:kern w:val="0"/>
                <w:sz w:val="24"/>
                <w:szCs w:val="24"/>
              </w:rPr>
              <w:t>项目类型</w:t>
            </w:r>
          </w:p>
        </w:tc>
        <w:tc>
          <w:tcPr>
            <w:tcW w:w="2470" w:type="dxa"/>
            <w:tcBorders>
              <w:top w:val="nil"/>
              <w:left w:val="nil"/>
              <w:bottom w:val="single" w:color="000000" w:sz="4" w:space="0"/>
              <w:right w:val="single" w:color="000000" w:sz="4" w:space="0"/>
            </w:tcBorders>
            <w:vAlign w:val="center"/>
          </w:tcPr>
          <w:p w14:paraId="26D063F3">
            <w:pPr>
              <w:widowControl/>
              <w:spacing w:line="320" w:lineRule="exact"/>
              <w:ind w:firstLine="0" w:firstLineChars="0"/>
              <w:jc w:val="center"/>
              <w:textAlignment w:val="center"/>
              <w:rPr>
                <w:rFonts w:cs="Times New Roman"/>
                <w:b/>
                <w:bCs/>
                <w:sz w:val="24"/>
                <w:szCs w:val="24"/>
              </w:rPr>
            </w:pPr>
            <w:r>
              <w:rPr>
                <w:rFonts w:cs="Times New Roman"/>
                <w:b/>
                <w:bCs/>
                <w:kern w:val="0"/>
                <w:sz w:val="24"/>
                <w:szCs w:val="24"/>
              </w:rPr>
              <w:t>二级指标</w:t>
            </w:r>
          </w:p>
        </w:tc>
        <w:tc>
          <w:tcPr>
            <w:tcW w:w="5597" w:type="dxa"/>
            <w:tcBorders>
              <w:top w:val="nil"/>
              <w:left w:val="nil"/>
              <w:bottom w:val="single" w:color="000000" w:sz="4" w:space="0"/>
              <w:right w:val="single" w:color="000000" w:sz="4" w:space="0"/>
            </w:tcBorders>
            <w:vAlign w:val="center"/>
          </w:tcPr>
          <w:p w14:paraId="3F459D88">
            <w:pPr>
              <w:widowControl/>
              <w:spacing w:line="320" w:lineRule="exact"/>
              <w:ind w:firstLine="0" w:firstLineChars="0"/>
              <w:jc w:val="center"/>
              <w:textAlignment w:val="center"/>
              <w:rPr>
                <w:rFonts w:cs="Times New Roman"/>
                <w:b/>
                <w:bCs/>
                <w:sz w:val="24"/>
                <w:szCs w:val="24"/>
              </w:rPr>
            </w:pPr>
            <w:r>
              <w:rPr>
                <w:rFonts w:cs="Times New Roman"/>
                <w:b/>
                <w:bCs/>
                <w:kern w:val="0"/>
                <w:sz w:val="24"/>
                <w:szCs w:val="24"/>
              </w:rPr>
              <w:t>二级指标说明</w:t>
            </w:r>
          </w:p>
        </w:tc>
        <w:tc>
          <w:tcPr>
            <w:tcW w:w="723" w:type="dxa"/>
            <w:tcBorders>
              <w:top w:val="nil"/>
              <w:left w:val="nil"/>
              <w:bottom w:val="single" w:color="000000" w:sz="4" w:space="0"/>
              <w:right w:val="single" w:color="000000" w:sz="4" w:space="0"/>
            </w:tcBorders>
            <w:noWrap/>
            <w:vAlign w:val="center"/>
          </w:tcPr>
          <w:p w14:paraId="479CB28C">
            <w:pPr>
              <w:widowControl/>
              <w:spacing w:line="320" w:lineRule="exact"/>
              <w:ind w:firstLine="0" w:firstLineChars="0"/>
              <w:jc w:val="center"/>
              <w:textAlignment w:val="center"/>
              <w:rPr>
                <w:rFonts w:cs="Times New Roman"/>
                <w:b/>
                <w:bCs/>
                <w:sz w:val="24"/>
                <w:szCs w:val="24"/>
              </w:rPr>
            </w:pPr>
            <w:r>
              <w:rPr>
                <w:rFonts w:cs="Times New Roman"/>
                <w:b/>
                <w:bCs/>
                <w:kern w:val="0"/>
                <w:sz w:val="24"/>
                <w:szCs w:val="24"/>
              </w:rPr>
              <w:t>得分</w:t>
            </w:r>
          </w:p>
        </w:tc>
        <w:tc>
          <w:tcPr>
            <w:tcW w:w="1868" w:type="dxa"/>
            <w:tcBorders>
              <w:top w:val="nil"/>
              <w:left w:val="nil"/>
              <w:bottom w:val="single" w:color="000000" w:sz="4" w:space="0"/>
              <w:right w:val="single" w:color="000000" w:sz="4" w:space="0"/>
            </w:tcBorders>
            <w:noWrap/>
            <w:vAlign w:val="center"/>
          </w:tcPr>
          <w:p w14:paraId="1FD76CF2">
            <w:pPr>
              <w:widowControl/>
              <w:spacing w:line="320" w:lineRule="exact"/>
              <w:ind w:firstLine="0" w:firstLineChars="0"/>
              <w:jc w:val="center"/>
              <w:textAlignment w:val="center"/>
              <w:rPr>
                <w:rFonts w:cs="Times New Roman"/>
                <w:b/>
                <w:bCs/>
                <w:kern w:val="0"/>
                <w:sz w:val="24"/>
                <w:szCs w:val="24"/>
              </w:rPr>
            </w:pPr>
            <w:r>
              <w:rPr>
                <w:rFonts w:cs="Times New Roman"/>
                <w:b/>
                <w:bCs/>
                <w:kern w:val="0"/>
                <w:sz w:val="24"/>
                <w:szCs w:val="24"/>
              </w:rPr>
              <w:t>证明</w:t>
            </w:r>
          </w:p>
          <w:p w14:paraId="797772F2">
            <w:pPr>
              <w:widowControl/>
              <w:spacing w:line="320" w:lineRule="exact"/>
              <w:ind w:firstLine="0" w:firstLineChars="0"/>
              <w:jc w:val="center"/>
              <w:textAlignment w:val="center"/>
              <w:rPr>
                <w:rFonts w:cs="Times New Roman"/>
                <w:b/>
                <w:bCs/>
                <w:sz w:val="24"/>
                <w:szCs w:val="24"/>
              </w:rPr>
            </w:pPr>
            <w:r>
              <w:rPr>
                <w:rFonts w:cs="Times New Roman"/>
                <w:b/>
                <w:bCs/>
                <w:kern w:val="0"/>
                <w:sz w:val="24"/>
                <w:szCs w:val="24"/>
              </w:rPr>
              <w:t>材料</w:t>
            </w:r>
          </w:p>
        </w:tc>
      </w:tr>
      <w:tr w14:paraId="6CA50C49">
        <w:tblPrEx>
          <w:tblCellMar>
            <w:top w:w="0" w:type="dxa"/>
            <w:left w:w="108" w:type="dxa"/>
            <w:bottom w:w="0" w:type="dxa"/>
            <w:right w:w="108" w:type="dxa"/>
          </w:tblCellMar>
        </w:tblPrEx>
        <w:trPr>
          <w:trHeight w:val="981" w:hRule="atLeast"/>
        </w:trPr>
        <w:tc>
          <w:tcPr>
            <w:tcW w:w="2112" w:type="dxa"/>
            <w:tcBorders>
              <w:top w:val="single" w:color="000000" w:sz="4" w:space="0"/>
              <w:left w:val="single" w:color="000000" w:sz="4" w:space="0"/>
              <w:bottom w:val="single" w:color="000000" w:sz="4" w:space="0"/>
              <w:right w:val="single" w:color="000000" w:sz="4" w:space="0"/>
            </w:tcBorders>
            <w:vAlign w:val="center"/>
          </w:tcPr>
          <w:p w14:paraId="51DDB840">
            <w:pPr>
              <w:widowControl/>
              <w:spacing w:line="320" w:lineRule="exact"/>
              <w:ind w:firstLine="0" w:firstLineChars="0"/>
              <w:jc w:val="center"/>
              <w:textAlignment w:val="center"/>
              <w:rPr>
                <w:rFonts w:cs="Times New Roman"/>
                <w:sz w:val="24"/>
                <w:szCs w:val="24"/>
              </w:rPr>
            </w:pPr>
            <w:r>
              <w:rPr>
                <w:rFonts w:cs="Times New Roman"/>
                <w:kern w:val="0"/>
                <w:sz w:val="24"/>
                <w:szCs w:val="24"/>
              </w:rPr>
              <w:t>约束指标</w:t>
            </w:r>
          </w:p>
        </w:tc>
        <w:tc>
          <w:tcPr>
            <w:tcW w:w="1340" w:type="dxa"/>
            <w:tcBorders>
              <w:top w:val="single" w:color="000000" w:sz="4" w:space="0"/>
              <w:left w:val="nil"/>
              <w:bottom w:val="single" w:color="000000" w:sz="4" w:space="0"/>
              <w:right w:val="single" w:color="000000" w:sz="4" w:space="0"/>
            </w:tcBorders>
            <w:vAlign w:val="center"/>
          </w:tcPr>
          <w:p w14:paraId="1E14461A">
            <w:pPr>
              <w:widowControl/>
              <w:spacing w:line="320" w:lineRule="exact"/>
              <w:ind w:firstLine="0" w:firstLineChars="0"/>
              <w:jc w:val="center"/>
              <w:textAlignment w:val="center"/>
              <w:rPr>
                <w:rFonts w:cs="Times New Roman"/>
                <w:sz w:val="24"/>
                <w:szCs w:val="24"/>
              </w:rPr>
            </w:pPr>
            <w:r>
              <w:rPr>
                <w:rFonts w:cs="Times New Roman"/>
                <w:kern w:val="0"/>
                <w:sz w:val="24"/>
                <w:szCs w:val="24"/>
              </w:rPr>
              <w:t>Ⅰ/Ⅱ</w:t>
            </w:r>
            <w:r>
              <w:rPr>
                <w:rFonts w:cs="Times New Roman"/>
                <w:spacing w:val="-23"/>
                <w:kern w:val="0"/>
                <w:sz w:val="24"/>
                <w:szCs w:val="24"/>
              </w:rPr>
              <w:t>类项目</w:t>
            </w:r>
          </w:p>
        </w:tc>
        <w:tc>
          <w:tcPr>
            <w:tcW w:w="2470" w:type="dxa"/>
            <w:tcBorders>
              <w:top w:val="single" w:color="000000" w:sz="4" w:space="0"/>
              <w:left w:val="nil"/>
              <w:bottom w:val="single" w:color="000000" w:sz="4" w:space="0"/>
              <w:right w:val="single" w:color="000000" w:sz="4" w:space="0"/>
            </w:tcBorders>
            <w:noWrap/>
            <w:vAlign w:val="center"/>
          </w:tcPr>
          <w:p w14:paraId="15378513">
            <w:pPr>
              <w:widowControl/>
              <w:spacing w:line="320" w:lineRule="exact"/>
              <w:ind w:firstLine="0" w:firstLineChars="0"/>
              <w:jc w:val="center"/>
              <w:textAlignment w:val="center"/>
              <w:rPr>
                <w:rFonts w:cs="Times New Roman"/>
                <w:kern w:val="0"/>
                <w:sz w:val="24"/>
                <w:szCs w:val="24"/>
              </w:rPr>
            </w:pPr>
            <w:r>
              <w:rPr>
                <w:rFonts w:cs="Times New Roman"/>
                <w:kern w:val="0"/>
                <w:sz w:val="24"/>
                <w:szCs w:val="24"/>
              </w:rPr>
              <w:t>约束指标符合性</w:t>
            </w:r>
          </w:p>
        </w:tc>
        <w:tc>
          <w:tcPr>
            <w:tcW w:w="5597" w:type="dxa"/>
            <w:tcBorders>
              <w:top w:val="nil"/>
              <w:left w:val="nil"/>
              <w:bottom w:val="single" w:color="000000" w:sz="4" w:space="0"/>
              <w:right w:val="single" w:color="000000" w:sz="4" w:space="0"/>
            </w:tcBorders>
            <w:vAlign w:val="center"/>
          </w:tcPr>
          <w:p w14:paraId="01B7275C">
            <w:pPr>
              <w:widowControl/>
              <w:spacing w:line="320" w:lineRule="exact"/>
              <w:ind w:firstLine="0" w:firstLineChars="0"/>
              <w:textAlignment w:val="center"/>
              <w:rPr>
                <w:rFonts w:cs="Times New Roman"/>
                <w:sz w:val="24"/>
                <w:szCs w:val="24"/>
              </w:rPr>
            </w:pPr>
            <w:r>
              <w:rPr>
                <w:rFonts w:cs="Times New Roman"/>
                <w:kern w:val="0"/>
                <w:sz w:val="24"/>
                <w:szCs w:val="24"/>
              </w:rPr>
              <w:t>项目应通过所有约束指标评价，尤其是建设内容应属于《北京市密云区气候投融资项目分类目录（生态涵养区</w:t>
            </w:r>
            <w:r>
              <w:rPr>
                <w:rFonts w:hint="eastAsia" w:cs="Times New Roman"/>
                <w:kern w:val="0"/>
                <w:sz w:val="24"/>
                <w:szCs w:val="24"/>
              </w:rPr>
              <w:t xml:space="preserve"> 试行</w:t>
            </w:r>
            <w:r>
              <w:rPr>
                <w:rFonts w:cs="Times New Roman"/>
                <w:kern w:val="0"/>
                <w:sz w:val="24"/>
                <w:szCs w:val="24"/>
              </w:rPr>
              <w:t>）》所列范围。</w:t>
            </w:r>
          </w:p>
        </w:tc>
        <w:tc>
          <w:tcPr>
            <w:tcW w:w="723" w:type="dxa"/>
            <w:tcBorders>
              <w:top w:val="single" w:color="000000" w:sz="4" w:space="0"/>
              <w:left w:val="nil"/>
              <w:bottom w:val="single" w:color="000000" w:sz="4" w:space="0"/>
              <w:right w:val="single" w:color="000000" w:sz="4" w:space="0"/>
            </w:tcBorders>
            <w:noWrap/>
            <w:vAlign w:val="center"/>
          </w:tcPr>
          <w:p w14:paraId="60EBC813">
            <w:pPr>
              <w:widowControl/>
              <w:spacing w:line="320" w:lineRule="exact"/>
              <w:ind w:firstLine="0" w:firstLineChars="0"/>
              <w:rPr>
                <w:rFonts w:cs="Times New Roman"/>
                <w:sz w:val="24"/>
                <w:szCs w:val="24"/>
              </w:rPr>
            </w:pPr>
          </w:p>
        </w:tc>
        <w:tc>
          <w:tcPr>
            <w:tcW w:w="1868" w:type="dxa"/>
            <w:tcBorders>
              <w:top w:val="single" w:color="000000" w:sz="4" w:space="0"/>
              <w:left w:val="nil"/>
              <w:bottom w:val="single" w:color="000000" w:sz="4" w:space="0"/>
              <w:right w:val="single" w:color="000000" w:sz="4" w:space="0"/>
            </w:tcBorders>
            <w:noWrap/>
            <w:vAlign w:val="center"/>
          </w:tcPr>
          <w:p w14:paraId="4D965793">
            <w:pPr>
              <w:widowControl/>
              <w:spacing w:line="320" w:lineRule="exact"/>
              <w:ind w:firstLine="0" w:firstLineChars="0"/>
              <w:rPr>
                <w:rFonts w:cs="Times New Roman"/>
                <w:sz w:val="24"/>
                <w:szCs w:val="24"/>
              </w:rPr>
            </w:pPr>
          </w:p>
        </w:tc>
      </w:tr>
      <w:tr w14:paraId="52166E39">
        <w:tblPrEx>
          <w:tblCellMar>
            <w:top w:w="0" w:type="dxa"/>
            <w:left w:w="108" w:type="dxa"/>
            <w:bottom w:w="0" w:type="dxa"/>
            <w:right w:w="108" w:type="dxa"/>
          </w:tblCellMar>
        </w:tblPrEx>
        <w:trPr>
          <w:trHeight w:val="750" w:hRule="atLeast"/>
        </w:trPr>
        <w:tc>
          <w:tcPr>
            <w:tcW w:w="2112" w:type="dxa"/>
            <w:vMerge w:val="restart"/>
            <w:tcBorders>
              <w:top w:val="nil"/>
              <w:left w:val="single" w:color="000000" w:sz="4" w:space="0"/>
              <w:bottom w:val="single" w:color="000000" w:sz="4" w:space="0"/>
              <w:right w:val="single" w:color="000000" w:sz="4" w:space="0"/>
            </w:tcBorders>
            <w:vAlign w:val="center"/>
          </w:tcPr>
          <w:p w14:paraId="26CB18A3">
            <w:pPr>
              <w:widowControl/>
              <w:spacing w:line="320" w:lineRule="exact"/>
              <w:ind w:firstLine="0" w:firstLineChars="0"/>
              <w:jc w:val="center"/>
              <w:textAlignment w:val="center"/>
              <w:rPr>
                <w:rFonts w:cs="Times New Roman"/>
                <w:kern w:val="0"/>
                <w:sz w:val="24"/>
                <w:szCs w:val="24"/>
              </w:rPr>
            </w:pPr>
            <w:r>
              <w:rPr>
                <w:rFonts w:cs="Times New Roman"/>
                <w:kern w:val="0"/>
                <w:sz w:val="24"/>
                <w:szCs w:val="24"/>
              </w:rPr>
              <w:t>气候效益</w:t>
            </w:r>
          </w:p>
        </w:tc>
        <w:tc>
          <w:tcPr>
            <w:tcW w:w="1340" w:type="dxa"/>
            <w:vMerge w:val="restart"/>
            <w:tcBorders>
              <w:top w:val="nil"/>
              <w:left w:val="nil"/>
              <w:bottom w:val="single" w:color="000000" w:sz="4" w:space="0"/>
              <w:right w:val="single" w:color="000000" w:sz="4" w:space="0"/>
            </w:tcBorders>
            <w:vAlign w:val="center"/>
          </w:tcPr>
          <w:p w14:paraId="61EC6E73">
            <w:pPr>
              <w:widowControl/>
              <w:spacing w:line="320" w:lineRule="exact"/>
              <w:ind w:firstLine="0" w:firstLineChars="0"/>
              <w:jc w:val="center"/>
              <w:textAlignment w:val="center"/>
              <w:rPr>
                <w:rFonts w:cs="Times New Roman"/>
                <w:sz w:val="24"/>
                <w:szCs w:val="24"/>
              </w:rPr>
            </w:pPr>
            <w:r>
              <w:rPr>
                <w:rFonts w:cs="Times New Roman"/>
                <w:kern w:val="0"/>
                <w:sz w:val="24"/>
                <w:szCs w:val="24"/>
              </w:rPr>
              <w:t>Ⅰ类项目</w:t>
            </w:r>
          </w:p>
        </w:tc>
        <w:tc>
          <w:tcPr>
            <w:tcW w:w="2470" w:type="dxa"/>
            <w:tcBorders>
              <w:top w:val="single" w:color="000000" w:sz="4" w:space="0"/>
              <w:left w:val="nil"/>
              <w:bottom w:val="single" w:color="000000" w:sz="4" w:space="0"/>
              <w:right w:val="single" w:color="000000" w:sz="4" w:space="0"/>
            </w:tcBorders>
            <w:vAlign w:val="center"/>
          </w:tcPr>
          <w:p w14:paraId="3AA464A1">
            <w:pPr>
              <w:widowControl/>
              <w:spacing w:line="320" w:lineRule="exact"/>
              <w:ind w:firstLine="0" w:firstLineChars="0"/>
              <w:jc w:val="center"/>
              <w:textAlignment w:val="center"/>
              <w:rPr>
                <w:rFonts w:cs="Times New Roman"/>
                <w:kern w:val="0"/>
                <w:sz w:val="24"/>
                <w:szCs w:val="24"/>
              </w:rPr>
            </w:pPr>
            <w:r>
              <w:rPr>
                <w:rFonts w:cs="Times New Roman"/>
                <w:kern w:val="0"/>
                <w:sz w:val="24"/>
                <w:szCs w:val="24"/>
              </w:rPr>
              <w:t>应对气候变化主动性</w:t>
            </w:r>
          </w:p>
        </w:tc>
        <w:tc>
          <w:tcPr>
            <w:tcW w:w="5597" w:type="dxa"/>
            <w:tcBorders>
              <w:top w:val="nil"/>
              <w:left w:val="nil"/>
              <w:bottom w:val="single" w:color="000000" w:sz="4" w:space="0"/>
              <w:right w:val="single" w:color="000000" w:sz="4" w:space="0"/>
            </w:tcBorders>
            <w:vAlign w:val="center"/>
          </w:tcPr>
          <w:p w14:paraId="37931B9E">
            <w:pPr>
              <w:widowControl/>
              <w:spacing w:line="320" w:lineRule="exact"/>
              <w:ind w:firstLine="0" w:firstLineChars="0"/>
              <w:textAlignment w:val="center"/>
              <w:rPr>
                <w:rFonts w:cs="Times New Roman"/>
                <w:sz w:val="24"/>
                <w:szCs w:val="24"/>
              </w:rPr>
            </w:pPr>
            <w:r>
              <w:rPr>
                <w:rFonts w:cs="Times New Roman"/>
                <w:kern w:val="0"/>
                <w:sz w:val="24"/>
                <w:szCs w:val="24"/>
              </w:rPr>
              <w:t>项目主动采取减少温室气体排放的措施。</w:t>
            </w:r>
          </w:p>
        </w:tc>
        <w:tc>
          <w:tcPr>
            <w:tcW w:w="723" w:type="dxa"/>
            <w:tcBorders>
              <w:top w:val="single" w:color="000000" w:sz="4" w:space="0"/>
              <w:left w:val="nil"/>
              <w:bottom w:val="single" w:color="000000" w:sz="4" w:space="0"/>
              <w:right w:val="single" w:color="000000" w:sz="4" w:space="0"/>
            </w:tcBorders>
            <w:noWrap/>
            <w:vAlign w:val="center"/>
          </w:tcPr>
          <w:p w14:paraId="3DBE356A">
            <w:pPr>
              <w:widowControl/>
              <w:spacing w:line="320" w:lineRule="exact"/>
              <w:ind w:firstLine="0" w:firstLineChars="0"/>
              <w:rPr>
                <w:rFonts w:cs="Times New Roman"/>
                <w:sz w:val="24"/>
                <w:szCs w:val="24"/>
              </w:rPr>
            </w:pPr>
          </w:p>
        </w:tc>
        <w:tc>
          <w:tcPr>
            <w:tcW w:w="1868" w:type="dxa"/>
            <w:tcBorders>
              <w:top w:val="single" w:color="000000" w:sz="4" w:space="0"/>
              <w:left w:val="nil"/>
              <w:bottom w:val="single" w:color="000000" w:sz="4" w:space="0"/>
              <w:right w:val="single" w:color="000000" w:sz="4" w:space="0"/>
            </w:tcBorders>
            <w:noWrap/>
            <w:vAlign w:val="center"/>
          </w:tcPr>
          <w:p w14:paraId="6B9F026E">
            <w:pPr>
              <w:widowControl/>
              <w:spacing w:line="320" w:lineRule="exact"/>
              <w:ind w:firstLine="0" w:firstLineChars="0"/>
              <w:rPr>
                <w:rFonts w:cs="Times New Roman"/>
                <w:sz w:val="24"/>
                <w:szCs w:val="24"/>
              </w:rPr>
            </w:pPr>
          </w:p>
        </w:tc>
      </w:tr>
      <w:bookmarkEnd w:id="27"/>
      <w:tr w14:paraId="1040623B">
        <w:tblPrEx>
          <w:tblCellMar>
            <w:top w:w="0" w:type="dxa"/>
            <w:left w:w="108" w:type="dxa"/>
            <w:bottom w:w="0" w:type="dxa"/>
            <w:right w:w="108" w:type="dxa"/>
          </w:tblCellMar>
        </w:tblPrEx>
        <w:trPr>
          <w:trHeight w:val="841" w:hRule="atLeast"/>
        </w:trPr>
        <w:tc>
          <w:tcPr>
            <w:tcW w:w="2112" w:type="dxa"/>
            <w:vMerge w:val="continue"/>
            <w:tcBorders>
              <w:top w:val="nil"/>
              <w:left w:val="single" w:color="000000" w:sz="4" w:space="0"/>
              <w:bottom w:val="single" w:color="000000" w:sz="4" w:space="0"/>
              <w:right w:val="single" w:color="000000" w:sz="4" w:space="0"/>
            </w:tcBorders>
            <w:vAlign w:val="center"/>
          </w:tcPr>
          <w:p w14:paraId="3DFDB512">
            <w:pPr>
              <w:widowControl/>
              <w:spacing w:line="240" w:lineRule="auto"/>
              <w:ind w:firstLine="0" w:firstLineChars="0"/>
              <w:jc w:val="left"/>
              <w:rPr>
                <w:rFonts w:cs="Times New Roman"/>
                <w:sz w:val="24"/>
                <w:szCs w:val="24"/>
              </w:rPr>
            </w:pPr>
          </w:p>
        </w:tc>
        <w:tc>
          <w:tcPr>
            <w:tcW w:w="1340" w:type="dxa"/>
            <w:vMerge w:val="continue"/>
            <w:tcBorders>
              <w:top w:val="nil"/>
              <w:left w:val="nil"/>
              <w:bottom w:val="single" w:color="000000" w:sz="4" w:space="0"/>
              <w:right w:val="single" w:color="000000" w:sz="4" w:space="0"/>
            </w:tcBorders>
            <w:vAlign w:val="center"/>
          </w:tcPr>
          <w:p w14:paraId="57FE42F4">
            <w:pPr>
              <w:widowControl/>
              <w:spacing w:line="240" w:lineRule="auto"/>
              <w:ind w:firstLine="0" w:firstLineChars="0"/>
              <w:jc w:val="left"/>
              <w:rPr>
                <w:rFonts w:cs="Times New Roman"/>
                <w:sz w:val="24"/>
                <w:szCs w:val="24"/>
              </w:rPr>
            </w:pPr>
          </w:p>
        </w:tc>
        <w:tc>
          <w:tcPr>
            <w:tcW w:w="2470" w:type="dxa"/>
            <w:tcBorders>
              <w:top w:val="single" w:color="000000" w:sz="4" w:space="0"/>
              <w:left w:val="nil"/>
              <w:bottom w:val="single" w:color="000000" w:sz="4" w:space="0"/>
              <w:right w:val="single" w:color="000000" w:sz="4" w:space="0"/>
            </w:tcBorders>
            <w:vAlign w:val="center"/>
          </w:tcPr>
          <w:p w14:paraId="22D0DEA6">
            <w:pPr>
              <w:widowControl/>
              <w:spacing w:line="320" w:lineRule="exact"/>
              <w:ind w:firstLine="0" w:firstLineChars="0"/>
              <w:jc w:val="center"/>
              <w:textAlignment w:val="center"/>
              <w:rPr>
                <w:rFonts w:cs="Times New Roman"/>
                <w:kern w:val="0"/>
                <w:sz w:val="24"/>
                <w:szCs w:val="24"/>
              </w:rPr>
            </w:pPr>
            <w:r>
              <w:rPr>
                <w:rFonts w:cs="Times New Roman"/>
                <w:kern w:val="0"/>
                <w:sz w:val="24"/>
                <w:szCs w:val="24"/>
              </w:rPr>
              <w:t>碳排放强度</w:t>
            </w:r>
          </w:p>
        </w:tc>
        <w:tc>
          <w:tcPr>
            <w:tcW w:w="5597" w:type="dxa"/>
            <w:tcBorders>
              <w:top w:val="nil"/>
              <w:left w:val="nil"/>
              <w:bottom w:val="single" w:color="000000" w:sz="4" w:space="0"/>
              <w:right w:val="single" w:color="000000" w:sz="4" w:space="0"/>
            </w:tcBorders>
            <w:vAlign w:val="center"/>
          </w:tcPr>
          <w:p w14:paraId="0184F81B">
            <w:pPr>
              <w:widowControl/>
              <w:spacing w:line="320" w:lineRule="exact"/>
              <w:ind w:firstLine="0" w:firstLineChars="0"/>
              <w:textAlignment w:val="center"/>
              <w:rPr>
                <w:rFonts w:cs="Times New Roman"/>
                <w:sz w:val="24"/>
                <w:szCs w:val="24"/>
              </w:rPr>
            </w:pPr>
            <w:r>
              <w:rPr>
                <w:rFonts w:cs="Times New Roman"/>
                <w:kern w:val="0"/>
                <w:sz w:val="24"/>
                <w:szCs w:val="24"/>
              </w:rPr>
              <w:t>项目的单位产出所产生的碳排放量，单位一般为吨二氧化碳当量每万元。</w:t>
            </w:r>
          </w:p>
        </w:tc>
        <w:tc>
          <w:tcPr>
            <w:tcW w:w="723" w:type="dxa"/>
            <w:tcBorders>
              <w:top w:val="single" w:color="000000" w:sz="4" w:space="0"/>
              <w:left w:val="nil"/>
              <w:bottom w:val="single" w:color="000000" w:sz="4" w:space="0"/>
              <w:right w:val="single" w:color="000000" w:sz="4" w:space="0"/>
            </w:tcBorders>
            <w:noWrap/>
            <w:vAlign w:val="center"/>
          </w:tcPr>
          <w:p w14:paraId="47D96184">
            <w:pPr>
              <w:widowControl/>
              <w:spacing w:line="320" w:lineRule="exact"/>
              <w:ind w:firstLine="0" w:firstLineChars="0"/>
              <w:rPr>
                <w:rFonts w:cs="Times New Roman"/>
                <w:sz w:val="24"/>
                <w:szCs w:val="24"/>
              </w:rPr>
            </w:pPr>
          </w:p>
        </w:tc>
        <w:tc>
          <w:tcPr>
            <w:tcW w:w="1868" w:type="dxa"/>
            <w:tcBorders>
              <w:top w:val="single" w:color="000000" w:sz="4" w:space="0"/>
              <w:left w:val="nil"/>
              <w:bottom w:val="single" w:color="000000" w:sz="4" w:space="0"/>
              <w:right w:val="single" w:color="000000" w:sz="4" w:space="0"/>
            </w:tcBorders>
            <w:noWrap/>
            <w:vAlign w:val="center"/>
          </w:tcPr>
          <w:p w14:paraId="6A5EA627">
            <w:pPr>
              <w:widowControl/>
              <w:spacing w:line="320" w:lineRule="exact"/>
              <w:ind w:firstLine="0" w:firstLineChars="0"/>
              <w:rPr>
                <w:rFonts w:cs="Times New Roman"/>
                <w:sz w:val="24"/>
                <w:szCs w:val="24"/>
              </w:rPr>
            </w:pPr>
          </w:p>
        </w:tc>
      </w:tr>
      <w:tr w14:paraId="166575A3">
        <w:tblPrEx>
          <w:tblCellMar>
            <w:top w:w="0" w:type="dxa"/>
            <w:left w:w="108" w:type="dxa"/>
            <w:bottom w:w="0" w:type="dxa"/>
            <w:right w:w="108" w:type="dxa"/>
          </w:tblCellMar>
        </w:tblPrEx>
        <w:trPr>
          <w:trHeight w:val="841" w:hRule="atLeast"/>
        </w:trPr>
        <w:tc>
          <w:tcPr>
            <w:tcW w:w="2112" w:type="dxa"/>
            <w:vMerge w:val="continue"/>
            <w:tcBorders>
              <w:top w:val="nil"/>
              <w:left w:val="single" w:color="000000" w:sz="4" w:space="0"/>
              <w:bottom w:val="single" w:color="000000" w:sz="4" w:space="0"/>
              <w:right w:val="single" w:color="000000" w:sz="4" w:space="0"/>
            </w:tcBorders>
            <w:vAlign w:val="center"/>
          </w:tcPr>
          <w:p w14:paraId="13842170">
            <w:pPr>
              <w:widowControl/>
              <w:spacing w:line="240" w:lineRule="auto"/>
              <w:ind w:firstLine="0" w:firstLineChars="0"/>
              <w:jc w:val="left"/>
              <w:rPr>
                <w:rFonts w:cs="Times New Roman"/>
                <w:sz w:val="24"/>
                <w:szCs w:val="24"/>
              </w:rPr>
            </w:pPr>
          </w:p>
        </w:tc>
        <w:tc>
          <w:tcPr>
            <w:tcW w:w="1340" w:type="dxa"/>
            <w:vMerge w:val="restart"/>
            <w:tcBorders>
              <w:top w:val="nil"/>
              <w:left w:val="nil"/>
              <w:bottom w:val="single" w:color="000000" w:sz="4" w:space="0"/>
              <w:right w:val="single" w:color="000000" w:sz="4" w:space="0"/>
            </w:tcBorders>
            <w:vAlign w:val="center"/>
          </w:tcPr>
          <w:p w14:paraId="5209B952">
            <w:pPr>
              <w:widowControl/>
              <w:spacing w:line="320" w:lineRule="exact"/>
              <w:ind w:firstLine="0" w:firstLineChars="0"/>
              <w:jc w:val="center"/>
              <w:textAlignment w:val="center"/>
              <w:rPr>
                <w:rFonts w:cs="Times New Roman"/>
                <w:sz w:val="24"/>
                <w:szCs w:val="24"/>
              </w:rPr>
            </w:pPr>
            <w:r>
              <w:rPr>
                <w:rFonts w:cs="Times New Roman"/>
                <w:kern w:val="0"/>
                <w:sz w:val="24"/>
                <w:szCs w:val="24"/>
              </w:rPr>
              <w:t>Ⅱ类项目</w:t>
            </w:r>
          </w:p>
        </w:tc>
        <w:tc>
          <w:tcPr>
            <w:tcW w:w="2470" w:type="dxa"/>
            <w:tcBorders>
              <w:top w:val="single" w:color="000000" w:sz="4" w:space="0"/>
              <w:left w:val="nil"/>
              <w:bottom w:val="single" w:color="000000" w:sz="4" w:space="0"/>
              <w:right w:val="single" w:color="000000" w:sz="4" w:space="0"/>
            </w:tcBorders>
            <w:vAlign w:val="center"/>
          </w:tcPr>
          <w:p w14:paraId="20B7A602">
            <w:pPr>
              <w:widowControl/>
              <w:spacing w:line="320" w:lineRule="exact"/>
              <w:ind w:firstLine="0" w:firstLineChars="0"/>
              <w:jc w:val="center"/>
              <w:textAlignment w:val="center"/>
              <w:rPr>
                <w:rFonts w:cs="Times New Roman"/>
                <w:sz w:val="24"/>
                <w:szCs w:val="24"/>
              </w:rPr>
            </w:pPr>
            <w:r>
              <w:rPr>
                <w:rFonts w:cs="Times New Roman"/>
                <w:kern w:val="0"/>
                <w:sz w:val="24"/>
                <w:szCs w:val="24"/>
              </w:rPr>
              <w:t>年减排量</w:t>
            </w:r>
          </w:p>
        </w:tc>
        <w:tc>
          <w:tcPr>
            <w:tcW w:w="5597" w:type="dxa"/>
            <w:tcBorders>
              <w:top w:val="single" w:color="000000" w:sz="4" w:space="0"/>
              <w:left w:val="nil"/>
              <w:bottom w:val="single" w:color="000000" w:sz="4" w:space="0"/>
              <w:right w:val="single" w:color="000000" w:sz="4" w:space="0"/>
            </w:tcBorders>
            <w:vAlign w:val="center"/>
          </w:tcPr>
          <w:p w14:paraId="11703A68">
            <w:pPr>
              <w:widowControl/>
              <w:spacing w:line="320" w:lineRule="exact"/>
              <w:ind w:firstLine="0" w:firstLineChars="0"/>
              <w:textAlignment w:val="center"/>
              <w:rPr>
                <w:rFonts w:cs="Times New Roman"/>
                <w:sz w:val="24"/>
                <w:szCs w:val="24"/>
              </w:rPr>
            </w:pPr>
            <w:r>
              <w:rPr>
                <w:rFonts w:cs="Times New Roman"/>
                <w:kern w:val="0"/>
                <w:sz w:val="24"/>
                <w:szCs w:val="24"/>
              </w:rPr>
              <w:t>项目年减排量可以衡量项目实施前后的碳减排情况，反映项目主体在节能减排等方面做出的贡献。</w:t>
            </w:r>
          </w:p>
        </w:tc>
        <w:tc>
          <w:tcPr>
            <w:tcW w:w="723" w:type="dxa"/>
            <w:tcBorders>
              <w:top w:val="single" w:color="000000" w:sz="4" w:space="0"/>
              <w:left w:val="nil"/>
              <w:bottom w:val="single" w:color="000000" w:sz="4" w:space="0"/>
              <w:right w:val="single" w:color="000000" w:sz="4" w:space="0"/>
            </w:tcBorders>
            <w:noWrap/>
            <w:vAlign w:val="center"/>
          </w:tcPr>
          <w:p w14:paraId="67C980C6">
            <w:pPr>
              <w:widowControl/>
              <w:spacing w:line="320" w:lineRule="exact"/>
              <w:ind w:firstLine="0" w:firstLineChars="0"/>
              <w:rPr>
                <w:rFonts w:cs="Times New Roman"/>
                <w:sz w:val="24"/>
                <w:szCs w:val="24"/>
              </w:rPr>
            </w:pPr>
          </w:p>
        </w:tc>
        <w:tc>
          <w:tcPr>
            <w:tcW w:w="1868" w:type="dxa"/>
            <w:tcBorders>
              <w:top w:val="single" w:color="000000" w:sz="4" w:space="0"/>
              <w:left w:val="nil"/>
              <w:bottom w:val="single" w:color="000000" w:sz="4" w:space="0"/>
              <w:right w:val="single" w:color="000000" w:sz="4" w:space="0"/>
            </w:tcBorders>
            <w:noWrap/>
            <w:vAlign w:val="center"/>
          </w:tcPr>
          <w:p w14:paraId="272D2F14">
            <w:pPr>
              <w:widowControl/>
              <w:spacing w:line="320" w:lineRule="exact"/>
              <w:ind w:firstLine="0" w:firstLineChars="0"/>
              <w:rPr>
                <w:rFonts w:cs="Times New Roman"/>
                <w:sz w:val="24"/>
                <w:szCs w:val="24"/>
              </w:rPr>
            </w:pPr>
          </w:p>
        </w:tc>
      </w:tr>
      <w:tr w14:paraId="4B9B844C">
        <w:tblPrEx>
          <w:tblCellMar>
            <w:top w:w="0" w:type="dxa"/>
            <w:left w:w="108" w:type="dxa"/>
            <w:bottom w:w="0" w:type="dxa"/>
            <w:right w:w="108" w:type="dxa"/>
          </w:tblCellMar>
        </w:tblPrEx>
        <w:trPr>
          <w:trHeight w:val="839" w:hRule="atLeast"/>
        </w:trPr>
        <w:tc>
          <w:tcPr>
            <w:tcW w:w="2112" w:type="dxa"/>
            <w:vMerge w:val="continue"/>
            <w:tcBorders>
              <w:top w:val="nil"/>
              <w:left w:val="single" w:color="000000" w:sz="4" w:space="0"/>
              <w:bottom w:val="single" w:color="000000" w:sz="4" w:space="0"/>
              <w:right w:val="single" w:color="000000" w:sz="4" w:space="0"/>
            </w:tcBorders>
            <w:vAlign w:val="center"/>
          </w:tcPr>
          <w:p w14:paraId="7B9B6BC2">
            <w:pPr>
              <w:widowControl/>
              <w:spacing w:line="240" w:lineRule="auto"/>
              <w:ind w:firstLine="0" w:firstLineChars="0"/>
              <w:jc w:val="left"/>
              <w:rPr>
                <w:rFonts w:cs="Times New Roman"/>
                <w:sz w:val="24"/>
                <w:szCs w:val="24"/>
              </w:rPr>
            </w:pPr>
          </w:p>
        </w:tc>
        <w:tc>
          <w:tcPr>
            <w:tcW w:w="1340" w:type="dxa"/>
            <w:vMerge w:val="continue"/>
            <w:tcBorders>
              <w:top w:val="nil"/>
              <w:left w:val="nil"/>
              <w:bottom w:val="single" w:color="000000" w:sz="4" w:space="0"/>
              <w:right w:val="single" w:color="000000" w:sz="4" w:space="0"/>
            </w:tcBorders>
            <w:vAlign w:val="center"/>
          </w:tcPr>
          <w:p w14:paraId="50DBC7BF">
            <w:pPr>
              <w:widowControl/>
              <w:spacing w:line="240" w:lineRule="auto"/>
              <w:ind w:firstLine="0" w:firstLineChars="0"/>
              <w:jc w:val="left"/>
              <w:rPr>
                <w:rFonts w:cs="Times New Roman"/>
                <w:sz w:val="24"/>
                <w:szCs w:val="24"/>
              </w:rPr>
            </w:pPr>
          </w:p>
        </w:tc>
        <w:tc>
          <w:tcPr>
            <w:tcW w:w="2470" w:type="dxa"/>
            <w:tcBorders>
              <w:top w:val="single" w:color="000000" w:sz="4" w:space="0"/>
              <w:left w:val="nil"/>
              <w:bottom w:val="single" w:color="000000" w:sz="4" w:space="0"/>
              <w:right w:val="single" w:color="000000" w:sz="4" w:space="0"/>
            </w:tcBorders>
            <w:vAlign w:val="center"/>
          </w:tcPr>
          <w:p w14:paraId="72F0DCDE">
            <w:pPr>
              <w:widowControl/>
              <w:spacing w:line="320" w:lineRule="exact"/>
              <w:ind w:firstLine="0" w:firstLineChars="0"/>
              <w:jc w:val="center"/>
              <w:textAlignment w:val="center"/>
              <w:rPr>
                <w:rFonts w:cs="Times New Roman"/>
                <w:sz w:val="24"/>
                <w:szCs w:val="24"/>
              </w:rPr>
            </w:pPr>
            <w:r>
              <w:rPr>
                <w:rFonts w:cs="Times New Roman"/>
                <w:kern w:val="0"/>
                <w:sz w:val="24"/>
                <w:szCs w:val="24"/>
              </w:rPr>
              <w:t>单位总投资碳减排量</w:t>
            </w:r>
          </w:p>
        </w:tc>
        <w:tc>
          <w:tcPr>
            <w:tcW w:w="5597" w:type="dxa"/>
            <w:tcBorders>
              <w:top w:val="single" w:color="000000" w:sz="4" w:space="0"/>
              <w:left w:val="nil"/>
              <w:bottom w:val="single" w:color="000000" w:sz="4" w:space="0"/>
              <w:right w:val="single" w:color="000000" w:sz="4" w:space="0"/>
            </w:tcBorders>
            <w:vAlign w:val="center"/>
          </w:tcPr>
          <w:p w14:paraId="77EC2E90">
            <w:pPr>
              <w:widowControl/>
              <w:spacing w:line="320" w:lineRule="exact"/>
              <w:ind w:firstLine="0" w:firstLineChars="0"/>
              <w:textAlignment w:val="center"/>
              <w:rPr>
                <w:rFonts w:cs="Times New Roman"/>
                <w:sz w:val="24"/>
                <w:szCs w:val="24"/>
              </w:rPr>
            </w:pPr>
            <w:r>
              <w:rPr>
                <w:rFonts w:cs="Times New Roman"/>
                <w:kern w:val="0"/>
                <w:sz w:val="24"/>
                <w:szCs w:val="24"/>
              </w:rPr>
              <w:t>单位总投资碳减排量反映项目碳减排技术的先进性，数值越高，则说明项目碳减排技术越先进。</w:t>
            </w:r>
          </w:p>
        </w:tc>
        <w:tc>
          <w:tcPr>
            <w:tcW w:w="723" w:type="dxa"/>
            <w:tcBorders>
              <w:top w:val="single" w:color="000000" w:sz="4" w:space="0"/>
              <w:left w:val="nil"/>
              <w:bottom w:val="single" w:color="000000" w:sz="4" w:space="0"/>
              <w:right w:val="single" w:color="000000" w:sz="4" w:space="0"/>
            </w:tcBorders>
            <w:noWrap/>
            <w:vAlign w:val="center"/>
          </w:tcPr>
          <w:p w14:paraId="10A8CEAC">
            <w:pPr>
              <w:widowControl/>
              <w:spacing w:line="320" w:lineRule="exact"/>
              <w:ind w:firstLine="0" w:firstLineChars="0"/>
              <w:rPr>
                <w:rFonts w:cs="Times New Roman"/>
                <w:sz w:val="24"/>
                <w:szCs w:val="24"/>
              </w:rPr>
            </w:pPr>
          </w:p>
        </w:tc>
        <w:tc>
          <w:tcPr>
            <w:tcW w:w="1868" w:type="dxa"/>
            <w:tcBorders>
              <w:top w:val="single" w:color="000000" w:sz="4" w:space="0"/>
              <w:left w:val="nil"/>
              <w:bottom w:val="single" w:color="000000" w:sz="4" w:space="0"/>
              <w:right w:val="single" w:color="000000" w:sz="4" w:space="0"/>
            </w:tcBorders>
            <w:noWrap/>
            <w:vAlign w:val="center"/>
          </w:tcPr>
          <w:p w14:paraId="3E23A2C1">
            <w:pPr>
              <w:widowControl/>
              <w:spacing w:line="320" w:lineRule="exact"/>
              <w:ind w:firstLine="0" w:firstLineChars="0"/>
              <w:rPr>
                <w:rFonts w:cs="Times New Roman"/>
                <w:sz w:val="24"/>
                <w:szCs w:val="24"/>
              </w:rPr>
            </w:pPr>
          </w:p>
        </w:tc>
      </w:tr>
      <w:tr w14:paraId="0B70CDCD">
        <w:tblPrEx>
          <w:tblCellMar>
            <w:top w:w="0" w:type="dxa"/>
            <w:left w:w="108" w:type="dxa"/>
            <w:bottom w:w="0" w:type="dxa"/>
            <w:right w:w="108" w:type="dxa"/>
          </w:tblCellMar>
        </w:tblPrEx>
        <w:trPr>
          <w:trHeight w:val="526" w:hRule="atLeast"/>
        </w:trPr>
        <w:tc>
          <w:tcPr>
            <w:tcW w:w="2112" w:type="dxa"/>
            <w:tcBorders>
              <w:top w:val="single" w:color="000000" w:sz="4" w:space="0"/>
              <w:left w:val="single" w:color="000000" w:sz="4" w:space="0"/>
              <w:bottom w:val="single" w:color="000000" w:sz="4" w:space="0"/>
              <w:right w:val="single" w:color="000000" w:sz="4" w:space="0"/>
            </w:tcBorders>
            <w:vAlign w:val="center"/>
          </w:tcPr>
          <w:p w14:paraId="67DB9C1C">
            <w:pPr>
              <w:widowControl/>
              <w:spacing w:line="320" w:lineRule="exact"/>
              <w:ind w:firstLine="0" w:firstLineChars="0"/>
              <w:jc w:val="center"/>
              <w:textAlignment w:val="center"/>
              <w:rPr>
                <w:rFonts w:cs="Times New Roman"/>
                <w:sz w:val="24"/>
                <w:szCs w:val="24"/>
              </w:rPr>
            </w:pPr>
            <w:r>
              <w:rPr>
                <w:rFonts w:cs="Times New Roman"/>
                <w:kern w:val="0"/>
                <w:sz w:val="24"/>
                <w:szCs w:val="24"/>
              </w:rPr>
              <w:t>经济效益</w:t>
            </w:r>
          </w:p>
        </w:tc>
        <w:tc>
          <w:tcPr>
            <w:tcW w:w="1340" w:type="dxa"/>
            <w:tcBorders>
              <w:top w:val="single" w:color="000000" w:sz="4" w:space="0"/>
              <w:left w:val="nil"/>
              <w:bottom w:val="single" w:color="000000" w:sz="4" w:space="0"/>
              <w:right w:val="single" w:color="000000" w:sz="4" w:space="0"/>
            </w:tcBorders>
            <w:vAlign w:val="center"/>
          </w:tcPr>
          <w:p w14:paraId="11A9BCFD">
            <w:pPr>
              <w:widowControl/>
              <w:spacing w:line="320" w:lineRule="exact"/>
              <w:ind w:firstLine="0" w:firstLineChars="0"/>
              <w:jc w:val="center"/>
              <w:textAlignment w:val="center"/>
              <w:rPr>
                <w:rFonts w:cs="Times New Roman"/>
                <w:sz w:val="24"/>
                <w:szCs w:val="24"/>
              </w:rPr>
            </w:pPr>
            <w:r>
              <w:rPr>
                <w:rFonts w:cs="Times New Roman"/>
                <w:kern w:val="0"/>
                <w:sz w:val="24"/>
                <w:szCs w:val="24"/>
              </w:rPr>
              <w:t>Ⅰ/Ⅱ类项目</w:t>
            </w:r>
          </w:p>
        </w:tc>
        <w:tc>
          <w:tcPr>
            <w:tcW w:w="2470" w:type="dxa"/>
            <w:tcBorders>
              <w:top w:val="single" w:color="000000" w:sz="4" w:space="0"/>
              <w:left w:val="nil"/>
              <w:bottom w:val="single" w:color="000000" w:sz="4" w:space="0"/>
              <w:right w:val="single" w:color="000000" w:sz="4" w:space="0"/>
            </w:tcBorders>
            <w:vAlign w:val="center"/>
          </w:tcPr>
          <w:p w14:paraId="6D7479B7">
            <w:pPr>
              <w:widowControl/>
              <w:spacing w:line="320" w:lineRule="exact"/>
              <w:ind w:firstLine="0" w:firstLineChars="0"/>
              <w:jc w:val="center"/>
              <w:textAlignment w:val="center"/>
              <w:rPr>
                <w:rFonts w:cs="Times New Roman"/>
                <w:sz w:val="24"/>
                <w:szCs w:val="24"/>
              </w:rPr>
            </w:pPr>
            <w:r>
              <w:rPr>
                <w:rFonts w:cs="Times New Roman"/>
                <w:kern w:val="0"/>
                <w:sz w:val="24"/>
                <w:szCs w:val="24"/>
              </w:rPr>
              <w:t>财务内部收益率</w:t>
            </w:r>
          </w:p>
        </w:tc>
        <w:tc>
          <w:tcPr>
            <w:tcW w:w="5597" w:type="dxa"/>
            <w:tcBorders>
              <w:top w:val="single" w:color="000000" w:sz="4" w:space="0"/>
              <w:left w:val="nil"/>
              <w:bottom w:val="single" w:color="000000" w:sz="4" w:space="0"/>
              <w:right w:val="single" w:color="000000" w:sz="4" w:space="0"/>
            </w:tcBorders>
            <w:vAlign w:val="center"/>
          </w:tcPr>
          <w:p w14:paraId="230F4A0B">
            <w:pPr>
              <w:widowControl/>
              <w:spacing w:line="320" w:lineRule="exact"/>
              <w:ind w:firstLine="0" w:firstLineChars="0"/>
              <w:textAlignment w:val="center"/>
              <w:rPr>
                <w:rFonts w:cs="Times New Roman"/>
                <w:sz w:val="24"/>
                <w:szCs w:val="24"/>
              </w:rPr>
            </w:pPr>
            <w:r>
              <w:rPr>
                <w:rFonts w:cs="Times New Roman"/>
                <w:kern w:val="0"/>
                <w:sz w:val="24"/>
                <w:szCs w:val="24"/>
              </w:rPr>
              <w:t>评估项目的经济有效性。项目融资前税前财务内部收益率应不低于行业财务基准收益率（融资前税前指标）。</w:t>
            </w:r>
          </w:p>
        </w:tc>
        <w:tc>
          <w:tcPr>
            <w:tcW w:w="723" w:type="dxa"/>
            <w:tcBorders>
              <w:top w:val="single" w:color="000000" w:sz="4" w:space="0"/>
              <w:left w:val="nil"/>
              <w:bottom w:val="single" w:color="000000" w:sz="4" w:space="0"/>
              <w:right w:val="single" w:color="000000" w:sz="4" w:space="0"/>
            </w:tcBorders>
            <w:noWrap/>
            <w:vAlign w:val="center"/>
          </w:tcPr>
          <w:p w14:paraId="78EC7107">
            <w:pPr>
              <w:widowControl/>
              <w:spacing w:line="320" w:lineRule="exact"/>
              <w:ind w:firstLine="0" w:firstLineChars="0"/>
              <w:rPr>
                <w:rFonts w:cs="Times New Roman"/>
                <w:sz w:val="24"/>
                <w:szCs w:val="24"/>
              </w:rPr>
            </w:pPr>
          </w:p>
        </w:tc>
        <w:tc>
          <w:tcPr>
            <w:tcW w:w="1868" w:type="dxa"/>
            <w:tcBorders>
              <w:top w:val="single" w:color="000000" w:sz="4" w:space="0"/>
              <w:left w:val="nil"/>
              <w:bottom w:val="single" w:color="000000" w:sz="4" w:space="0"/>
              <w:right w:val="single" w:color="000000" w:sz="4" w:space="0"/>
            </w:tcBorders>
            <w:noWrap/>
            <w:vAlign w:val="center"/>
          </w:tcPr>
          <w:p w14:paraId="01A54DB7">
            <w:pPr>
              <w:widowControl/>
              <w:spacing w:line="320" w:lineRule="exact"/>
              <w:ind w:firstLine="0" w:firstLineChars="0"/>
              <w:rPr>
                <w:rFonts w:cs="Times New Roman"/>
                <w:sz w:val="24"/>
                <w:szCs w:val="24"/>
              </w:rPr>
            </w:pPr>
          </w:p>
        </w:tc>
      </w:tr>
      <w:tr w14:paraId="3D943FA2">
        <w:tblPrEx>
          <w:tblCellMar>
            <w:top w:w="0" w:type="dxa"/>
            <w:left w:w="108" w:type="dxa"/>
            <w:bottom w:w="0" w:type="dxa"/>
            <w:right w:w="108" w:type="dxa"/>
          </w:tblCellMar>
        </w:tblPrEx>
        <w:trPr>
          <w:trHeight w:val="1626" w:hRule="atLeast"/>
        </w:trPr>
        <w:tc>
          <w:tcPr>
            <w:tcW w:w="2112" w:type="dxa"/>
            <w:vMerge w:val="restart"/>
            <w:tcBorders>
              <w:top w:val="nil"/>
              <w:left w:val="single" w:color="000000" w:sz="4" w:space="0"/>
              <w:bottom w:val="single" w:color="000000" w:sz="4" w:space="0"/>
              <w:right w:val="single" w:color="000000" w:sz="4" w:space="0"/>
            </w:tcBorders>
            <w:vAlign w:val="center"/>
          </w:tcPr>
          <w:p w14:paraId="47B26C89">
            <w:pPr>
              <w:widowControl/>
              <w:spacing w:line="320" w:lineRule="exact"/>
              <w:ind w:firstLine="0" w:firstLineChars="0"/>
              <w:jc w:val="center"/>
              <w:textAlignment w:val="center"/>
              <w:rPr>
                <w:rFonts w:cs="Times New Roman"/>
                <w:sz w:val="24"/>
                <w:szCs w:val="24"/>
              </w:rPr>
            </w:pPr>
            <w:r>
              <w:rPr>
                <w:rFonts w:cs="Times New Roman"/>
                <w:kern w:val="0"/>
                <w:sz w:val="24"/>
                <w:szCs w:val="24"/>
              </w:rPr>
              <w:t>可持续发展影响</w:t>
            </w:r>
          </w:p>
        </w:tc>
        <w:tc>
          <w:tcPr>
            <w:tcW w:w="1340" w:type="dxa"/>
            <w:tcBorders>
              <w:top w:val="single" w:color="000000" w:sz="4" w:space="0"/>
              <w:left w:val="nil"/>
              <w:bottom w:val="single" w:color="000000" w:sz="4" w:space="0"/>
              <w:right w:val="single" w:color="000000" w:sz="4" w:space="0"/>
            </w:tcBorders>
            <w:vAlign w:val="center"/>
          </w:tcPr>
          <w:p w14:paraId="31DF7A11">
            <w:pPr>
              <w:widowControl/>
              <w:spacing w:line="320" w:lineRule="exact"/>
              <w:ind w:firstLine="0" w:firstLineChars="0"/>
              <w:jc w:val="center"/>
              <w:textAlignment w:val="center"/>
              <w:rPr>
                <w:rFonts w:cs="Times New Roman"/>
                <w:sz w:val="24"/>
                <w:szCs w:val="24"/>
              </w:rPr>
            </w:pPr>
            <w:r>
              <w:rPr>
                <w:rFonts w:cs="Times New Roman"/>
                <w:kern w:val="0"/>
                <w:sz w:val="24"/>
                <w:szCs w:val="24"/>
              </w:rPr>
              <w:t>Ⅰ/Ⅱ类项目</w:t>
            </w:r>
          </w:p>
        </w:tc>
        <w:tc>
          <w:tcPr>
            <w:tcW w:w="2470" w:type="dxa"/>
            <w:tcBorders>
              <w:top w:val="single" w:color="000000" w:sz="4" w:space="0"/>
              <w:left w:val="nil"/>
              <w:bottom w:val="single" w:color="000000" w:sz="4" w:space="0"/>
              <w:right w:val="single" w:color="000000" w:sz="4" w:space="0"/>
            </w:tcBorders>
            <w:vAlign w:val="center"/>
          </w:tcPr>
          <w:p w14:paraId="28FBF001">
            <w:pPr>
              <w:widowControl/>
              <w:spacing w:line="320" w:lineRule="exact"/>
              <w:ind w:firstLine="0" w:firstLineChars="0"/>
              <w:jc w:val="center"/>
              <w:textAlignment w:val="center"/>
              <w:rPr>
                <w:rFonts w:cs="Times New Roman"/>
                <w:sz w:val="24"/>
                <w:szCs w:val="24"/>
              </w:rPr>
            </w:pPr>
            <w:r>
              <w:rPr>
                <w:rFonts w:cs="Times New Roman"/>
                <w:kern w:val="0"/>
                <w:sz w:val="24"/>
                <w:szCs w:val="24"/>
              </w:rPr>
              <w:t>社会效益</w:t>
            </w:r>
          </w:p>
        </w:tc>
        <w:tc>
          <w:tcPr>
            <w:tcW w:w="5597" w:type="dxa"/>
            <w:tcBorders>
              <w:top w:val="single" w:color="000000" w:sz="4" w:space="0"/>
              <w:left w:val="nil"/>
              <w:bottom w:val="single" w:color="000000" w:sz="4" w:space="0"/>
              <w:right w:val="single" w:color="000000" w:sz="4" w:space="0"/>
            </w:tcBorders>
            <w:vAlign w:val="center"/>
          </w:tcPr>
          <w:p w14:paraId="3B1CC26C">
            <w:pPr>
              <w:widowControl/>
              <w:spacing w:line="320" w:lineRule="exact"/>
              <w:ind w:firstLine="0" w:firstLineChars="0"/>
              <w:textAlignment w:val="center"/>
              <w:rPr>
                <w:rFonts w:cs="Times New Roman"/>
                <w:sz w:val="24"/>
                <w:szCs w:val="24"/>
              </w:rPr>
            </w:pPr>
            <w:r>
              <w:rPr>
                <w:rFonts w:cs="Times New Roman"/>
                <w:sz w:val="24"/>
                <w:szCs w:val="24"/>
              </w:rPr>
              <w:t>项目实施能够产生提高就业率、提高农业生产效率、减少食品浪费和损失、提高食品安全和卫生标准、提高医疗设施与服务的覆盖范围和质量、提高教育设施与服务的覆盖范围和质量、促进就业性别平等、提升水资源利用效率和质量、促进文化保护等社会效益。</w:t>
            </w:r>
          </w:p>
        </w:tc>
        <w:tc>
          <w:tcPr>
            <w:tcW w:w="723" w:type="dxa"/>
            <w:tcBorders>
              <w:top w:val="single" w:color="000000" w:sz="4" w:space="0"/>
              <w:left w:val="nil"/>
              <w:bottom w:val="single" w:color="000000" w:sz="4" w:space="0"/>
              <w:right w:val="single" w:color="000000" w:sz="4" w:space="0"/>
            </w:tcBorders>
            <w:noWrap/>
            <w:vAlign w:val="center"/>
          </w:tcPr>
          <w:p w14:paraId="3A77CEA4">
            <w:pPr>
              <w:widowControl/>
              <w:spacing w:line="320" w:lineRule="exact"/>
              <w:ind w:firstLine="0" w:firstLineChars="0"/>
              <w:rPr>
                <w:rFonts w:cs="Times New Roman"/>
                <w:sz w:val="24"/>
                <w:szCs w:val="24"/>
              </w:rPr>
            </w:pPr>
          </w:p>
        </w:tc>
        <w:tc>
          <w:tcPr>
            <w:tcW w:w="1868" w:type="dxa"/>
            <w:tcBorders>
              <w:top w:val="single" w:color="000000" w:sz="4" w:space="0"/>
              <w:left w:val="nil"/>
              <w:bottom w:val="single" w:color="000000" w:sz="4" w:space="0"/>
              <w:right w:val="single" w:color="000000" w:sz="4" w:space="0"/>
            </w:tcBorders>
            <w:noWrap/>
            <w:vAlign w:val="center"/>
          </w:tcPr>
          <w:p w14:paraId="5362EFCE">
            <w:pPr>
              <w:widowControl/>
              <w:spacing w:line="320" w:lineRule="exact"/>
              <w:ind w:firstLine="0" w:firstLineChars="0"/>
              <w:rPr>
                <w:rFonts w:cs="Times New Roman"/>
                <w:sz w:val="24"/>
                <w:szCs w:val="24"/>
              </w:rPr>
            </w:pPr>
          </w:p>
        </w:tc>
      </w:tr>
      <w:tr w14:paraId="5AE8F1A7">
        <w:tblPrEx>
          <w:tblCellMar>
            <w:top w:w="0" w:type="dxa"/>
            <w:left w:w="108" w:type="dxa"/>
            <w:bottom w:w="0" w:type="dxa"/>
            <w:right w:w="108" w:type="dxa"/>
          </w:tblCellMar>
        </w:tblPrEx>
        <w:trPr>
          <w:trHeight w:val="817" w:hRule="atLeast"/>
        </w:trPr>
        <w:tc>
          <w:tcPr>
            <w:tcW w:w="2112" w:type="dxa"/>
            <w:vMerge w:val="continue"/>
            <w:tcBorders>
              <w:top w:val="nil"/>
              <w:left w:val="single" w:color="000000" w:sz="4" w:space="0"/>
              <w:bottom w:val="single" w:color="000000" w:sz="4" w:space="0"/>
              <w:right w:val="single" w:color="000000" w:sz="4" w:space="0"/>
            </w:tcBorders>
            <w:vAlign w:val="center"/>
          </w:tcPr>
          <w:p w14:paraId="0BB82523">
            <w:pPr>
              <w:widowControl/>
              <w:spacing w:line="240" w:lineRule="auto"/>
              <w:ind w:firstLine="0" w:firstLineChars="0"/>
              <w:jc w:val="left"/>
              <w:rPr>
                <w:rFonts w:cs="Times New Roman"/>
                <w:sz w:val="24"/>
                <w:szCs w:val="24"/>
              </w:rPr>
            </w:pPr>
          </w:p>
        </w:tc>
        <w:tc>
          <w:tcPr>
            <w:tcW w:w="1340" w:type="dxa"/>
            <w:tcBorders>
              <w:top w:val="single" w:color="000000" w:sz="4" w:space="0"/>
              <w:left w:val="nil"/>
              <w:bottom w:val="nil"/>
              <w:right w:val="single" w:color="000000" w:sz="4" w:space="0"/>
            </w:tcBorders>
            <w:vAlign w:val="center"/>
          </w:tcPr>
          <w:p w14:paraId="595B7450">
            <w:pPr>
              <w:widowControl/>
              <w:spacing w:line="320" w:lineRule="exact"/>
              <w:ind w:firstLine="0" w:firstLineChars="0"/>
              <w:jc w:val="center"/>
              <w:textAlignment w:val="center"/>
              <w:rPr>
                <w:rFonts w:cs="Times New Roman"/>
                <w:sz w:val="24"/>
                <w:szCs w:val="24"/>
              </w:rPr>
            </w:pPr>
            <w:r>
              <w:rPr>
                <w:rFonts w:cs="Times New Roman"/>
                <w:kern w:val="0"/>
                <w:sz w:val="24"/>
                <w:szCs w:val="24"/>
              </w:rPr>
              <w:t>Ⅰ/Ⅱ类项目</w:t>
            </w:r>
          </w:p>
        </w:tc>
        <w:tc>
          <w:tcPr>
            <w:tcW w:w="2470" w:type="dxa"/>
            <w:tcBorders>
              <w:top w:val="single" w:color="000000" w:sz="4" w:space="0"/>
              <w:left w:val="nil"/>
              <w:bottom w:val="nil"/>
              <w:right w:val="single" w:color="000000" w:sz="4" w:space="0"/>
            </w:tcBorders>
            <w:vAlign w:val="center"/>
          </w:tcPr>
          <w:p w14:paraId="66A0DE7B">
            <w:pPr>
              <w:widowControl/>
              <w:spacing w:line="320" w:lineRule="exact"/>
              <w:ind w:firstLine="0" w:firstLineChars="0"/>
              <w:jc w:val="center"/>
              <w:textAlignment w:val="center"/>
              <w:rPr>
                <w:rFonts w:cs="Times New Roman"/>
                <w:sz w:val="24"/>
                <w:szCs w:val="24"/>
              </w:rPr>
            </w:pPr>
            <w:r>
              <w:rPr>
                <w:rFonts w:cs="Times New Roman"/>
                <w:kern w:val="0"/>
                <w:sz w:val="24"/>
                <w:szCs w:val="24"/>
              </w:rPr>
              <w:t>环境协同效益</w:t>
            </w:r>
          </w:p>
        </w:tc>
        <w:tc>
          <w:tcPr>
            <w:tcW w:w="5597" w:type="dxa"/>
            <w:tcBorders>
              <w:top w:val="single" w:color="000000" w:sz="4" w:space="0"/>
              <w:left w:val="nil"/>
              <w:bottom w:val="nil"/>
              <w:right w:val="single" w:color="000000" w:sz="4" w:space="0"/>
            </w:tcBorders>
            <w:vAlign w:val="center"/>
          </w:tcPr>
          <w:p w14:paraId="7AE235E9">
            <w:pPr>
              <w:widowControl/>
              <w:spacing w:line="320" w:lineRule="exact"/>
              <w:ind w:firstLine="0" w:firstLineChars="0"/>
              <w:textAlignment w:val="center"/>
              <w:rPr>
                <w:rFonts w:cs="Times New Roman"/>
                <w:sz w:val="24"/>
                <w:szCs w:val="24"/>
              </w:rPr>
            </w:pPr>
            <w:r>
              <w:rPr>
                <w:rFonts w:cs="Times New Roman"/>
                <w:kern w:val="0"/>
                <w:sz w:val="24"/>
                <w:szCs w:val="24"/>
              </w:rPr>
              <w:t>项目对提高空气、水和土壤质量，促进生物多样性等方面具有协同效益。</w:t>
            </w:r>
          </w:p>
        </w:tc>
        <w:tc>
          <w:tcPr>
            <w:tcW w:w="723" w:type="dxa"/>
            <w:tcBorders>
              <w:top w:val="single" w:color="000000" w:sz="4" w:space="0"/>
              <w:left w:val="nil"/>
              <w:bottom w:val="nil"/>
              <w:right w:val="single" w:color="000000" w:sz="4" w:space="0"/>
            </w:tcBorders>
            <w:noWrap/>
            <w:vAlign w:val="center"/>
          </w:tcPr>
          <w:p w14:paraId="472361D4">
            <w:pPr>
              <w:widowControl/>
              <w:spacing w:line="320" w:lineRule="exact"/>
              <w:ind w:firstLine="0" w:firstLineChars="0"/>
              <w:rPr>
                <w:rFonts w:cs="Times New Roman"/>
                <w:sz w:val="24"/>
                <w:szCs w:val="24"/>
              </w:rPr>
            </w:pPr>
          </w:p>
        </w:tc>
        <w:tc>
          <w:tcPr>
            <w:tcW w:w="1868" w:type="dxa"/>
            <w:tcBorders>
              <w:top w:val="single" w:color="000000" w:sz="4" w:space="0"/>
              <w:left w:val="nil"/>
              <w:bottom w:val="nil"/>
              <w:right w:val="single" w:color="000000" w:sz="4" w:space="0"/>
            </w:tcBorders>
            <w:noWrap/>
            <w:vAlign w:val="center"/>
          </w:tcPr>
          <w:p w14:paraId="2C25CCB7">
            <w:pPr>
              <w:widowControl/>
              <w:spacing w:line="320" w:lineRule="exact"/>
              <w:ind w:firstLine="0" w:firstLineChars="0"/>
              <w:rPr>
                <w:rFonts w:cs="Times New Roman"/>
                <w:sz w:val="24"/>
                <w:szCs w:val="24"/>
              </w:rPr>
            </w:pPr>
          </w:p>
        </w:tc>
      </w:tr>
      <w:tr w14:paraId="40B42F32">
        <w:tblPrEx>
          <w:tblCellMar>
            <w:top w:w="0" w:type="dxa"/>
            <w:left w:w="108" w:type="dxa"/>
            <w:bottom w:w="0" w:type="dxa"/>
            <w:right w:w="108" w:type="dxa"/>
          </w:tblCellMar>
        </w:tblPrEx>
        <w:trPr>
          <w:trHeight w:val="767" w:hRule="atLeast"/>
        </w:trPr>
        <w:tc>
          <w:tcPr>
            <w:tcW w:w="11519" w:type="dxa"/>
            <w:gridSpan w:val="4"/>
            <w:tcBorders>
              <w:top w:val="single" w:color="000000" w:sz="4" w:space="0"/>
              <w:left w:val="single" w:color="000000" w:sz="4" w:space="0"/>
              <w:bottom w:val="single" w:color="000000" w:sz="4" w:space="0"/>
              <w:right w:val="single" w:color="000000" w:sz="4" w:space="0"/>
            </w:tcBorders>
            <w:noWrap/>
            <w:vAlign w:val="center"/>
          </w:tcPr>
          <w:p w14:paraId="5AC96F94">
            <w:pPr>
              <w:widowControl/>
              <w:spacing w:line="320" w:lineRule="exact"/>
              <w:ind w:firstLine="0" w:firstLineChars="0"/>
              <w:jc w:val="center"/>
              <w:textAlignment w:val="center"/>
              <w:rPr>
                <w:rFonts w:cs="Times New Roman"/>
                <w:sz w:val="24"/>
                <w:szCs w:val="24"/>
              </w:rPr>
            </w:pPr>
            <w:r>
              <w:rPr>
                <w:rFonts w:cs="Times New Roman"/>
                <w:b/>
                <w:bCs/>
                <w:kern w:val="0"/>
                <w:sz w:val="24"/>
                <w:szCs w:val="24"/>
              </w:rPr>
              <w:t>总分</w:t>
            </w:r>
          </w:p>
        </w:tc>
        <w:tc>
          <w:tcPr>
            <w:tcW w:w="2591" w:type="dxa"/>
            <w:gridSpan w:val="2"/>
            <w:tcBorders>
              <w:top w:val="single" w:color="000000" w:sz="4" w:space="0"/>
              <w:left w:val="nil"/>
              <w:bottom w:val="single" w:color="000000" w:sz="4" w:space="0"/>
              <w:right w:val="single" w:color="000000" w:sz="4" w:space="0"/>
            </w:tcBorders>
            <w:vAlign w:val="center"/>
          </w:tcPr>
          <w:p w14:paraId="10E1A181">
            <w:pPr>
              <w:widowControl/>
              <w:spacing w:line="320" w:lineRule="exact"/>
              <w:ind w:firstLine="0" w:firstLineChars="0"/>
              <w:jc w:val="center"/>
              <w:rPr>
                <w:rFonts w:cs="Times New Roman"/>
                <w:sz w:val="24"/>
                <w:szCs w:val="24"/>
              </w:rPr>
            </w:pPr>
          </w:p>
        </w:tc>
      </w:tr>
      <w:tr w14:paraId="267A534A">
        <w:tblPrEx>
          <w:tblCellMar>
            <w:top w:w="0" w:type="dxa"/>
            <w:left w:w="108" w:type="dxa"/>
            <w:bottom w:w="0" w:type="dxa"/>
            <w:right w:w="108" w:type="dxa"/>
          </w:tblCellMar>
        </w:tblPrEx>
        <w:trPr>
          <w:trHeight w:val="358" w:hRule="atLeast"/>
        </w:trPr>
        <w:tc>
          <w:tcPr>
            <w:tcW w:w="14110" w:type="dxa"/>
            <w:gridSpan w:val="6"/>
            <w:tcBorders>
              <w:top w:val="single" w:color="000000" w:sz="4" w:space="0"/>
              <w:left w:val="single" w:color="000000" w:sz="4" w:space="0"/>
              <w:bottom w:val="single" w:color="000000" w:sz="4" w:space="0"/>
              <w:right w:val="single" w:color="000000" w:sz="4" w:space="0"/>
            </w:tcBorders>
          </w:tcPr>
          <w:p w14:paraId="777352E4">
            <w:pPr>
              <w:widowControl/>
              <w:spacing w:line="320" w:lineRule="exact"/>
              <w:ind w:firstLine="0" w:firstLineChars="0"/>
              <w:rPr>
                <w:rFonts w:cs="Times New Roman"/>
                <w:sz w:val="24"/>
                <w:szCs w:val="24"/>
              </w:rPr>
            </w:pPr>
            <w:r>
              <w:rPr>
                <w:rFonts w:cs="Times New Roman"/>
                <w:b/>
                <w:bCs/>
                <w:sz w:val="24"/>
                <w:szCs w:val="24"/>
              </w:rPr>
              <w:t>二、评价结果</w:t>
            </w:r>
          </w:p>
        </w:tc>
      </w:tr>
      <w:tr w14:paraId="597F61ED">
        <w:tblPrEx>
          <w:tblCellMar>
            <w:top w:w="0" w:type="dxa"/>
            <w:left w:w="108" w:type="dxa"/>
            <w:bottom w:w="0" w:type="dxa"/>
            <w:right w:w="108" w:type="dxa"/>
          </w:tblCellMar>
        </w:tblPrEx>
        <w:trPr>
          <w:trHeight w:val="1095" w:hRule="atLeast"/>
        </w:trPr>
        <w:tc>
          <w:tcPr>
            <w:tcW w:w="14110" w:type="dxa"/>
            <w:gridSpan w:val="6"/>
            <w:tcBorders>
              <w:top w:val="single" w:color="000000" w:sz="4" w:space="0"/>
              <w:left w:val="single" w:color="000000" w:sz="4" w:space="0"/>
              <w:bottom w:val="single" w:color="000000" w:sz="4" w:space="0"/>
              <w:right w:val="single" w:color="000000" w:sz="4" w:space="0"/>
            </w:tcBorders>
          </w:tcPr>
          <w:p w14:paraId="57DE6B19">
            <w:pPr>
              <w:widowControl/>
              <w:ind w:firstLine="0" w:firstLineChars="0"/>
              <w:rPr>
                <w:rFonts w:cs="Times New Roman"/>
                <w:sz w:val="24"/>
                <w:szCs w:val="24"/>
              </w:rPr>
            </w:pPr>
            <w:r>
              <w:rPr>
                <w:rFonts w:cs="Times New Roman"/>
                <w:sz w:val="24"/>
                <w:szCs w:val="24"/>
              </w:rPr>
              <w:t>该项目类别属性为_________类、项目综合得分为__________分，评价等级为 ☐ A级/ ☐ B级/ ☐ C级。</w:t>
            </w:r>
          </w:p>
          <w:p w14:paraId="6F6A0A54">
            <w:pPr>
              <w:widowControl/>
              <w:ind w:firstLine="0" w:firstLineChars="0"/>
              <w:rPr>
                <w:rFonts w:cs="Times New Roman"/>
                <w:sz w:val="24"/>
                <w:szCs w:val="24"/>
              </w:rPr>
            </w:pPr>
            <w:r>
              <w:rPr>
                <w:rFonts w:cs="Times New Roman"/>
                <w:sz w:val="24"/>
                <w:szCs w:val="24"/>
              </w:rPr>
              <w:t>建议☐能/ ☐不能 纳入密云区气候投融资项目库。</w:t>
            </w:r>
          </w:p>
        </w:tc>
      </w:tr>
    </w:tbl>
    <w:p w14:paraId="15EEE27B">
      <w:pPr>
        <w:spacing w:line="240" w:lineRule="exact"/>
        <w:ind w:firstLine="420"/>
        <w:rPr>
          <w:rFonts w:cs="Times New Roman"/>
          <w:bCs/>
          <w:sz w:val="21"/>
          <w:szCs w:val="21"/>
        </w:rPr>
      </w:pPr>
      <w:r>
        <w:rPr>
          <w:rFonts w:cs="Times New Roman"/>
          <w:bCs/>
          <w:sz w:val="21"/>
          <w:szCs w:val="21"/>
        </w:rPr>
        <w:t>注：</w:t>
      </w:r>
    </w:p>
    <w:p w14:paraId="25F3E1D8">
      <w:pPr>
        <w:numPr>
          <w:ilvl w:val="0"/>
          <w:numId w:val="23"/>
        </w:numPr>
        <w:spacing w:line="240" w:lineRule="exact"/>
        <w:ind w:firstLine="420"/>
        <w:rPr>
          <w:rFonts w:cs="Times New Roman"/>
          <w:bCs/>
          <w:sz w:val="21"/>
          <w:szCs w:val="21"/>
        </w:rPr>
      </w:pPr>
      <w:r>
        <w:rPr>
          <w:rFonts w:cs="Times New Roman"/>
          <w:bCs/>
          <w:sz w:val="21"/>
          <w:szCs w:val="21"/>
        </w:rPr>
        <w:t>Ⅰ类项目为碳减排量无法测量，但却是密云区碳减排进程中不可缺少的重要环节的项目。</w:t>
      </w:r>
    </w:p>
    <w:p w14:paraId="7D763AA5">
      <w:pPr>
        <w:numPr>
          <w:ilvl w:val="0"/>
          <w:numId w:val="23"/>
        </w:numPr>
        <w:spacing w:line="240" w:lineRule="exact"/>
        <w:ind w:firstLine="420"/>
        <w:rPr>
          <w:rFonts w:cs="Times New Roman"/>
          <w:bCs/>
          <w:sz w:val="21"/>
          <w:szCs w:val="21"/>
        </w:rPr>
      </w:pPr>
      <w:r>
        <w:rPr>
          <w:rFonts w:cs="Times New Roman"/>
          <w:bCs/>
          <w:sz w:val="21"/>
          <w:szCs w:val="21"/>
        </w:rPr>
        <w:t>Ⅱ类项目为碳减排量可测量的项目。</w:t>
      </w:r>
    </w:p>
    <w:p w14:paraId="76927546">
      <w:pPr>
        <w:numPr>
          <w:ilvl w:val="0"/>
          <w:numId w:val="23"/>
        </w:numPr>
        <w:spacing w:line="240" w:lineRule="exact"/>
        <w:ind w:firstLine="420"/>
        <w:rPr>
          <w:rFonts w:cs="Times New Roman"/>
          <w:bCs/>
          <w:sz w:val="21"/>
          <w:szCs w:val="21"/>
        </w:rPr>
      </w:pPr>
      <w:r>
        <w:rPr>
          <w:rFonts w:cs="Times New Roman"/>
          <w:bCs/>
          <w:sz w:val="21"/>
          <w:szCs w:val="21"/>
        </w:rPr>
        <w:t>Ⅰ/Ⅱ项目类型为建议类型，具体类型判断可根据项目情况进行调整并说明。</w:t>
      </w:r>
    </w:p>
    <w:p w14:paraId="440706CE">
      <w:pPr>
        <w:numPr>
          <w:ilvl w:val="0"/>
          <w:numId w:val="23"/>
        </w:numPr>
        <w:spacing w:line="240" w:lineRule="exact"/>
        <w:ind w:firstLine="420"/>
        <w:rPr>
          <w:rFonts w:cs="Times New Roman"/>
          <w:bCs/>
          <w:sz w:val="24"/>
          <w:szCs w:val="24"/>
        </w:rPr>
      </w:pPr>
      <w:r>
        <w:rPr>
          <w:rFonts w:cs="Times New Roman"/>
          <w:bCs/>
          <w:sz w:val="21"/>
          <w:szCs w:val="21"/>
        </w:rPr>
        <w:t>“证明材料”一列填写评分所依据的项目申报材料。文件材料需要填写文件名称及页码。</w:t>
      </w:r>
    </w:p>
    <w:p w14:paraId="625AD911">
      <w:pPr>
        <w:spacing w:line="240" w:lineRule="auto"/>
        <w:ind w:firstLine="480"/>
        <w:rPr>
          <w:rFonts w:cs="Times New Roman"/>
          <w:bCs/>
          <w:sz w:val="24"/>
          <w:szCs w:val="24"/>
        </w:rPr>
        <w:sectPr>
          <w:pgSz w:w="16838" w:h="11906" w:orient="landscape"/>
          <w:pgMar w:top="1803" w:right="1440" w:bottom="1803" w:left="1440" w:header="851" w:footer="992" w:gutter="0"/>
          <w:pgNumType w:fmt="numberInDash"/>
          <w:cols w:space="0" w:num="1"/>
          <w:docGrid w:type="lines" w:linePitch="436" w:charSpace="0"/>
        </w:sectPr>
      </w:pPr>
    </w:p>
    <w:p w14:paraId="2CB02AB2">
      <w:pPr>
        <w:ind w:firstLine="643"/>
        <w:rPr>
          <w:rFonts w:hint="eastAsia" w:ascii="仿宋_GB2312" w:hAnsi="仿宋_GB2312" w:eastAsia="仿宋_GB2312" w:cs="仿宋_GB2312"/>
          <w:b/>
          <w:szCs w:val="32"/>
        </w:rPr>
      </w:pPr>
      <w:bookmarkStart w:id="28" w:name="_Toc30878"/>
      <w:r>
        <w:rPr>
          <w:rFonts w:hint="eastAsia" w:ascii="仿宋_GB2312" w:hAnsi="仿宋_GB2312" w:eastAsia="仿宋_GB2312" w:cs="仿宋_GB2312"/>
          <w:b/>
          <w:szCs w:val="32"/>
        </w:rPr>
        <w:t>附件5-2 适应类项目评价报告</w:t>
      </w:r>
      <w:bookmarkEnd w:id="28"/>
    </w:p>
    <w:tbl>
      <w:tblPr>
        <w:tblStyle w:val="15"/>
        <w:tblW w:w="4911"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1896"/>
        <w:gridCol w:w="223"/>
        <w:gridCol w:w="7327"/>
        <w:gridCol w:w="782"/>
        <w:gridCol w:w="2224"/>
      </w:tblGrid>
      <w:tr w14:paraId="7E0BA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4" w:hRule="atLeast"/>
        </w:trPr>
        <w:tc>
          <w:tcPr>
            <w:tcW w:w="1289" w:type="pct"/>
            <w:gridSpan w:val="3"/>
            <w:shd w:val="clear" w:color="auto" w:fill="auto"/>
            <w:vAlign w:val="center"/>
          </w:tcPr>
          <w:p w14:paraId="1147BD77">
            <w:pPr>
              <w:widowControl/>
              <w:spacing w:line="240" w:lineRule="auto"/>
              <w:ind w:firstLine="0" w:firstLineChars="0"/>
              <w:rPr>
                <w:rFonts w:cs="Times New Roman"/>
                <w:b/>
                <w:bCs/>
                <w:color w:val="000000"/>
                <w:kern w:val="0"/>
                <w:sz w:val="24"/>
                <w:szCs w:val="24"/>
              </w:rPr>
            </w:pPr>
            <w:r>
              <w:rPr>
                <w:rFonts w:cs="Times New Roman"/>
                <w:b/>
                <w:bCs/>
                <w:color w:val="000000"/>
                <w:kern w:val="0"/>
                <w:sz w:val="24"/>
                <w:szCs w:val="24"/>
              </w:rPr>
              <w:t>项目名称</w:t>
            </w:r>
          </w:p>
        </w:tc>
        <w:tc>
          <w:tcPr>
            <w:tcW w:w="3710" w:type="pct"/>
            <w:gridSpan w:val="3"/>
            <w:shd w:val="clear" w:color="auto" w:fill="auto"/>
            <w:vAlign w:val="center"/>
          </w:tcPr>
          <w:p w14:paraId="0607872B">
            <w:pPr>
              <w:widowControl/>
              <w:spacing w:line="240" w:lineRule="auto"/>
              <w:ind w:firstLine="0" w:firstLineChars="0"/>
              <w:rPr>
                <w:rFonts w:cs="Times New Roman"/>
                <w:b/>
                <w:bCs/>
                <w:color w:val="000000"/>
                <w:kern w:val="0"/>
                <w:sz w:val="24"/>
                <w:szCs w:val="24"/>
              </w:rPr>
            </w:pPr>
          </w:p>
        </w:tc>
      </w:tr>
      <w:tr w14:paraId="23EA5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4" w:hRule="atLeast"/>
        </w:trPr>
        <w:tc>
          <w:tcPr>
            <w:tcW w:w="1289" w:type="pct"/>
            <w:gridSpan w:val="3"/>
            <w:shd w:val="clear" w:color="auto" w:fill="auto"/>
            <w:vAlign w:val="center"/>
          </w:tcPr>
          <w:p w14:paraId="0E37B139">
            <w:pPr>
              <w:widowControl/>
              <w:spacing w:line="240" w:lineRule="auto"/>
              <w:ind w:firstLine="0" w:firstLineChars="0"/>
              <w:jc w:val="left"/>
              <w:rPr>
                <w:rFonts w:cs="Times New Roman"/>
                <w:b/>
                <w:bCs/>
                <w:color w:val="000000"/>
                <w:kern w:val="0"/>
                <w:sz w:val="24"/>
                <w:szCs w:val="24"/>
              </w:rPr>
            </w:pPr>
            <w:r>
              <w:rPr>
                <w:rFonts w:cs="Times New Roman"/>
                <w:b/>
                <w:bCs/>
                <w:color w:val="000000"/>
                <w:kern w:val="0"/>
                <w:sz w:val="24"/>
                <w:szCs w:val="24"/>
              </w:rPr>
              <w:t>项目类别属性</w:t>
            </w:r>
          </w:p>
        </w:tc>
        <w:tc>
          <w:tcPr>
            <w:tcW w:w="3710" w:type="pct"/>
            <w:gridSpan w:val="3"/>
            <w:shd w:val="clear" w:color="auto" w:fill="auto"/>
            <w:vAlign w:val="center"/>
          </w:tcPr>
          <w:p w14:paraId="14BA8C30">
            <w:pPr>
              <w:widowControl/>
              <w:spacing w:line="240" w:lineRule="auto"/>
              <w:ind w:firstLine="0" w:firstLineChars="0"/>
              <w:jc w:val="left"/>
              <w:rPr>
                <w:rFonts w:cs="Times New Roman"/>
                <w:b/>
                <w:bCs/>
                <w:color w:val="000000"/>
                <w:kern w:val="0"/>
                <w:sz w:val="24"/>
                <w:szCs w:val="24"/>
              </w:rPr>
            </w:pPr>
          </w:p>
        </w:tc>
      </w:tr>
      <w:tr w14:paraId="58B20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4" w:hRule="atLeast"/>
        </w:trPr>
        <w:tc>
          <w:tcPr>
            <w:tcW w:w="5000" w:type="pct"/>
            <w:gridSpan w:val="6"/>
            <w:shd w:val="clear" w:color="auto" w:fill="auto"/>
            <w:noWrap/>
            <w:vAlign w:val="center"/>
          </w:tcPr>
          <w:p w14:paraId="040AD12D">
            <w:pPr>
              <w:widowControl/>
              <w:spacing w:line="240" w:lineRule="auto"/>
              <w:ind w:firstLine="0" w:firstLineChars="0"/>
              <w:jc w:val="left"/>
              <w:rPr>
                <w:rFonts w:cs="Times New Roman"/>
                <w:b/>
                <w:bCs/>
                <w:color w:val="000000"/>
                <w:kern w:val="0"/>
                <w:sz w:val="24"/>
                <w:szCs w:val="24"/>
              </w:rPr>
            </w:pPr>
            <w:r>
              <w:rPr>
                <w:rFonts w:cs="Times New Roman"/>
                <w:b/>
                <w:bCs/>
                <w:color w:val="000000"/>
                <w:kern w:val="0"/>
                <w:sz w:val="24"/>
                <w:szCs w:val="24"/>
              </w:rPr>
              <w:t>一、评分体系</w:t>
            </w:r>
          </w:p>
        </w:tc>
      </w:tr>
      <w:tr w14:paraId="622F8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4" w:hRule="atLeast"/>
        </w:trPr>
        <w:tc>
          <w:tcPr>
            <w:tcW w:w="528" w:type="pct"/>
            <w:shd w:val="clear" w:color="auto" w:fill="auto"/>
            <w:noWrap/>
            <w:vAlign w:val="center"/>
          </w:tcPr>
          <w:p w14:paraId="67C49588">
            <w:pPr>
              <w:widowControl/>
              <w:spacing w:line="240" w:lineRule="auto"/>
              <w:ind w:firstLine="0" w:firstLineChars="0"/>
              <w:jc w:val="center"/>
              <w:rPr>
                <w:rFonts w:cs="Times New Roman"/>
                <w:b/>
                <w:bCs/>
                <w:color w:val="000000"/>
                <w:kern w:val="0"/>
                <w:sz w:val="24"/>
                <w:szCs w:val="24"/>
              </w:rPr>
            </w:pPr>
            <w:r>
              <w:rPr>
                <w:rFonts w:cs="Times New Roman"/>
                <w:b/>
                <w:bCs/>
                <w:color w:val="000000"/>
                <w:kern w:val="0"/>
                <w:sz w:val="24"/>
                <w:szCs w:val="24"/>
              </w:rPr>
              <w:t>一级指标</w:t>
            </w:r>
          </w:p>
        </w:tc>
        <w:tc>
          <w:tcPr>
            <w:tcW w:w="681" w:type="pct"/>
            <w:shd w:val="clear" w:color="auto" w:fill="auto"/>
            <w:vAlign w:val="center"/>
          </w:tcPr>
          <w:p w14:paraId="662CE6D2">
            <w:pPr>
              <w:widowControl/>
              <w:spacing w:line="240" w:lineRule="auto"/>
              <w:ind w:firstLine="0" w:firstLineChars="0"/>
              <w:jc w:val="center"/>
              <w:rPr>
                <w:rFonts w:cs="Times New Roman"/>
                <w:b/>
                <w:bCs/>
                <w:color w:val="000000"/>
                <w:kern w:val="0"/>
                <w:sz w:val="24"/>
                <w:szCs w:val="24"/>
              </w:rPr>
            </w:pPr>
            <w:r>
              <w:rPr>
                <w:rFonts w:cs="Times New Roman"/>
                <w:b/>
                <w:bCs/>
                <w:color w:val="000000"/>
                <w:kern w:val="0"/>
                <w:sz w:val="24"/>
                <w:szCs w:val="24"/>
              </w:rPr>
              <w:t>二级指标</w:t>
            </w:r>
          </w:p>
        </w:tc>
        <w:tc>
          <w:tcPr>
            <w:tcW w:w="2710" w:type="pct"/>
            <w:gridSpan w:val="2"/>
            <w:shd w:val="clear" w:color="auto" w:fill="auto"/>
            <w:vAlign w:val="center"/>
          </w:tcPr>
          <w:p w14:paraId="27C7DCF3">
            <w:pPr>
              <w:widowControl/>
              <w:spacing w:line="240" w:lineRule="auto"/>
              <w:ind w:firstLine="0" w:firstLineChars="0"/>
              <w:jc w:val="center"/>
              <w:rPr>
                <w:rFonts w:cs="Times New Roman"/>
                <w:b/>
                <w:bCs/>
                <w:color w:val="000000"/>
                <w:kern w:val="0"/>
                <w:sz w:val="24"/>
                <w:szCs w:val="24"/>
              </w:rPr>
            </w:pPr>
            <w:r>
              <w:rPr>
                <w:rFonts w:cs="Times New Roman"/>
                <w:b/>
                <w:bCs/>
                <w:color w:val="000000"/>
                <w:kern w:val="0"/>
                <w:sz w:val="24"/>
                <w:szCs w:val="24"/>
              </w:rPr>
              <w:t>二级指标说明</w:t>
            </w:r>
          </w:p>
        </w:tc>
        <w:tc>
          <w:tcPr>
            <w:tcW w:w="281" w:type="pct"/>
            <w:shd w:val="clear" w:color="auto" w:fill="auto"/>
            <w:noWrap/>
            <w:vAlign w:val="center"/>
          </w:tcPr>
          <w:p w14:paraId="5C8F6D66">
            <w:pPr>
              <w:widowControl/>
              <w:spacing w:line="240" w:lineRule="auto"/>
              <w:ind w:firstLine="0" w:firstLineChars="0"/>
              <w:jc w:val="center"/>
              <w:rPr>
                <w:rFonts w:cs="Times New Roman"/>
                <w:b/>
                <w:bCs/>
                <w:color w:val="000000"/>
                <w:kern w:val="0"/>
                <w:sz w:val="24"/>
                <w:szCs w:val="24"/>
              </w:rPr>
            </w:pPr>
            <w:r>
              <w:rPr>
                <w:rFonts w:cs="Times New Roman"/>
                <w:b/>
                <w:bCs/>
                <w:color w:val="000000"/>
                <w:kern w:val="0"/>
                <w:sz w:val="24"/>
                <w:szCs w:val="24"/>
              </w:rPr>
              <w:t>得分</w:t>
            </w:r>
          </w:p>
        </w:tc>
        <w:tc>
          <w:tcPr>
            <w:tcW w:w="797" w:type="pct"/>
            <w:shd w:val="clear" w:color="auto" w:fill="auto"/>
            <w:noWrap/>
            <w:vAlign w:val="center"/>
          </w:tcPr>
          <w:p w14:paraId="5A86013D">
            <w:pPr>
              <w:widowControl/>
              <w:spacing w:line="240" w:lineRule="auto"/>
              <w:ind w:firstLine="0" w:firstLineChars="0"/>
              <w:jc w:val="center"/>
              <w:rPr>
                <w:rFonts w:cs="Times New Roman"/>
                <w:b/>
                <w:bCs/>
                <w:color w:val="000000"/>
                <w:kern w:val="0"/>
                <w:sz w:val="24"/>
                <w:szCs w:val="24"/>
              </w:rPr>
            </w:pPr>
            <w:r>
              <w:rPr>
                <w:rFonts w:cs="Times New Roman"/>
                <w:b/>
                <w:bCs/>
                <w:color w:val="000000"/>
                <w:kern w:val="0"/>
                <w:sz w:val="24"/>
                <w:szCs w:val="24"/>
              </w:rPr>
              <w:t>证明材料</w:t>
            </w:r>
          </w:p>
        </w:tc>
      </w:tr>
      <w:tr w14:paraId="35FEB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6" w:hRule="atLeast"/>
        </w:trPr>
        <w:tc>
          <w:tcPr>
            <w:tcW w:w="528" w:type="pct"/>
            <w:vMerge w:val="restart"/>
            <w:shd w:val="clear" w:color="auto" w:fill="auto"/>
            <w:vAlign w:val="center"/>
          </w:tcPr>
          <w:p w14:paraId="05026DF8">
            <w:pPr>
              <w:widowControl/>
              <w:spacing w:line="240" w:lineRule="auto"/>
              <w:ind w:firstLine="0" w:firstLineChars="0"/>
              <w:jc w:val="center"/>
              <w:rPr>
                <w:rFonts w:cs="Times New Roman"/>
                <w:color w:val="000000"/>
                <w:kern w:val="0"/>
                <w:sz w:val="24"/>
                <w:szCs w:val="24"/>
              </w:rPr>
            </w:pPr>
            <w:r>
              <w:rPr>
                <w:rFonts w:cs="Times New Roman"/>
                <w:color w:val="000000"/>
                <w:kern w:val="0"/>
                <w:sz w:val="24"/>
                <w:szCs w:val="24"/>
              </w:rPr>
              <w:t>约束指标</w:t>
            </w:r>
          </w:p>
        </w:tc>
        <w:tc>
          <w:tcPr>
            <w:tcW w:w="681" w:type="pct"/>
            <w:vMerge w:val="restart"/>
            <w:shd w:val="clear" w:color="auto" w:fill="auto"/>
            <w:noWrap/>
            <w:vAlign w:val="center"/>
          </w:tcPr>
          <w:p w14:paraId="021EBEA3">
            <w:pPr>
              <w:widowControl/>
              <w:spacing w:line="240" w:lineRule="auto"/>
              <w:ind w:firstLine="0" w:firstLineChars="0"/>
              <w:jc w:val="center"/>
              <w:rPr>
                <w:rFonts w:cs="Times New Roman"/>
                <w:color w:val="000000"/>
                <w:kern w:val="0"/>
                <w:sz w:val="24"/>
                <w:szCs w:val="24"/>
              </w:rPr>
            </w:pPr>
            <w:r>
              <w:rPr>
                <w:rFonts w:cs="Times New Roman"/>
                <w:color w:val="000000"/>
                <w:kern w:val="0"/>
                <w:sz w:val="24"/>
                <w:szCs w:val="24"/>
              </w:rPr>
              <w:t>约束指标符合性</w:t>
            </w:r>
          </w:p>
        </w:tc>
        <w:tc>
          <w:tcPr>
            <w:tcW w:w="2710" w:type="pct"/>
            <w:gridSpan w:val="2"/>
            <w:vMerge w:val="restart"/>
            <w:shd w:val="clear" w:color="auto" w:fill="auto"/>
            <w:vAlign w:val="center"/>
          </w:tcPr>
          <w:p w14:paraId="2AC22AA7">
            <w:pPr>
              <w:widowControl/>
              <w:spacing w:line="240" w:lineRule="auto"/>
              <w:ind w:firstLine="0" w:firstLineChars="0"/>
              <w:rPr>
                <w:rFonts w:cs="Times New Roman"/>
                <w:color w:val="000000"/>
                <w:kern w:val="0"/>
                <w:sz w:val="24"/>
                <w:szCs w:val="24"/>
              </w:rPr>
            </w:pPr>
            <w:r>
              <w:rPr>
                <w:rFonts w:cs="Times New Roman"/>
                <w:color w:val="000000"/>
                <w:kern w:val="0"/>
                <w:sz w:val="24"/>
                <w:szCs w:val="24"/>
              </w:rPr>
              <w:t>项目应通过所有约束指标评价，尤其是建设内容应属于《北京市密云区气候投融资项目分类目录</w:t>
            </w:r>
            <w:r>
              <w:rPr>
                <w:rFonts w:cs="Times New Roman"/>
                <w:kern w:val="0"/>
                <w:sz w:val="24"/>
                <w:szCs w:val="24"/>
              </w:rPr>
              <w:t>（生态涵养区</w:t>
            </w:r>
            <w:r>
              <w:rPr>
                <w:rFonts w:hint="eastAsia" w:cs="Times New Roman"/>
                <w:kern w:val="0"/>
                <w:sz w:val="24"/>
                <w:szCs w:val="24"/>
              </w:rPr>
              <w:t xml:space="preserve"> 试行</w:t>
            </w:r>
            <w:r>
              <w:rPr>
                <w:rFonts w:cs="Times New Roman"/>
                <w:kern w:val="0"/>
                <w:sz w:val="24"/>
                <w:szCs w:val="24"/>
              </w:rPr>
              <w:t>）</w:t>
            </w:r>
            <w:r>
              <w:rPr>
                <w:rFonts w:cs="Times New Roman"/>
                <w:color w:val="000000"/>
                <w:kern w:val="0"/>
                <w:sz w:val="24"/>
                <w:szCs w:val="24"/>
              </w:rPr>
              <w:t>》所列范围。</w:t>
            </w:r>
          </w:p>
        </w:tc>
        <w:tc>
          <w:tcPr>
            <w:tcW w:w="281" w:type="pct"/>
            <w:vMerge w:val="restart"/>
            <w:shd w:val="clear" w:color="auto" w:fill="auto"/>
            <w:noWrap/>
            <w:vAlign w:val="center"/>
          </w:tcPr>
          <w:p w14:paraId="3BB90E97">
            <w:pPr>
              <w:widowControl/>
              <w:spacing w:line="240" w:lineRule="auto"/>
              <w:ind w:firstLine="0" w:firstLineChars="0"/>
              <w:jc w:val="center"/>
              <w:rPr>
                <w:rFonts w:cs="Times New Roman"/>
                <w:color w:val="000000"/>
                <w:kern w:val="0"/>
                <w:sz w:val="24"/>
                <w:szCs w:val="24"/>
              </w:rPr>
            </w:pPr>
          </w:p>
        </w:tc>
        <w:tc>
          <w:tcPr>
            <w:tcW w:w="797" w:type="pct"/>
            <w:vMerge w:val="restart"/>
            <w:shd w:val="clear" w:color="auto" w:fill="auto"/>
            <w:noWrap/>
            <w:vAlign w:val="center"/>
          </w:tcPr>
          <w:p w14:paraId="4A71F319">
            <w:pPr>
              <w:widowControl/>
              <w:spacing w:line="240" w:lineRule="auto"/>
              <w:ind w:firstLine="0" w:firstLineChars="0"/>
              <w:jc w:val="center"/>
              <w:rPr>
                <w:rFonts w:cs="Times New Roman"/>
                <w:color w:val="000000"/>
                <w:kern w:val="0"/>
                <w:sz w:val="24"/>
                <w:szCs w:val="24"/>
              </w:rPr>
            </w:pPr>
          </w:p>
        </w:tc>
      </w:tr>
      <w:tr w14:paraId="0E609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6" w:hRule="atLeast"/>
        </w:trPr>
        <w:tc>
          <w:tcPr>
            <w:tcW w:w="528" w:type="pct"/>
            <w:vMerge w:val="continue"/>
            <w:vAlign w:val="center"/>
          </w:tcPr>
          <w:p w14:paraId="763634D0">
            <w:pPr>
              <w:widowControl/>
              <w:spacing w:line="240" w:lineRule="auto"/>
              <w:ind w:firstLine="0" w:firstLineChars="0"/>
              <w:jc w:val="left"/>
              <w:rPr>
                <w:rFonts w:cs="Times New Roman"/>
                <w:color w:val="000000"/>
                <w:kern w:val="0"/>
                <w:sz w:val="24"/>
                <w:szCs w:val="24"/>
              </w:rPr>
            </w:pPr>
          </w:p>
        </w:tc>
        <w:tc>
          <w:tcPr>
            <w:tcW w:w="681" w:type="pct"/>
            <w:vMerge w:val="continue"/>
            <w:vAlign w:val="center"/>
          </w:tcPr>
          <w:p w14:paraId="6ED58734">
            <w:pPr>
              <w:widowControl/>
              <w:spacing w:line="240" w:lineRule="auto"/>
              <w:ind w:firstLine="0" w:firstLineChars="0"/>
              <w:jc w:val="left"/>
              <w:rPr>
                <w:rFonts w:cs="Times New Roman"/>
                <w:color w:val="000000"/>
                <w:kern w:val="0"/>
                <w:sz w:val="24"/>
                <w:szCs w:val="24"/>
              </w:rPr>
            </w:pPr>
          </w:p>
        </w:tc>
        <w:tc>
          <w:tcPr>
            <w:tcW w:w="2710" w:type="pct"/>
            <w:gridSpan w:val="2"/>
            <w:vMerge w:val="continue"/>
            <w:vAlign w:val="center"/>
          </w:tcPr>
          <w:p w14:paraId="55872652">
            <w:pPr>
              <w:widowControl/>
              <w:spacing w:line="240" w:lineRule="auto"/>
              <w:ind w:firstLine="0" w:firstLineChars="0"/>
              <w:jc w:val="left"/>
              <w:rPr>
                <w:rFonts w:cs="Times New Roman"/>
                <w:color w:val="000000"/>
                <w:kern w:val="0"/>
                <w:sz w:val="24"/>
                <w:szCs w:val="24"/>
              </w:rPr>
            </w:pPr>
          </w:p>
        </w:tc>
        <w:tc>
          <w:tcPr>
            <w:tcW w:w="281" w:type="pct"/>
            <w:vMerge w:val="continue"/>
            <w:vAlign w:val="center"/>
          </w:tcPr>
          <w:p w14:paraId="1506281C">
            <w:pPr>
              <w:widowControl/>
              <w:spacing w:line="240" w:lineRule="auto"/>
              <w:ind w:firstLine="0" w:firstLineChars="0"/>
              <w:jc w:val="center"/>
              <w:rPr>
                <w:rFonts w:cs="Times New Roman"/>
                <w:color w:val="000000"/>
                <w:kern w:val="0"/>
                <w:sz w:val="24"/>
                <w:szCs w:val="24"/>
              </w:rPr>
            </w:pPr>
          </w:p>
        </w:tc>
        <w:tc>
          <w:tcPr>
            <w:tcW w:w="797" w:type="pct"/>
            <w:vMerge w:val="continue"/>
            <w:vAlign w:val="center"/>
          </w:tcPr>
          <w:p w14:paraId="6F8DC75A">
            <w:pPr>
              <w:widowControl/>
              <w:spacing w:line="240" w:lineRule="auto"/>
              <w:ind w:firstLine="0" w:firstLineChars="0"/>
              <w:jc w:val="center"/>
              <w:rPr>
                <w:rFonts w:cs="Times New Roman"/>
                <w:color w:val="000000"/>
                <w:kern w:val="0"/>
                <w:sz w:val="24"/>
                <w:szCs w:val="24"/>
              </w:rPr>
            </w:pPr>
          </w:p>
        </w:tc>
      </w:tr>
      <w:tr w14:paraId="2B1AD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12" w:hRule="atLeast"/>
        </w:trPr>
        <w:tc>
          <w:tcPr>
            <w:tcW w:w="528" w:type="pct"/>
            <w:vMerge w:val="restart"/>
            <w:shd w:val="clear" w:color="auto" w:fill="auto"/>
            <w:vAlign w:val="center"/>
          </w:tcPr>
          <w:p w14:paraId="5853CB2A">
            <w:pPr>
              <w:widowControl/>
              <w:spacing w:line="240" w:lineRule="auto"/>
              <w:ind w:firstLine="0" w:firstLineChars="0"/>
              <w:jc w:val="center"/>
              <w:rPr>
                <w:rFonts w:cs="Times New Roman"/>
                <w:color w:val="000000"/>
                <w:kern w:val="0"/>
                <w:sz w:val="24"/>
                <w:szCs w:val="24"/>
              </w:rPr>
            </w:pPr>
            <w:r>
              <w:rPr>
                <w:rFonts w:cs="Times New Roman"/>
                <w:color w:val="000000"/>
                <w:kern w:val="0"/>
                <w:sz w:val="24"/>
                <w:szCs w:val="24"/>
              </w:rPr>
              <w:t>气候效益</w:t>
            </w:r>
          </w:p>
        </w:tc>
        <w:tc>
          <w:tcPr>
            <w:tcW w:w="681" w:type="pct"/>
            <w:shd w:val="clear" w:color="auto" w:fill="auto"/>
            <w:vAlign w:val="center"/>
          </w:tcPr>
          <w:p w14:paraId="19EB340C">
            <w:pPr>
              <w:widowControl/>
              <w:spacing w:line="240" w:lineRule="auto"/>
              <w:ind w:firstLine="0" w:firstLineChars="0"/>
              <w:jc w:val="center"/>
              <w:rPr>
                <w:rFonts w:cs="Times New Roman"/>
                <w:color w:val="000000"/>
                <w:kern w:val="0"/>
                <w:sz w:val="24"/>
                <w:szCs w:val="24"/>
              </w:rPr>
            </w:pPr>
            <w:r>
              <w:rPr>
                <w:rFonts w:cs="Times New Roman"/>
                <w:color w:val="000000"/>
                <w:kern w:val="0"/>
                <w:sz w:val="24"/>
                <w:szCs w:val="24"/>
              </w:rPr>
              <w:t>投资规模</w:t>
            </w:r>
          </w:p>
        </w:tc>
        <w:tc>
          <w:tcPr>
            <w:tcW w:w="2710" w:type="pct"/>
            <w:gridSpan w:val="2"/>
            <w:shd w:val="clear" w:color="auto" w:fill="auto"/>
            <w:vAlign w:val="center"/>
          </w:tcPr>
          <w:p w14:paraId="6CAA3484">
            <w:pPr>
              <w:widowControl/>
              <w:spacing w:line="240" w:lineRule="auto"/>
              <w:ind w:firstLine="0" w:firstLineChars="0"/>
              <w:rPr>
                <w:rFonts w:cs="Times New Roman"/>
                <w:color w:val="000000"/>
                <w:kern w:val="0"/>
                <w:sz w:val="24"/>
                <w:szCs w:val="24"/>
              </w:rPr>
            </w:pPr>
            <w:r>
              <w:rPr>
                <w:rFonts w:cs="Times New Roman"/>
                <w:color w:val="000000"/>
                <w:kern w:val="0"/>
                <w:sz w:val="24"/>
                <w:szCs w:val="24"/>
              </w:rPr>
              <w:t>项目具备一定的体量和规模。</w:t>
            </w:r>
          </w:p>
        </w:tc>
        <w:tc>
          <w:tcPr>
            <w:tcW w:w="281" w:type="pct"/>
            <w:shd w:val="clear" w:color="auto" w:fill="auto"/>
            <w:noWrap/>
            <w:vAlign w:val="center"/>
          </w:tcPr>
          <w:p w14:paraId="2F80FA63">
            <w:pPr>
              <w:widowControl/>
              <w:spacing w:line="240" w:lineRule="auto"/>
              <w:ind w:firstLine="0" w:firstLineChars="0"/>
              <w:jc w:val="center"/>
              <w:rPr>
                <w:rFonts w:cs="Times New Roman"/>
                <w:color w:val="000000"/>
                <w:kern w:val="0"/>
                <w:sz w:val="24"/>
                <w:szCs w:val="24"/>
              </w:rPr>
            </w:pPr>
          </w:p>
        </w:tc>
        <w:tc>
          <w:tcPr>
            <w:tcW w:w="797" w:type="pct"/>
            <w:shd w:val="clear" w:color="auto" w:fill="auto"/>
            <w:noWrap/>
            <w:vAlign w:val="center"/>
          </w:tcPr>
          <w:p w14:paraId="4EAF0845">
            <w:pPr>
              <w:widowControl/>
              <w:spacing w:line="240" w:lineRule="auto"/>
              <w:ind w:firstLine="0" w:firstLineChars="0"/>
              <w:jc w:val="center"/>
              <w:rPr>
                <w:rFonts w:cs="Times New Roman"/>
                <w:color w:val="000000"/>
                <w:kern w:val="0"/>
                <w:sz w:val="24"/>
                <w:szCs w:val="24"/>
              </w:rPr>
            </w:pPr>
          </w:p>
        </w:tc>
      </w:tr>
      <w:tr w14:paraId="00AFF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528" w:type="pct"/>
            <w:vMerge w:val="continue"/>
            <w:vAlign w:val="center"/>
          </w:tcPr>
          <w:p w14:paraId="7F73A0F4">
            <w:pPr>
              <w:widowControl/>
              <w:spacing w:line="240" w:lineRule="auto"/>
              <w:ind w:firstLine="0" w:firstLineChars="0"/>
              <w:jc w:val="left"/>
              <w:rPr>
                <w:rFonts w:cs="Times New Roman"/>
                <w:color w:val="000000"/>
                <w:kern w:val="0"/>
                <w:sz w:val="24"/>
                <w:szCs w:val="24"/>
              </w:rPr>
            </w:pPr>
          </w:p>
        </w:tc>
        <w:tc>
          <w:tcPr>
            <w:tcW w:w="681" w:type="pct"/>
            <w:shd w:val="clear" w:color="auto" w:fill="auto"/>
            <w:vAlign w:val="center"/>
          </w:tcPr>
          <w:p w14:paraId="01D746B2">
            <w:pPr>
              <w:widowControl/>
              <w:spacing w:line="240" w:lineRule="auto"/>
              <w:ind w:firstLine="0" w:firstLineChars="0"/>
              <w:jc w:val="center"/>
              <w:rPr>
                <w:rFonts w:cs="Times New Roman"/>
                <w:color w:val="000000"/>
                <w:kern w:val="0"/>
                <w:sz w:val="24"/>
                <w:szCs w:val="24"/>
              </w:rPr>
            </w:pPr>
            <w:r>
              <w:rPr>
                <w:rFonts w:cs="Times New Roman"/>
                <w:color w:val="000000"/>
                <w:kern w:val="0"/>
                <w:sz w:val="24"/>
                <w:szCs w:val="24"/>
              </w:rPr>
              <w:t>示范作用</w:t>
            </w:r>
          </w:p>
        </w:tc>
        <w:tc>
          <w:tcPr>
            <w:tcW w:w="2710" w:type="pct"/>
            <w:gridSpan w:val="2"/>
            <w:shd w:val="clear" w:color="auto" w:fill="auto"/>
            <w:vAlign w:val="center"/>
          </w:tcPr>
          <w:p w14:paraId="5F6008DF">
            <w:pPr>
              <w:widowControl/>
              <w:spacing w:line="240" w:lineRule="auto"/>
              <w:ind w:firstLine="0" w:firstLineChars="0"/>
              <w:rPr>
                <w:rFonts w:cs="Times New Roman"/>
                <w:color w:val="000000"/>
                <w:kern w:val="0"/>
                <w:sz w:val="24"/>
                <w:szCs w:val="24"/>
              </w:rPr>
            </w:pPr>
            <w:r>
              <w:rPr>
                <w:rFonts w:cs="Times New Roman"/>
                <w:color w:val="000000"/>
                <w:kern w:val="0"/>
                <w:sz w:val="24"/>
                <w:szCs w:val="24"/>
              </w:rPr>
              <w:t>项目在改善适应气候变化目标方面具有领先于行业平均水平的示范作用。强化极端天气气候事件预警类项目可参考“预警准确率、精细度和提前量”等指标；建立适应气候变化的粮食安全保障体系类项目可参考“农田灌溉用水有效利用系数”等指标；实施生态保护和修复重大工程规划与建设类项目可参考“沙化土地治理面积”等指标进行评价。</w:t>
            </w:r>
          </w:p>
        </w:tc>
        <w:tc>
          <w:tcPr>
            <w:tcW w:w="281" w:type="pct"/>
            <w:shd w:val="clear" w:color="auto" w:fill="auto"/>
            <w:noWrap/>
            <w:vAlign w:val="center"/>
          </w:tcPr>
          <w:p w14:paraId="39611A66">
            <w:pPr>
              <w:widowControl/>
              <w:spacing w:line="240" w:lineRule="auto"/>
              <w:ind w:firstLine="0" w:firstLineChars="0"/>
              <w:jc w:val="center"/>
              <w:rPr>
                <w:rFonts w:cs="Times New Roman"/>
                <w:color w:val="000000"/>
                <w:kern w:val="0"/>
                <w:sz w:val="24"/>
                <w:szCs w:val="24"/>
              </w:rPr>
            </w:pPr>
          </w:p>
        </w:tc>
        <w:tc>
          <w:tcPr>
            <w:tcW w:w="797" w:type="pct"/>
            <w:shd w:val="clear" w:color="auto" w:fill="auto"/>
            <w:noWrap/>
            <w:vAlign w:val="center"/>
          </w:tcPr>
          <w:p w14:paraId="656C3FFE">
            <w:pPr>
              <w:widowControl/>
              <w:spacing w:line="240" w:lineRule="auto"/>
              <w:ind w:firstLine="0" w:firstLineChars="0"/>
              <w:jc w:val="center"/>
              <w:rPr>
                <w:rFonts w:cs="Times New Roman"/>
                <w:color w:val="000000"/>
                <w:kern w:val="0"/>
                <w:sz w:val="24"/>
                <w:szCs w:val="24"/>
              </w:rPr>
            </w:pPr>
          </w:p>
        </w:tc>
      </w:tr>
      <w:tr w14:paraId="76AD2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6" w:hRule="atLeast"/>
        </w:trPr>
        <w:tc>
          <w:tcPr>
            <w:tcW w:w="528" w:type="pct"/>
            <w:vMerge w:val="continue"/>
            <w:vAlign w:val="center"/>
          </w:tcPr>
          <w:p w14:paraId="5923CC3D">
            <w:pPr>
              <w:widowControl/>
              <w:spacing w:line="240" w:lineRule="auto"/>
              <w:ind w:firstLine="0" w:firstLineChars="0"/>
              <w:jc w:val="left"/>
              <w:rPr>
                <w:rFonts w:cs="Times New Roman"/>
                <w:color w:val="000000"/>
                <w:kern w:val="0"/>
                <w:sz w:val="24"/>
                <w:szCs w:val="24"/>
              </w:rPr>
            </w:pPr>
          </w:p>
        </w:tc>
        <w:tc>
          <w:tcPr>
            <w:tcW w:w="681" w:type="pct"/>
            <w:vMerge w:val="continue"/>
            <w:vAlign w:val="center"/>
          </w:tcPr>
          <w:p w14:paraId="0659B198">
            <w:pPr>
              <w:widowControl/>
              <w:spacing w:line="240" w:lineRule="auto"/>
              <w:ind w:firstLine="0" w:firstLineChars="0"/>
              <w:jc w:val="left"/>
              <w:rPr>
                <w:rFonts w:cs="Times New Roman"/>
                <w:color w:val="000000"/>
                <w:kern w:val="0"/>
                <w:sz w:val="24"/>
                <w:szCs w:val="24"/>
              </w:rPr>
            </w:pPr>
          </w:p>
        </w:tc>
        <w:tc>
          <w:tcPr>
            <w:tcW w:w="2710" w:type="pct"/>
            <w:gridSpan w:val="2"/>
            <w:vMerge w:val="continue"/>
            <w:vAlign w:val="center"/>
          </w:tcPr>
          <w:p w14:paraId="3D4F938E">
            <w:pPr>
              <w:widowControl/>
              <w:spacing w:line="240" w:lineRule="auto"/>
              <w:ind w:firstLine="0" w:firstLineChars="0"/>
              <w:jc w:val="left"/>
              <w:rPr>
                <w:rFonts w:cs="Times New Roman"/>
                <w:color w:val="000000"/>
                <w:kern w:val="0"/>
                <w:sz w:val="24"/>
                <w:szCs w:val="24"/>
              </w:rPr>
            </w:pPr>
          </w:p>
        </w:tc>
        <w:tc>
          <w:tcPr>
            <w:tcW w:w="281" w:type="pct"/>
            <w:vMerge w:val="continue"/>
            <w:vAlign w:val="center"/>
          </w:tcPr>
          <w:p w14:paraId="682284BB">
            <w:pPr>
              <w:widowControl/>
              <w:spacing w:line="240" w:lineRule="auto"/>
              <w:ind w:firstLine="0" w:firstLineChars="0"/>
              <w:jc w:val="center"/>
              <w:rPr>
                <w:rFonts w:cs="Times New Roman"/>
                <w:color w:val="000000"/>
                <w:kern w:val="0"/>
                <w:sz w:val="24"/>
                <w:szCs w:val="24"/>
              </w:rPr>
            </w:pPr>
          </w:p>
        </w:tc>
        <w:tc>
          <w:tcPr>
            <w:tcW w:w="797" w:type="pct"/>
            <w:vMerge w:val="continue"/>
            <w:vAlign w:val="center"/>
          </w:tcPr>
          <w:p w14:paraId="5163CE6A">
            <w:pPr>
              <w:widowControl/>
              <w:spacing w:line="240" w:lineRule="auto"/>
              <w:ind w:firstLine="0" w:firstLineChars="0"/>
              <w:jc w:val="center"/>
              <w:rPr>
                <w:rFonts w:cs="Times New Roman"/>
                <w:color w:val="000000"/>
                <w:kern w:val="0"/>
                <w:sz w:val="24"/>
                <w:szCs w:val="24"/>
              </w:rPr>
            </w:pPr>
          </w:p>
        </w:tc>
      </w:tr>
      <w:tr w14:paraId="56BC2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6" w:hRule="atLeast"/>
        </w:trPr>
        <w:tc>
          <w:tcPr>
            <w:tcW w:w="528" w:type="pct"/>
            <w:vMerge w:val="restart"/>
            <w:shd w:val="clear" w:color="auto" w:fill="auto"/>
            <w:vAlign w:val="center"/>
          </w:tcPr>
          <w:p w14:paraId="4EAF7396">
            <w:pPr>
              <w:widowControl/>
              <w:spacing w:line="240" w:lineRule="auto"/>
              <w:ind w:firstLine="0" w:firstLineChars="0"/>
              <w:jc w:val="center"/>
              <w:rPr>
                <w:rFonts w:cs="Times New Roman"/>
                <w:color w:val="000000"/>
                <w:kern w:val="0"/>
                <w:sz w:val="24"/>
                <w:szCs w:val="24"/>
              </w:rPr>
            </w:pPr>
            <w:r>
              <w:rPr>
                <w:rFonts w:cs="Times New Roman"/>
                <w:color w:val="000000"/>
                <w:kern w:val="0"/>
                <w:sz w:val="24"/>
                <w:szCs w:val="24"/>
              </w:rPr>
              <w:t>可持续发展影响</w:t>
            </w:r>
          </w:p>
        </w:tc>
        <w:tc>
          <w:tcPr>
            <w:tcW w:w="681" w:type="pct"/>
            <w:vMerge w:val="restart"/>
            <w:shd w:val="clear" w:color="auto" w:fill="auto"/>
            <w:vAlign w:val="center"/>
          </w:tcPr>
          <w:p w14:paraId="467829DE">
            <w:pPr>
              <w:widowControl/>
              <w:spacing w:line="240" w:lineRule="auto"/>
              <w:ind w:firstLine="0" w:firstLineChars="0"/>
              <w:jc w:val="center"/>
              <w:rPr>
                <w:rFonts w:cs="Times New Roman"/>
                <w:color w:val="000000"/>
                <w:kern w:val="0"/>
                <w:sz w:val="24"/>
                <w:szCs w:val="24"/>
              </w:rPr>
            </w:pPr>
            <w:r>
              <w:rPr>
                <w:rFonts w:cs="Times New Roman"/>
                <w:color w:val="000000"/>
                <w:kern w:val="0"/>
                <w:sz w:val="24"/>
                <w:szCs w:val="24"/>
              </w:rPr>
              <w:t>社会效益</w:t>
            </w:r>
          </w:p>
        </w:tc>
        <w:tc>
          <w:tcPr>
            <w:tcW w:w="2710" w:type="pct"/>
            <w:gridSpan w:val="2"/>
            <w:vMerge w:val="restart"/>
            <w:shd w:val="clear" w:color="auto" w:fill="auto"/>
            <w:vAlign w:val="center"/>
          </w:tcPr>
          <w:p w14:paraId="6F97D8EE">
            <w:pPr>
              <w:widowControl/>
              <w:spacing w:line="240" w:lineRule="auto"/>
              <w:ind w:firstLine="0" w:firstLineChars="0"/>
              <w:rPr>
                <w:rFonts w:cs="Times New Roman"/>
                <w:color w:val="000000"/>
                <w:kern w:val="0"/>
                <w:sz w:val="24"/>
                <w:szCs w:val="24"/>
              </w:rPr>
            </w:pPr>
            <w:r>
              <w:rPr>
                <w:rFonts w:cs="Times New Roman"/>
                <w:color w:val="000000"/>
                <w:kern w:val="0"/>
                <w:sz w:val="24"/>
                <w:szCs w:val="24"/>
              </w:rPr>
              <w:t>项目实施能够产生提高就业率、提高农业生产效率、减少食品浪费和损失、提高食品安全和卫生标准、提高医疗设施与服务的覆盖范围和质量、提高教育设施与服务的覆盖范围和质量、促进就业性别平等、提升水资源利用效率和质量、促进文化保护等社会效益。</w:t>
            </w:r>
          </w:p>
        </w:tc>
        <w:tc>
          <w:tcPr>
            <w:tcW w:w="281" w:type="pct"/>
            <w:vMerge w:val="restart"/>
            <w:shd w:val="clear" w:color="auto" w:fill="auto"/>
            <w:noWrap/>
            <w:vAlign w:val="center"/>
          </w:tcPr>
          <w:p w14:paraId="207239EE">
            <w:pPr>
              <w:widowControl/>
              <w:spacing w:line="240" w:lineRule="auto"/>
              <w:ind w:firstLine="0" w:firstLineChars="0"/>
              <w:jc w:val="center"/>
              <w:rPr>
                <w:rFonts w:cs="Times New Roman"/>
                <w:color w:val="000000"/>
                <w:kern w:val="0"/>
                <w:sz w:val="24"/>
                <w:szCs w:val="24"/>
              </w:rPr>
            </w:pPr>
          </w:p>
        </w:tc>
        <w:tc>
          <w:tcPr>
            <w:tcW w:w="797" w:type="pct"/>
            <w:vMerge w:val="restart"/>
            <w:shd w:val="clear" w:color="auto" w:fill="auto"/>
            <w:noWrap/>
            <w:vAlign w:val="center"/>
          </w:tcPr>
          <w:p w14:paraId="2A95A6F0">
            <w:pPr>
              <w:widowControl/>
              <w:spacing w:line="240" w:lineRule="auto"/>
              <w:ind w:firstLine="0" w:firstLineChars="0"/>
              <w:jc w:val="center"/>
              <w:rPr>
                <w:rFonts w:cs="Times New Roman"/>
                <w:color w:val="000000"/>
                <w:kern w:val="0"/>
                <w:sz w:val="24"/>
                <w:szCs w:val="24"/>
              </w:rPr>
            </w:pPr>
          </w:p>
        </w:tc>
      </w:tr>
      <w:tr w14:paraId="0C488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6" w:hRule="atLeast"/>
        </w:trPr>
        <w:tc>
          <w:tcPr>
            <w:tcW w:w="528" w:type="pct"/>
            <w:vMerge w:val="continue"/>
            <w:vAlign w:val="center"/>
          </w:tcPr>
          <w:p w14:paraId="10A5EDA6">
            <w:pPr>
              <w:widowControl/>
              <w:spacing w:line="240" w:lineRule="auto"/>
              <w:ind w:firstLine="0" w:firstLineChars="0"/>
              <w:jc w:val="left"/>
              <w:rPr>
                <w:rFonts w:cs="Times New Roman"/>
                <w:color w:val="000000"/>
                <w:kern w:val="0"/>
                <w:sz w:val="24"/>
                <w:szCs w:val="24"/>
              </w:rPr>
            </w:pPr>
          </w:p>
        </w:tc>
        <w:tc>
          <w:tcPr>
            <w:tcW w:w="681" w:type="pct"/>
            <w:vMerge w:val="continue"/>
            <w:vAlign w:val="center"/>
          </w:tcPr>
          <w:p w14:paraId="75B7A90C">
            <w:pPr>
              <w:widowControl/>
              <w:spacing w:line="240" w:lineRule="auto"/>
              <w:ind w:firstLine="0" w:firstLineChars="0"/>
              <w:jc w:val="left"/>
              <w:rPr>
                <w:rFonts w:cs="Times New Roman"/>
                <w:color w:val="000000"/>
                <w:kern w:val="0"/>
                <w:sz w:val="24"/>
                <w:szCs w:val="24"/>
              </w:rPr>
            </w:pPr>
          </w:p>
        </w:tc>
        <w:tc>
          <w:tcPr>
            <w:tcW w:w="2710" w:type="pct"/>
            <w:gridSpan w:val="2"/>
            <w:vMerge w:val="continue"/>
            <w:vAlign w:val="center"/>
          </w:tcPr>
          <w:p w14:paraId="717ECAD9">
            <w:pPr>
              <w:widowControl/>
              <w:spacing w:line="240" w:lineRule="auto"/>
              <w:ind w:firstLine="0" w:firstLineChars="0"/>
              <w:jc w:val="left"/>
              <w:rPr>
                <w:rFonts w:cs="Times New Roman"/>
                <w:color w:val="000000"/>
                <w:kern w:val="0"/>
                <w:sz w:val="24"/>
                <w:szCs w:val="24"/>
              </w:rPr>
            </w:pPr>
          </w:p>
        </w:tc>
        <w:tc>
          <w:tcPr>
            <w:tcW w:w="281" w:type="pct"/>
            <w:vMerge w:val="continue"/>
            <w:vAlign w:val="center"/>
          </w:tcPr>
          <w:p w14:paraId="59E82CB5">
            <w:pPr>
              <w:widowControl/>
              <w:spacing w:line="240" w:lineRule="auto"/>
              <w:ind w:firstLine="0" w:firstLineChars="0"/>
              <w:jc w:val="center"/>
              <w:rPr>
                <w:rFonts w:cs="Times New Roman"/>
                <w:color w:val="000000"/>
                <w:kern w:val="0"/>
                <w:sz w:val="24"/>
                <w:szCs w:val="24"/>
              </w:rPr>
            </w:pPr>
          </w:p>
        </w:tc>
        <w:tc>
          <w:tcPr>
            <w:tcW w:w="797" w:type="pct"/>
            <w:vMerge w:val="continue"/>
            <w:vAlign w:val="center"/>
          </w:tcPr>
          <w:p w14:paraId="1EE4D61E">
            <w:pPr>
              <w:widowControl/>
              <w:spacing w:line="240" w:lineRule="auto"/>
              <w:ind w:firstLine="0" w:firstLineChars="0"/>
              <w:jc w:val="center"/>
              <w:rPr>
                <w:rFonts w:cs="Times New Roman"/>
                <w:color w:val="000000"/>
                <w:kern w:val="0"/>
                <w:sz w:val="24"/>
                <w:szCs w:val="24"/>
              </w:rPr>
            </w:pPr>
          </w:p>
        </w:tc>
      </w:tr>
      <w:tr w14:paraId="52789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340" w:hRule="atLeast"/>
        </w:trPr>
        <w:tc>
          <w:tcPr>
            <w:tcW w:w="528" w:type="pct"/>
            <w:vMerge w:val="continue"/>
            <w:vAlign w:val="center"/>
          </w:tcPr>
          <w:p w14:paraId="04C03626">
            <w:pPr>
              <w:widowControl/>
              <w:spacing w:line="240" w:lineRule="auto"/>
              <w:ind w:firstLine="0" w:firstLineChars="0"/>
              <w:jc w:val="left"/>
              <w:rPr>
                <w:rFonts w:cs="Times New Roman"/>
                <w:color w:val="000000"/>
                <w:kern w:val="0"/>
                <w:sz w:val="24"/>
                <w:szCs w:val="24"/>
              </w:rPr>
            </w:pPr>
          </w:p>
        </w:tc>
        <w:tc>
          <w:tcPr>
            <w:tcW w:w="681" w:type="pct"/>
            <w:vMerge w:val="continue"/>
            <w:vAlign w:val="center"/>
          </w:tcPr>
          <w:p w14:paraId="0E4E92D5">
            <w:pPr>
              <w:widowControl/>
              <w:spacing w:line="240" w:lineRule="auto"/>
              <w:ind w:firstLine="0" w:firstLineChars="0"/>
              <w:jc w:val="left"/>
              <w:rPr>
                <w:rFonts w:cs="Times New Roman"/>
                <w:color w:val="000000"/>
                <w:kern w:val="0"/>
                <w:sz w:val="24"/>
                <w:szCs w:val="24"/>
              </w:rPr>
            </w:pPr>
          </w:p>
        </w:tc>
        <w:tc>
          <w:tcPr>
            <w:tcW w:w="2710" w:type="pct"/>
            <w:gridSpan w:val="2"/>
            <w:vMerge w:val="continue"/>
            <w:vAlign w:val="center"/>
          </w:tcPr>
          <w:p w14:paraId="35745982">
            <w:pPr>
              <w:widowControl/>
              <w:spacing w:line="240" w:lineRule="auto"/>
              <w:ind w:firstLine="0" w:firstLineChars="0"/>
              <w:jc w:val="left"/>
              <w:rPr>
                <w:rFonts w:cs="Times New Roman"/>
                <w:color w:val="000000"/>
                <w:kern w:val="0"/>
                <w:sz w:val="24"/>
                <w:szCs w:val="24"/>
              </w:rPr>
            </w:pPr>
          </w:p>
        </w:tc>
        <w:tc>
          <w:tcPr>
            <w:tcW w:w="281" w:type="pct"/>
            <w:vMerge w:val="continue"/>
            <w:vAlign w:val="center"/>
          </w:tcPr>
          <w:p w14:paraId="33138A40">
            <w:pPr>
              <w:widowControl/>
              <w:spacing w:line="240" w:lineRule="auto"/>
              <w:ind w:firstLine="0" w:firstLineChars="0"/>
              <w:jc w:val="center"/>
              <w:rPr>
                <w:rFonts w:cs="Times New Roman"/>
                <w:color w:val="000000"/>
                <w:kern w:val="0"/>
                <w:sz w:val="24"/>
                <w:szCs w:val="24"/>
              </w:rPr>
            </w:pPr>
          </w:p>
        </w:tc>
        <w:tc>
          <w:tcPr>
            <w:tcW w:w="797" w:type="pct"/>
            <w:vMerge w:val="continue"/>
            <w:vAlign w:val="center"/>
          </w:tcPr>
          <w:p w14:paraId="000EB172">
            <w:pPr>
              <w:widowControl/>
              <w:spacing w:line="240" w:lineRule="auto"/>
              <w:ind w:firstLine="0" w:firstLineChars="0"/>
              <w:jc w:val="center"/>
              <w:rPr>
                <w:rFonts w:cs="Times New Roman"/>
                <w:color w:val="000000"/>
                <w:kern w:val="0"/>
                <w:sz w:val="24"/>
                <w:szCs w:val="24"/>
              </w:rPr>
            </w:pPr>
          </w:p>
        </w:tc>
      </w:tr>
      <w:tr w14:paraId="32023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6" w:hRule="atLeast"/>
        </w:trPr>
        <w:tc>
          <w:tcPr>
            <w:tcW w:w="528" w:type="pct"/>
            <w:vMerge w:val="continue"/>
            <w:vAlign w:val="center"/>
          </w:tcPr>
          <w:p w14:paraId="0E7B6939">
            <w:pPr>
              <w:widowControl/>
              <w:spacing w:line="240" w:lineRule="auto"/>
              <w:ind w:firstLine="0" w:firstLineChars="0"/>
              <w:jc w:val="left"/>
              <w:rPr>
                <w:rFonts w:cs="Times New Roman"/>
                <w:color w:val="000000"/>
                <w:kern w:val="0"/>
                <w:sz w:val="24"/>
                <w:szCs w:val="24"/>
              </w:rPr>
            </w:pPr>
          </w:p>
        </w:tc>
        <w:tc>
          <w:tcPr>
            <w:tcW w:w="681" w:type="pct"/>
            <w:vMerge w:val="restart"/>
            <w:shd w:val="clear" w:color="auto" w:fill="auto"/>
            <w:vAlign w:val="center"/>
          </w:tcPr>
          <w:p w14:paraId="4EC19DD4">
            <w:pPr>
              <w:widowControl/>
              <w:spacing w:line="240" w:lineRule="auto"/>
              <w:ind w:firstLine="0" w:firstLineChars="0"/>
              <w:jc w:val="center"/>
              <w:rPr>
                <w:rFonts w:cs="Times New Roman"/>
                <w:color w:val="000000"/>
                <w:kern w:val="0"/>
                <w:sz w:val="24"/>
                <w:szCs w:val="24"/>
              </w:rPr>
            </w:pPr>
            <w:r>
              <w:rPr>
                <w:rFonts w:cs="Times New Roman"/>
                <w:color w:val="000000"/>
                <w:kern w:val="0"/>
                <w:sz w:val="24"/>
                <w:szCs w:val="24"/>
              </w:rPr>
              <w:t>环境协同效益</w:t>
            </w:r>
          </w:p>
        </w:tc>
        <w:tc>
          <w:tcPr>
            <w:tcW w:w="2710" w:type="pct"/>
            <w:gridSpan w:val="2"/>
            <w:vMerge w:val="restart"/>
            <w:shd w:val="clear" w:color="auto" w:fill="auto"/>
            <w:vAlign w:val="center"/>
          </w:tcPr>
          <w:p w14:paraId="27BA249B">
            <w:pPr>
              <w:widowControl/>
              <w:spacing w:line="240" w:lineRule="auto"/>
              <w:ind w:firstLine="0" w:firstLineChars="0"/>
              <w:rPr>
                <w:rFonts w:cs="Times New Roman"/>
                <w:color w:val="000000"/>
                <w:kern w:val="0"/>
                <w:sz w:val="24"/>
                <w:szCs w:val="24"/>
              </w:rPr>
            </w:pPr>
            <w:r>
              <w:rPr>
                <w:rFonts w:cs="Times New Roman"/>
                <w:color w:val="000000"/>
                <w:kern w:val="0"/>
                <w:sz w:val="24"/>
                <w:szCs w:val="24"/>
              </w:rPr>
              <w:t>项目对提高空气、水和土壤质量，促进生物多样性等方面具有协同效益。</w:t>
            </w:r>
          </w:p>
        </w:tc>
        <w:tc>
          <w:tcPr>
            <w:tcW w:w="281" w:type="pct"/>
            <w:vMerge w:val="restart"/>
            <w:shd w:val="clear" w:color="auto" w:fill="auto"/>
            <w:noWrap/>
            <w:vAlign w:val="center"/>
          </w:tcPr>
          <w:p w14:paraId="17CDDD61">
            <w:pPr>
              <w:widowControl/>
              <w:spacing w:line="240" w:lineRule="auto"/>
              <w:ind w:firstLine="0" w:firstLineChars="0"/>
              <w:jc w:val="center"/>
              <w:rPr>
                <w:rFonts w:cs="Times New Roman"/>
                <w:color w:val="000000"/>
                <w:kern w:val="0"/>
                <w:sz w:val="24"/>
                <w:szCs w:val="24"/>
              </w:rPr>
            </w:pPr>
          </w:p>
        </w:tc>
        <w:tc>
          <w:tcPr>
            <w:tcW w:w="797" w:type="pct"/>
            <w:vMerge w:val="restart"/>
            <w:shd w:val="clear" w:color="auto" w:fill="auto"/>
            <w:noWrap/>
            <w:vAlign w:val="center"/>
          </w:tcPr>
          <w:p w14:paraId="5112F7A6">
            <w:pPr>
              <w:widowControl/>
              <w:spacing w:line="240" w:lineRule="auto"/>
              <w:ind w:firstLine="0" w:firstLineChars="0"/>
              <w:jc w:val="center"/>
              <w:rPr>
                <w:rFonts w:cs="Times New Roman"/>
                <w:color w:val="000000"/>
                <w:kern w:val="0"/>
                <w:sz w:val="24"/>
                <w:szCs w:val="24"/>
              </w:rPr>
            </w:pPr>
          </w:p>
        </w:tc>
      </w:tr>
      <w:tr w14:paraId="77030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6" w:hRule="atLeast"/>
        </w:trPr>
        <w:tc>
          <w:tcPr>
            <w:tcW w:w="528" w:type="pct"/>
            <w:vMerge w:val="continue"/>
            <w:vAlign w:val="center"/>
          </w:tcPr>
          <w:p w14:paraId="0122A813">
            <w:pPr>
              <w:widowControl/>
              <w:spacing w:line="240" w:lineRule="auto"/>
              <w:ind w:firstLine="0" w:firstLineChars="0"/>
              <w:jc w:val="left"/>
              <w:rPr>
                <w:rFonts w:cs="Times New Roman"/>
                <w:color w:val="000000"/>
                <w:kern w:val="0"/>
                <w:sz w:val="24"/>
                <w:szCs w:val="24"/>
              </w:rPr>
            </w:pPr>
          </w:p>
        </w:tc>
        <w:tc>
          <w:tcPr>
            <w:tcW w:w="681" w:type="pct"/>
            <w:vMerge w:val="continue"/>
            <w:vAlign w:val="center"/>
          </w:tcPr>
          <w:p w14:paraId="15A7AEE9">
            <w:pPr>
              <w:widowControl/>
              <w:spacing w:line="240" w:lineRule="auto"/>
              <w:ind w:firstLine="0" w:firstLineChars="0"/>
              <w:jc w:val="left"/>
              <w:rPr>
                <w:rFonts w:cs="Times New Roman"/>
                <w:color w:val="000000"/>
                <w:kern w:val="0"/>
                <w:sz w:val="24"/>
                <w:szCs w:val="24"/>
              </w:rPr>
            </w:pPr>
          </w:p>
        </w:tc>
        <w:tc>
          <w:tcPr>
            <w:tcW w:w="2710" w:type="pct"/>
            <w:gridSpan w:val="2"/>
            <w:vMerge w:val="continue"/>
            <w:vAlign w:val="center"/>
          </w:tcPr>
          <w:p w14:paraId="3F852756">
            <w:pPr>
              <w:widowControl/>
              <w:spacing w:line="240" w:lineRule="auto"/>
              <w:ind w:firstLine="0" w:firstLineChars="0"/>
              <w:jc w:val="left"/>
              <w:rPr>
                <w:rFonts w:cs="Times New Roman"/>
                <w:color w:val="000000"/>
                <w:kern w:val="0"/>
                <w:sz w:val="24"/>
                <w:szCs w:val="24"/>
              </w:rPr>
            </w:pPr>
          </w:p>
        </w:tc>
        <w:tc>
          <w:tcPr>
            <w:tcW w:w="281" w:type="pct"/>
            <w:vMerge w:val="continue"/>
            <w:vAlign w:val="center"/>
          </w:tcPr>
          <w:p w14:paraId="768A0ED7">
            <w:pPr>
              <w:widowControl/>
              <w:spacing w:line="240" w:lineRule="auto"/>
              <w:ind w:firstLine="0" w:firstLineChars="0"/>
              <w:jc w:val="center"/>
              <w:rPr>
                <w:rFonts w:cs="Times New Roman"/>
                <w:color w:val="000000"/>
                <w:kern w:val="0"/>
                <w:sz w:val="24"/>
                <w:szCs w:val="24"/>
              </w:rPr>
            </w:pPr>
          </w:p>
        </w:tc>
        <w:tc>
          <w:tcPr>
            <w:tcW w:w="797" w:type="pct"/>
            <w:vMerge w:val="continue"/>
            <w:vAlign w:val="center"/>
          </w:tcPr>
          <w:p w14:paraId="0D5CDBD2">
            <w:pPr>
              <w:widowControl/>
              <w:spacing w:line="240" w:lineRule="auto"/>
              <w:ind w:firstLine="0" w:firstLineChars="0"/>
              <w:jc w:val="center"/>
              <w:rPr>
                <w:rFonts w:cs="Times New Roman"/>
                <w:color w:val="000000"/>
                <w:kern w:val="0"/>
                <w:sz w:val="24"/>
                <w:szCs w:val="24"/>
              </w:rPr>
            </w:pPr>
          </w:p>
        </w:tc>
      </w:tr>
      <w:tr w14:paraId="65E04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6" w:hRule="atLeast"/>
        </w:trPr>
        <w:tc>
          <w:tcPr>
            <w:tcW w:w="528" w:type="pct"/>
            <w:vMerge w:val="continue"/>
            <w:vAlign w:val="center"/>
          </w:tcPr>
          <w:p w14:paraId="7059B5AF">
            <w:pPr>
              <w:widowControl/>
              <w:spacing w:line="240" w:lineRule="auto"/>
              <w:ind w:firstLine="0" w:firstLineChars="0"/>
              <w:jc w:val="left"/>
              <w:rPr>
                <w:rFonts w:cs="Times New Roman"/>
                <w:color w:val="000000"/>
                <w:kern w:val="0"/>
                <w:sz w:val="24"/>
                <w:szCs w:val="24"/>
              </w:rPr>
            </w:pPr>
          </w:p>
        </w:tc>
        <w:tc>
          <w:tcPr>
            <w:tcW w:w="681" w:type="pct"/>
            <w:vMerge w:val="continue"/>
            <w:vAlign w:val="center"/>
          </w:tcPr>
          <w:p w14:paraId="3481A882">
            <w:pPr>
              <w:widowControl/>
              <w:spacing w:line="240" w:lineRule="auto"/>
              <w:ind w:firstLine="0" w:firstLineChars="0"/>
              <w:jc w:val="left"/>
              <w:rPr>
                <w:rFonts w:cs="Times New Roman"/>
                <w:color w:val="000000"/>
                <w:kern w:val="0"/>
                <w:sz w:val="24"/>
                <w:szCs w:val="24"/>
              </w:rPr>
            </w:pPr>
          </w:p>
        </w:tc>
        <w:tc>
          <w:tcPr>
            <w:tcW w:w="2710" w:type="pct"/>
            <w:gridSpan w:val="2"/>
            <w:vMerge w:val="continue"/>
            <w:vAlign w:val="center"/>
          </w:tcPr>
          <w:p w14:paraId="77636963">
            <w:pPr>
              <w:widowControl/>
              <w:spacing w:line="240" w:lineRule="auto"/>
              <w:ind w:firstLine="0" w:firstLineChars="0"/>
              <w:jc w:val="left"/>
              <w:rPr>
                <w:rFonts w:cs="Times New Roman"/>
                <w:color w:val="000000"/>
                <w:kern w:val="0"/>
                <w:sz w:val="24"/>
                <w:szCs w:val="24"/>
              </w:rPr>
            </w:pPr>
          </w:p>
        </w:tc>
        <w:tc>
          <w:tcPr>
            <w:tcW w:w="281" w:type="pct"/>
            <w:vMerge w:val="continue"/>
            <w:vAlign w:val="center"/>
          </w:tcPr>
          <w:p w14:paraId="531F99E2">
            <w:pPr>
              <w:widowControl/>
              <w:spacing w:line="240" w:lineRule="auto"/>
              <w:ind w:firstLine="0" w:firstLineChars="0"/>
              <w:jc w:val="center"/>
              <w:rPr>
                <w:rFonts w:cs="Times New Roman"/>
                <w:color w:val="000000"/>
                <w:kern w:val="0"/>
                <w:sz w:val="24"/>
                <w:szCs w:val="24"/>
              </w:rPr>
            </w:pPr>
          </w:p>
        </w:tc>
        <w:tc>
          <w:tcPr>
            <w:tcW w:w="797" w:type="pct"/>
            <w:vMerge w:val="continue"/>
            <w:vAlign w:val="center"/>
          </w:tcPr>
          <w:p w14:paraId="6AE609A1">
            <w:pPr>
              <w:widowControl/>
              <w:spacing w:line="240" w:lineRule="auto"/>
              <w:ind w:firstLine="0" w:firstLineChars="0"/>
              <w:jc w:val="center"/>
              <w:rPr>
                <w:rFonts w:cs="Times New Roman"/>
                <w:color w:val="000000"/>
                <w:kern w:val="0"/>
                <w:sz w:val="24"/>
                <w:szCs w:val="24"/>
              </w:rPr>
            </w:pPr>
          </w:p>
        </w:tc>
      </w:tr>
      <w:tr w14:paraId="11E4F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4" w:hRule="atLeast"/>
        </w:trPr>
        <w:tc>
          <w:tcPr>
            <w:tcW w:w="3920" w:type="pct"/>
            <w:gridSpan w:val="4"/>
            <w:shd w:val="clear" w:color="auto" w:fill="auto"/>
            <w:noWrap/>
            <w:vAlign w:val="center"/>
          </w:tcPr>
          <w:p w14:paraId="6D004939">
            <w:pPr>
              <w:widowControl/>
              <w:spacing w:line="240" w:lineRule="auto"/>
              <w:ind w:firstLine="0" w:firstLineChars="0"/>
              <w:jc w:val="center"/>
              <w:rPr>
                <w:rFonts w:cs="Times New Roman"/>
                <w:color w:val="000000"/>
                <w:kern w:val="0"/>
                <w:sz w:val="24"/>
                <w:szCs w:val="24"/>
              </w:rPr>
            </w:pPr>
            <w:r>
              <w:rPr>
                <w:rFonts w:cs="Times New Roman"/>
                <w:b/>
                <w:bCs/>
                <w:color w:val="000000"/>
                <w:kern w:val="0"/>
                <w:sz w:val="24"/>
                <w:szCs w:val="24"/>
              </w:rPr>
              <w:t>总分</w:t>
            </w:r>
          </w:p>
        </w:tc>
        <w:tc>
          <w:tcPr>
            <w:tcW w:w="1079" w:type="pct"/>
            <w:gridSpan w:val="2"/>
            <w:shd w:val="clear" w:color="auto" w:fill="auto"/>
            <w:vAlign w:val="center"/>
          </w:tcPr>
          <w:p w14:paraId="4D964395">
            <w:pPr>
              <w:widowControl/>
              <w:spacing w:line="240" w:lineRule="auto"/>
              <w:ind w:firstLine="0" w:firstLineChars="0"/>
              <w:jc w:val="center"/>
              <w:rPr>
                <w:rFonts w:cs="Times New Roman"/>
                <w:color w:val="000000"/>
                <w:kern w:val="0"/>
                <w:sz w:val="24"/>
                <w:szCs w:val="24"/>
              </w:rPr>
            </w:pPr>
          </w:p>
        </w:tc>
      </w:tr>
      <w:tr w14:paraId="4ECFF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4" w:hRule="atLeast"/>
        </w:trPr>
        <w:tc>
          <w:tcPr>
            <w:tcW w:w="5000" w:type="pct"/>
            <w:gridSpan w:val="6"/>
            <w:shd w:val="clear" w:color="auto" w:fill="auto"/>
            <w:vAlign w:val="center"/>
          </w:tcPr>
          <w:p w14:paraId="5F232BC6">
            <w:pPr>
              <w:widowControl/>
              <w:spacing w:line="240" w:lineRule="auto"/>
              <w:ind w:firstLine="0" w:firstLineChars="0"/>
              <w:jc w:val="left"/>
              <w:rPr>
                <w:rFonts w:cs="Times New Roman"/>
                <w:b/>
                <w:bCs/>
                <w:color w:val="000000"/>
                <w:kern w:val="0"/>
                <w:sz w:val="24"/>
                <w:szCs w:val="24"/>
              </w:rPr>
            </w:pPr>
            <w:r>
              <w:rPr>
                <w:rFonts w:cs="Times New Roman"/>
                <w:b/>
                <w:bCs/>
                <w:color w:val="000000"/>
                <w:kern w:val="0"/>
                <w:sz w:val="24"/>
                <w:szCs w:val="24"/>
              </w:rPr>
              <w:t>二、评价结果</w:t>
            </w:r>
          </w:p>
        </w:tc>
      </w:tr>
      <w:tr w14:paraId="213E5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816" w:hRule="atLeast"/>
        </w:trPr>
        <w:tc>
          <w:tcPr>
            <w:tcW w:w="5000" w:type="pct"/>
            <w:gridSpan w:val="6"/>
            <w:shd w:val="clear" w:color="auto" w:fill="auto"/>
            <w:vAlign w:val="center"/>
          </w:tcPr>
          <w:p w14:paraId="33E1AFAE">
            <w:pPr>
              <w:widowControl/>
              <w:ind w:firstLine="0" w:firstLineChars="0"/>
              <w:rPr>
                <w:rFonts w:cs="Times New Roman"/>
                <w:sz w:val="24"/>
                <w:szCs w:val="24"/>
              </w:rPr>
            </w:pPr>
            <w:r>
              <w:rPr>
                <w:rFonts w:cs="Times New Roman"/>
                <w:sz w:val="24"/>
                <w:szCs w:val="24"/>
              </w:rPr>
              <w:t>该项目类别属性为_________类、项目综合得分为__________分，评价等级为 ☐ A级/ ☐ B级/ ☐ C级。</w:t>
            </w:r>
          </w:p>
          <w:p w14:paraId="1459D68A">
            <w:pPr>
              <w:widowControl/>
              <w:ind w:firstLine="0" w:firstLineChars="0"/>
              <w:jc w:val="left"/>
              <w:rPr>
                <w:rFonts w:cs="Times New Roman"/>
                <w:color w:val="000000"/>
                <w:kern w:val="0"/>
                <w:sz w:val="24"/>
                <w:szCs w:val="24"/>
              </w:rPr>
            </w:pPr>
            <w:r>
              <w:rPr>
                <w:rFonts w:cs="Times New Roman"/>
                <w:sz w:val="24"/>
                <w:szCs w:val="24"/>
              </w:rPr>
              <w:t>建议☐能/ ☐不能 纳入密云区气候投融资项目库。</w:t>
            </w:r>
          </w:p>
        </w:tc>
      </w:tr>
    </w:tbl>
    <w:p w14:paraId="1386C42E">
      <w:pPr>
        <w:spacing w:line="320" w:lineRule="exact"/>
        <w:ind w:firstLine="420"/>
        <w:rPr>
          <w:rFonts w:cs="Times New Roman"/>
          <w:bCs/>
          <w:sz w:val="21"/>
          <w:szCs w:val="21"/>
        </w:rPr>
      </w:pPr>
      <w:r>
        <w:rPr>
          <w:rFonts w:cs="Times New Roman"/>
          <w:bCs/>
          <w:sz w:val="21"/>
          <w:szCs w:val="21"/>
        </w:rPr>
        <w:t>注：“证明材料”一列填写评分所依据的项目申报材料。文件材料需要填写文件名称及页码。</w:t>
      </w:r>
    </w:p>
    <w:sectPr>
      <w:pgSz w:w="16838" w:h="11906" w:orient="landscape"/>
      <w:pgMar w:top="1803" w:right="1440" w:bottom="1803" w:left="1440" w:header="851" w:footer="992" w:gutter="0"/>
      <w:pgNumType w:fmt="numberInDash"/>
      <w:cols w:space="0" w:num="1"/>
      <w:docGrid w:type="lines" w:linePitch="43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6029F1A-06DF-4607-88A1-38E3D654512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2" w:fontKey="{FC8F2C7C-205E-4E5C-8169-4E7DFDA7FD44}"/>
  </w:font>
  <w:font w:name="仿宋">
    <w:panose1 w:val="02010609060101010101"/>
    <w:charset w:val="86"/>
    <w:family w:val="modern"/>
    <w:pitch w:val="default"/>
    <w:sig w:usb0="800002BF" w:usb1="38CF7CFA" w:usb2="00000016" w:usb3="00000000" w:csb0="00040001" w:csb1="00000000"/>
    <w:embedRegular r:id="rId3" w:fontKey="{D8EFCEA7-8BE8-46A9-A13E-D8E5C23CB310}"/>
  </w:font>
  <w:font w:name="方正小标宋简体">
    <w:panose1 w:val="03000509000000000000"/>
    <w:charset w:val="86"/>
    <w:family w:val="auto"/>
    <w:pitch w:val="default"/>
    <w:sig w:usb0="00000001" w:usb1="080E0000" w:usb2="00000000" w:usb3="00000000" w:csb0="00040000" w:csb1="00000000"/>
    <w:embedRegular r:id="rId4" w:fontKey="{F4FA78A5-2C0B-491D-81FE-BDB23342AE3C}"/>
  </w:font>
  <w:font w:name="微软雅黑">
    <w:panose1 w:val="020B0503020204020204"/>
    <w:charset w:val="86"/>
    <w:family w:val="swiss"/>
    <w:pitch w:val="default"/>
    <w:sig w:usb0="80000287" w:usb1="2ACF3C50" w:usb2="00000016" w:usb3="00000000" w:csb0="0004001F" w:csb1="00000000"/>
    <w:embedRegular r:id="rId5" w:fontKey="{0748F538-7DDA-4127-A7A3-D0AD8FE74188}"/>
  </w:font>
  <w:font w:name="方正小标宋体">
    <w:altName w:val="宋体"/>
    <w:panose1 w:val="00000000000000000000"/>
    <w:charset w:val="86"/>
    <w:family w:val="roman"/>
    <w:pitch w:val="default"/>
    <w:sig w:usb0="00000000" w:usb1="00000000" w:usb2="00000000" w:usb3="00000000" w:csb0="00000000" w:csb1="00000000"/>
    <w:embedRegular r:id="rId6" w:fontKey="{F7B45CA4-B4B8-4BDA-8D88-02BA5B0DE9BF}"/>
  </w:font>
  <w:font w:name="Segoe UI Symbol">
    <w:panose1 w:val="020B0502040204020203"/>
    <w:charset w:val="00"/>
    <w:family w:val="swiss"/>
    <w:pitch w:val="default"/>
    <w:sig w:usb0="800001E3" w:usb1="1200FFEF" w:usb2="00040000" w:usb3="04000000" w:csb0="00000001" w:csb1="40000000"/>
    <w:embedRegular r:id="rId7" w:fontKey="{E5E8D22B-96EF-4D4F-AD84-F6B8A4DB3A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D8A867">
    <w:pPr>
      <w:pStyle w:val="9"/>
      <w:ind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DD1DB">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3C774E">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A910A8">
    <w:pPr>
      <w:pStyle w:val="9"/>
      <w:ind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ECA8FB">
    <w:pPr>
      <w:pStyle w:val="9"/>
      <w:ind w:firstLine="36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rPr>
                              <w:rFonts w:hint="eastAsia" w:ascii="宋体" w:hAnsi="宋体" w:eastAsia="宋体" w:cs="宋体"/>
                              <w:sz w:val="28"/>
                              <w:szCs w:val="28"/>
                            </w:rPr>
                            <w:id w:val="147454019"/>
                          </w:sdtPr>
                          <w:sdtEndPr>
                            <w:rPr>
                              <w:rFonts w:hint="eastAsia" w:ascii="宋体" w:hAnsi="宋体" w:eastAsia="宋体" w:cs="宋体"/>
                              <w:sz w:val="28"/>
                              <w:szCs w:val="28"/>
                            </w:rPr>
                          </w:sdtEndPr>
                          <w:sdtContent>
                            <w:p w14:paraId="60C734E4">
                              <w:pPr>
                                <w:pStyle w:val="9"/>
                                <w:ind w:firstLine="560"/>
                                <w:jc w:val="center"/>
                                <w:rPr>
                                  <w:rFonts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PAGE   \* MERGEFORMAT</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2</w:t>
                              </w:r>
                              <w:r>
                                <w:rPr>
                                  <w:rFonts w:hint="eastAsia" w:ascii="宋体" w:hAnsi="宋体" w:eastAsia="宋体" w:cs="宋体"/>
                                  <w:sz w:val="28"/>
                                  <w:szCs w:val="28"/>
                                </w:rPr>
                                <w:fldChar w:fldCharType="end"/>
                              </w:r>
                            </w:p>
                          </w:sdtContent>
                        </w:sdt>
                        <w:p w14:paraId="66D3EE92">
                          <w:pPr>
                            <w:ind w:firstLine="560"/>
                            <w:rPr>
                              <w:rFonts w:ascii="宋体" w:hAnsi="宋体" w:eastAsia="宋体" w:cs="宋体"/>
                              <w:sz w:val="28"/>
                              <w:szCs w:val="2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sdt>
                    <w:sdtPr>
                      <w:rPr>
                        <w:rFonts w:hint="eastAsia" w:ascii="宋体" w:hAnsi="宋体" w:eastAsia="宋体" w:cs="宋体"/>
                        <w:sz w:val="28"/>
                        <w:szCs w:val="28"/>
                      </w:rPr>
                      <w:id w:val="147454019"/>
                    </w:sdtPr>
                    <w:sdtEndPr>
                      <w:rPr>
                        <w:rFonts w:hint="eastAsia" w:ascii="宋体" w:hAnsi="宋体" w:eastAsia="宋体" w:cs="宋体"/>
                        <w:sz w:val="28"/>
                        <w:szCs w:val="28"/>
                      </w:rPr>
                    </w:sdtEndPr>
                    <w:sdtContent>
                      <w:p w14:paraId="60C734E4">
                        <w:pPr>
                          <w:pStyle w:val="9"/>
                          <w:ind w:firstLine="560"/>
                          <w:jc w:val="center"/>
                          <w:rPr>
                            <w:rFonts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PAGE   \* MERGEFORMAT</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2</w:t>
                        </w:r>
                        <w:r>
                          <w:rPr>
                            <w:rFonts w:hint="eastAsia" w:ascii="宋体" w:hAnsi="宋体" w:eastAsia="宋体" w:cs="宋体"/>
                            <w:sz w:val="28"/>
                            <w:szCs w:val="28"/>
                          </w:rPr>
                          <w:fldChar w:fldCharType="end"/>
                        </w:r>
                      </w:p>
                    </w:sdtContent>
                  </w:sdt>
                  <w:p w14:paraId="66D3EE92">
                    <w:pPr>
                      <w:ind w:firstLine="560"/>
                      <w:rPr>
                        <w:rFonts w:ascii="宋体" w:hAnsi="宋体" w:eastAsia="宋体" w:cs="宋体"/>
                        <w:sz w:val="28"/>
                        <w:szCs w:val="28"/>
                      </w:rPr>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D777BA">
    <w:pPr>
      <w:pStyle w:val="9"/>
      <w:ind w:firstLine="3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59631507" name="文本框 15596315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2E6C3E">
                          <w:pPr>
                            <w:pStyle w:val="9"/>
                            <w:ind w:firstLine="560"/>
                            <w:jc w:val="center"/>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NsKsGI2AgAAZwQAAA4AAAAAAAAAAQAgAAAAHwEAAGRycy9lMm9Eb2MueG1s&#10;UEsFBgAAAAAGAAYAWQEAAMcFAAAAAA==&#10;">
              <v:fill on="f" focussize="0,0"/>
              <v:stroke on="f" weight="0.5pt"/>
              <v:imagedata o:title=""/>
              <o:lock v:ext="edit" aspectratio="f"/>
              <v:textbox inset="0mm,0mm,0mm,0mm" style="mso-fit-shape-to-text:t;">
                <w:txbxContent>
                  <w:p w14:paraId="0F2E6C3E">
                    <w:pPr>
                      <w:pStyle w:val="9"/>
                      <w:ind w:firstLine="560"/>
                      <w:jc w:val="center"/>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4F58DD">
    <w:pPr>
      <w:pStyle w:val="10"/>
      <w:pBdr>
        <w:bottom w:val="none" w:color="auto" w:sz="0" w:space="1"/>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3D4F28">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F18622">
    <w:pPr>
      <w:pStyle w:val="10"/>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D919D5">
    <w:pPr>
      <w:pStyle w:val="10"/>
      <w:pBdr>
        <w:bottom w:val="none" w:color="auto" w:sz="0" w:space="1"/>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3F0FD9"/>
    <w:multiLevelType w:val="singleLevel"/>
    <w:tmpl w:val="823F0FD9"/>
    <w:lvl w:ilvl="0" w:tentative="0">
      <w:start w:val="1"/>
      <w:numFmt w:val="decimal"/>
      <w:lvlText w:val="%1."/>
      <w:lvlJc w:val="left"/>
      <w:pPr>
        <w:tabs>
          <w:tab w:val="left" w:pos="312"/>
        </w:tabs>
      </w:pPr>
      <w:rPr>
        <w:rFonts w:hint="default" w:ascii="Times New Roman" w:hAnsi="Times New Roman" w:cs="Times New Roman"/>
        <w:sz w:val="24"/>
        <w:szCs w:val="24"/>
      </w:rPr>
    </w:lvl>
  </w:abstractNum>
  <w:abstractNum w:abstractNumId="1">
    <w:nsid w:val="9782317C"/>
    <w:multiLevelType w:val="singleLevel"/>
    <w:tmpl w:val="9782317C"/>
    <w:lvl w:ilvl="0" w:tentative="0">
      <w:start w:val="1"/>
      <w:numFmt w:val="decimal"/>
      <w:suff w:val="space"/>
      <w:lvlText w:val="%1."/>
      <w:lvlJc w:val="left"/>
    </w:lvl>
  </w:abstractNum>
  <w:abstractNum w:abstractNumId="2">
    <w:nsid w:val="9D63BFB4"/>
    <w:multiLevelType w:val="singleLevel"/>
    <w:tmpl w:val="9D63BFB4"/>
    <w:lvl w:ilvl="0" w:tentative="0">
      <w:start w:val="1"/>
      <w:numFmt w:val="chineseCounting"/>
      <w:suff w:val="nothing"/>
      <w:lvlText w:val="（%1）"/>
      <w:lvlJc w:val="left"/>
      <w:pPr>
        <w:ind w:left="0" w:firstLine="420"/>
      </w:pPr>
      <w:rPr>
        <w:rFonts w:hint="eastAsia"/>
      </w:rPr>
    </w:lvl>
  </w:abstractNum>
  <w:abstractNum w:abstractNumId="3">
    <w:nsid w:val="9F771C55"/>
    <w:multiLevelType w:val="singleLevel"/>
    <w:tmpl w:val="9F771C55"/>
    <w:lvl w:ilvl="0" w:tentative="0">
      <w:start w:val="1"/>
      <w:numFmt w:val="decimal"/>
      <w:suff w:val="space"/>
      <w:lvlText w:val="%1."/>
      <w:lvlJc w:val="left"/>
    </w:lvl>
  </w:abstractNum>
  <w:abstractNum w:abstractNumId="4">
    <w:nsid w:val="CFBF61FB"/>
    <w:multiLevelType w:val="singleLevel"/>
    <w:tmpl w:val="CFBF61FB"/>
    <w:lvl w:ilvl="0" w:tentative="0">
      <w:start w:val="1"/>
      <w:numFmt w:val="decimal"/>
      <w:suff w:val="space"/>
      <w:lvlText w:val="%1."/>
      <w:lvlJc w:val="left"/>
    </w:lvl>
  </w:abstractNum>
  <w:abstractNum w:abstractNumId="5">
    <w:nsid w:val="EAABA2CF"/>
    <w:multiLevelType w:val="singleLevel"/>
    <w:tmpl w:val="EAABA2CF"/>
    <w:lvl w:ilvl="0" w:tentative="0">
      <w:start w:val="1"/>
      <w:numFmt w:val="decimal"/>
      <w:suff w:val="space"/>
      <w:lvlText w:val="%1."/>
      <w:lvlJc w:val="left"/>
    </w:lvl>
  </w:abstractNum>
  <w:abstractNum w:abstractNumId="6">
    <w:nsid w:val="EFB79425"/>
    <w:multiLevelType w:val="singleLevel"/>
    <w:tmpl w:val="EFB79425"/>
    <w:lvl w:ilvl="0" w:tentative="0">
      <w:start w:val="1"/>
      <w:numFmt w:val="decimal"/>
      <w:suff w:val="space"/>
      <w:lvlText w:val="%1."/>
      <w:lvlJc w:val="left"/>
    </w:lvl>
  </w:abstractNum>
  <w:abstractNum w:abstractNumId="7">
    <w:nsid w:val="F43BF98A"/>
    <w:multiLevelType w:val="singleLevel"/>
    <w:tmpl w:val="F43BF98A"/>
    <w:lvl w:ilvl="0" w:tentative="0">
      <w:start w:val="1"/>
      <w:numFmt w:val="decimal"/>
      <w:lvlText w:val="%1."/>
      <w:lvlJc w:val="left"/>
      <w:pPr>
        <w:tabs>
          <w:tab w:val="left" w:pos="312"/>
        </w:tabs>
      </w:pPr>
    </w:lvl>
  </w:abstractNum>
  <w:abstractNum w:abstractNumId="8">
    <w:nsid w:val="F77E37A9"/>
    <w:multiLevelType w:val="singleLevel"/>
    <w:tmpl w:val="F77E37A9"/>
    <w:lvl w:ilvl="0" w:tentative="0">
      <w:start w:val="1"/>
      <w:numFmt w:val="decimal"/>
      <w:suff w:val="space"/>
      <w:lvlText w:val="%1."/>
      <w:lvlJc w:val="left"/>
    </w:lvl>
  </w:abstractNum>
  <w:abstractNum w:abstractNumId="9">
    <w:nsid w:val="FA5F37CC"/>
    <w:multiLevelType w:val="singleLevel"/>
    <w:tmpl w:val="FA5F37CC"/>
    <w:lvl w:ilvl="0" w:tentative="0">
      <w:start w:val="1"/>
      <w:numFmt w:val="chineseCounting"/>
      <w:suff w:val="nothing"/>
      <w:lvlText w:val="（%1）"/>
      <w:lvlJc w:val="left"/>
      <w:pPr>
        <w:ind w:left="0" w:firstLine="420"/>
      </w:pPr>
      <w:rPr>
        <w:rFonts w:hint="eastAsia"/>
      </w:rPr>
    </w:lvl>
  </w:abstractNum>
  <w:abstractNum w:abstractNumId="10">
    <w:nsid w:val="FEF626E3"/>
    <w:multiLevelType w:val="singleLevel"/>
    <w:tmpl w:val="FEF626E3"/>
    <w:lvl w:ilvl="0" w:tentative="0">
      <w:start w:val="1"/>
      <w:numFmt w:val="decimal"/>
      <w:suff w:val="space"/>
      <w:lvlText w:val="%1."/>
      <w:lvlJc w:val="left"/>
    </w:lvl>
  </w:abstractNum>
  <w:abstractNum w:abstractNumId="11">
    <w:nsid w:val="FF4EF28A"/>
    <w:multiLevelType w:val="singleLevel"/>
    <w:tmpl w:val="FF4EF28A"/>
    <w:lvl w:ilvl="0" w:tentative="0">
      <w:start w:val="1"/>
      <w:numFmt w:val="decimal"/>
      <w:suff w:val="space"/>
      <w:lvlText w:val="%1."/>
      <w:lvlJc w:val="left"/>
    </w:lvl>
  </w:abstractNum>
  <w:abstractNum w:abstractNumId="12">
    <w:nsid w:val="FFC3339F"/>
    <w:multiLevelType w:val="singleLevel"/>
    <w:tmpl w:val="FFC3339F"/>
    <w:lvl w:ilvl="0" w:tentative="0">
      <w:start w:val="1"/>
      <w:numFmt w:val="decimal"/>
      <w:suff w:val="space"/>
      <w:lvlText w:val="%1."/>
      <w:lvlJc w:val="left"/>
    </w:lvl>
  </w:abstractNum>
  <w:abstractNum w:abstractNumId="13">
    <w:nsid w:val="0E7E993F"/>
    <w:multiLevelType w:val="singleLevel"/>
    <w:tmpl w:val="0E7E993F"/>
    <w:lvl w:ilvl="0" w:tentative="0">
      <w:start w:val="1"/>
      <w:numFmt w:val="decimal"/>
      <w:suff w:val="space"/>
      <w:lvlText w:val="%1."/>
      <w:lvlJc w:val="left"/>
    </w:lvl>
  </w:abstractNum>
  <w:abstractNum w:abstractNumId="14">
    <w:nsid w:val="0FE7F397"/>
    <w:multiLevelType w:val="multilevel"/>
    <w:tmpl w:val="0FE7F397"/>
    <w:lvl w:ilvl="0" w:tentative="0">
      <w:start w:val="1"/>
      <w:numFmt w:val="chineseCounting"/>
      <w:lvlText w:val="第%1条"/>
      <w:lvlJc w:val="left"/>
      <w:pPr>
        <w:tabs>
          <w:tab w:val="left" w:pos="420"/>
        </w:tabs>
        <w:ind w:left="0" w:firstLine="624"/>
      </w:pPr>
      <w:rPr>
        <w:rFonts w:hint="eastAsia" w:ascii="宋体" w:hAnsi="宋体" w:eastAsia="黑体" w:cs="宋体"/>
        <w:b w:val="0"/>
        <w:bCs/>
        <w:sz w:val="32"/>
        <w:szCs w:val="32"/>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5">
    <w:nsid w:val="2B1C25C4"/>
    <w:multiLevelType w:val="multilevel"/>
    <w:tmpl w:val="2B1C25C4"/>
    <w:lvl w:ilvl="0" w:tentative="0">
      <w:start w:val="1"/>
      <w:numFmt w:val="chineseCounting"/>
      <w:suff w:val="nothing"/>
      <w:lvlText w:val="（%1）"/>
      <w:lvlJc w:val="left"/>
      <w:pPr>
        <w:ind w:left="0" w:firstLine="420"/>
      </w:pPr>
      <w:rPr>
        <w:rFonts w:hint="eastAsia"/>
      </w:rPr>
    </w:lvl>
    <w:lvl w:ilvl="1" w:tentative="0">
      <w:start w:val="1"/>
      <w:numFmt w:val="decimal"/>
      <w:suff w:val="nothing"/>
      <w:lvlText w:val="%2．"/>
      <w:lvlJc w:val="left"/>
      <w:pPr>
        <w:ind w:left="220" w:firstLine="420"/>
      </w:pPr>
      <w:rPr>
        <w:rFonts w:hint="eastAsia"/>
      </w:rPr>
    </w:lvl>
    <w:lvl w:ilvl="2" w:tentative="0">
      <w:start w:val="1"/>
      <w:numFmt w:val="decimal"/>
      <w:suff w:val="nothing"/>
      <w:lvlText w:val="（%3）"/>
      <w:lvlJc w:val="left"/>
      <w:pPr>
        <w:ind w:left="0" w:firstLine="420"/>
      </w:pPr>
      <w:rPr>
        <w:rFonts w:hint="eastAsia"/>
      </w:rPr>
    </w:lvl>
    <w:lvl w:ilvl="3" w:tentative="0">
      <w:start w:val="1"/>
      <w:numFmt w:val="decimalEnclosedCircleChinese"/>
      <w:suff w:val="nothing"/>
      <w:lvlText w:val="%4"/>
      <w:lvlJc w:val="left"/>
      <w:pPr>
        <w:ind w:left="0" w:firstLine="420"/>
      </w:pPr>
      <w:rPr>
        <w:rFonts w:hint="eastAsia"/>
      </w:rPr>
    </w:lvl>
    <w:lvl w:ilvl="4" w:tentative="0">
      <w:start w:val="1"/>
      <w:numFmt w:val="decimal"/>
      <w:suff w:val="nothing"/>
      <w:lvlText w:val="%5）"/>
      <w:lvlJc w:val="left"/>
      <w:pPr>
        <w:ind w:left="0" w:firstLine="420"/>
      </w:pPr>
      <w:rPr>
        <w:rFonts w:hint="eastAsia"/>
      </w:rPr>
    </w:lvl>
    <w:lvl w:ilvl="5" w:tentative="0">
      <w:start w:val="1"/>
      <w:numFmt w:val="lowerLetter"/>
      <w:suff w:val="nothing"/>
      <w:lvlText w:val="%6．"/>
      <w:lvlJc w:val="left"/>
      <w:pPr>
        <w:ind w:left="0" w:firstLine="420"/>
      </w:pPr>
      <w:rPr>
        <w:rFonts w:hint="eastAsia"/>
      </w:rPr>
    </w:lvl>
    <w:lvl w:ilvl="6" w:tentative="0">
      <w:start w:val="1"/>
      <w:numFmt w:val="lowerLetter"/>
      <w:suff w:val="nothing"/>
      <w:lvlText w:val="%7）"/>
      <w:lvlJc w:val="left"/>
      <w:pPr>
        <w:ind w:left="0" w:firstLine="420"/>
      </w:pPr>
      <w:rPr>
        <w:rFonts w:hint="eastAsia"/>
      </w:rPr>
    </w:lvl>
    <w:lvl w:ilvl="7" w:tentative="0">
      <w:start w:val="1"/>
      <w:numFmt w:val="lowerRoman"/>
      <w:suff w:val="nothing"/>
      <w:lvlText w:val="%8．"/>
      <w:lvlJc w:val="left"/>
      <w:pPr>
        <w:ind w:left="0" w:firstLine="420"/>
      </w:pPr>
      <w:rPr>
        <w:rFonts w:hint="eastAsia"/>
      </w:rPr>
    </w:lvl>
    <w:lvl w:ilvl="8" w:tentative="0">
      <w:start w:val="1"/>
      <w:numFmt w:val="lowerRoman"/>
      <w:suff w:val="nothing"/>
      <w:lvlText w:val="%9）"/>
      <w:lvlJc w:val="left"/>
      <w:pPr>
        <w:ind w:left="0" w:firstLine="420"/>
      </w:pPr>
      <w:rPr>
        <w:rFonts w:hint="eastAsia"/>
      </w:rPr>
    </w:lvl>
  </w:abstractNum>
  <w:abstractNum w:abstractNumId="16">
    <w:nsid w:val="2FFF8875"/>
    <w:multiLevelType w:val="singleLevel"/>
    <w:tmpl w:val="2FFF8875"/>
    <w:lvl w:ilvl="0" w:tentative="0">
      <w:start w:val="1"/>
      <w:numFmt w:val="chineseCounting"/>
      <w:suff w:val="nothing"/>
      <w:lvlText w:val="（%1）"/>
      <w:lvlJc w:val="left"/>
      <w:rPr>
        <w:rFonts w:hint="eastAsia"/>
      </w:rPr>
    </w:lvl>
  </w:abstractNum>
  <w:abstractNum w:abstractNumId="17">
    <w:nsid w:val="35E3A1E5"/>
    <w:multiLevelType w:val="singleLevel"/>
    <w:tmpl w:val="35E3A1E5"/>
    <w:lvl w:ilvl="0" w:tentative="0">
      <w:start w:val="1"/>
      <w:numFmt w:val="decimal"/>
      <w:suff w:val="space"/>
      <w:lvlText w:val="%1."/>
      <w:lvlJc w:val="left"/>
    </w:lvl>
  </w:abstractNum>
  <w:abstractNum w:abstractNumId="18">
    <w:nsid w:val="47BD3E7E"/>
    <w:multiLevelType w:val="singleLevel"/>
    <w:tmpl w:val="47BD3E7E"/>
    <w:lvl w:ilvl="0" w:tentative="0">
      <w:start w:val="1"/>
      <w:numFmt w:val="chineseCounting"/>
      <w:suff w:val="nothing"/>
      <w:lvlText w:val="（%1）"/>
      <w:lvlJc w:val="left"/>
      <w:pPr>
        <w:ind w:left="0" w:firstLine="420"/>
      </w:pPr>
      <w:rPr>
        <w:rFonts w:hint="eastAsia"/>
      </w:rPr>
    </w:lvl>
  </w:abstractNum>
  <w:abstractNum w:abstractNumId="19">
    <w:nsid w:val="677A069E"/>
    <w:multiLevelType w:val="multilevel"/>
    <w:tmpl w:val="677A069E"/>
    <w:lvl w:ilvl="0" w:tentative="0">
      <w:start w:val="1"/>
      <w:numFmt w:val="chineseCountingThousand"/>
      <w:lvlText w:val="第%1章"/>
      <w:lvlJc w:val="left"/>
      <w:pPr>
        <w:ind w:left="420" w:hanging="420"/>
      </w:pPr>
      <w:rPr>
        <w:rFonts w:hint="eastAsia" w:ascii="黑体" w:hAnsi="黑体" w:eastAsia="黑体" w:cs="黑体"/>
        <w:sz w:val="36"/>
        <w:szCs w:val="36"/>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6CC3ACA5"/>
    <w:multiLevelType w:val="singleLevel"/>
    <w:tmpl w:val="6CC3ACA5"/>
    <w:lvl w:ilvl="0" w:tentative="0">
      <w:start w:val="1"/>
      <w:numFmt w:val="decimal"/>
      <w:suff w:val="space"/>
      <w:lvlText w:val="%1."/>
      <w:lvlJc w:val="left"/>
    </w:lvl>
  </w:abstractNum>
  <w:abstractNum w:abstractNumId="21">
    <w:nsid w:val="71BE6196"/>
    <w:multiLevelType w:val="singleLevel"/>
    <w:tmpl w:val="71BE6196"/>
    <w:lvl w:ilvl="0" w:tentative="0">
      <w:start w:val="1"/>
      <w:numFmt w:val="decimal"/>
      <w:suff w:val="space"/>
      <w:lvlText w:val="%1."/>
      <w:lvlJc w:val="left"/>
    </w:lvl>
  </w:abstractNum>
  <w:abstractNum w:abstractNumId="22">
    <w:nsid w:val="7FB76149"/>
    <w:multiLevelType w:val="singleLevel"/>
    <w:tmpl w:val="7FB76149"/>
    <w:lvl w:ilvl="0" w:tentative="0">
      <w:start w:val="1"/>
      <w:numFmt w:val="decimal"/>
      <w:suff w:val="space"/>
      <w:lvlText w:val="%1."/>
      <w:lvlJc w:val="left"/>
    </w:lvl>
  </w:abstractNum>
  <w:num w:numId="1">
    <w:abstractNumId w:val="19"/>
  </w:num>
  <w:num w:numId="2">
    <w:abstractNumId w:val="14"/>
  </w:num>
  <w:num w:numId="3">
    <w:abstractNumId w:val="16"/>
  </w:num>
  <w:num w:numId="4">
    <w:abstractNumId w:val="18"/>
  </w:num>
  <w:num w:numId="5">
    <w:abstractNumId w:val="9"/>
  </w:num>
  <w:num w:numId="6">
    <w:abstractNumId w:val="2"/>
  </w:num>
  <w:num w:numId="7">
    <w:abstractNumId w:val="15"/>
  </w:num>
  <w:num w:numId="8">
    <w:abstractNumId w:val="17"/>
  </w:num>
  <w:num w:numId="9">
    <w:abstractNumId w:val="8"/>
  </w:num>
  <w:num w:numId="10">
    <w:abstractNumId w:val="13"/>
  </w:num>
  <w:num w:numId="11">
    <w:abstractNumId w:val="4"/>
  </w:num>
  <w:num w:numId="12">
    <w:abstractNumId w:val="3"/>
  </w:num>
  <w:num w:numId="13">
    <w:abstractNumId w:val="21"/>
  </w:num>
  <w:num w:numId="14">
    <w:abstractNumId w:val="20"/>
  </w:num>
  <w:num w:numId="15">
    <w:abstractNumId w:val="11"/>
  </w:num>
  <w:num w:numId="16">
    <w:abstractNumId w:val="1"/>
  </w:num>
  <w:num w:numId="17">
    <w:abstractNumId w:val="10"/>
  </w:num>
  <w:num w:numId="18">
    <w:abstractNumId w:val="22"/>
  </w:num>
  <w:num w:numId="19">
    <w:abstractNumId w:val="5"/>
  </w:num>
  <w:num w:numId="20">
    <w:abstractNumId w:val="6"/>
  </w:num>
  <w:num w:numId="21">
    <w:abstractNumId w:val="12"/>
  </w:num>
  <w:num w:numId="22">
    <w:abstractNumId w:val="0"/>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2"/>
  <w:embedTrueTypeFonts/>
  <w:saveSubsetFonts/>
  <w:bordersDoNotSurroundHeader w:val="1"/>
  <w:bordersDoNotSurroundFooter w:val="1"/>
  <w:documentProtection w:enforcement="0"/>
  <w:defaultTabStop w:val="420"/>
  <w:drawingGridHorizontalSpacing w:val="160"/>
  <w:drawingGridVerticalSpacing w:val="218"/>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Y4MGY3YmMwYmYzZWQ5NmJiYjc2YjJhZjRlOWUzN2IifQ=="/>
    <w:docVar w:name="KSO_WPS_MARK_KEY" w:val="30e2b44c-7300-4bb3-9000-5535425590d4"/>
  </w:docVars>
  <w:rsids>
    <w:rsidRoot w:val="00801166"/>
    <w:rsid w:val="000001D6"/>
    <w:rsid w:val="00010CCE"/>
    <w:rsid w:val="00021B8F"/>
    <w:rsid w:val="000238EC"/>
    <w:rsid w:val="00024242"/>
    <w:rsid w:val="0003407C"/>
    <w:rsid w:val="0003642D"/>
    <w:rsid w:val="00040B81"/>
    <w:rsid w:val="00042C73"/>
    <w:rsid w:val="00044906"/>
    <w:rsid w:val="00046A2A"/>
    <w:rsid w:val="00050451"/>
    <w:rsid w:val="00061FA2"/>
    <w:rsid w:val="00067B0D"/>
    <w:rsid w:val="000769F8"/>
    <w:rsid w:val="00093262"/>
    <w:rsid w:val="000938C9"/>
    <w:rsid w:val="00093D03"/>
    <w:rsid w:val="000A08CE"/>
    <w:rsid w:val="000A5851"/>
    <w:rsid w:val="000B1FAA"/>
    <w:rsid w:val="000B3FC7"/>
    <w:rsid w:val="000B666A"/>
    <w:rsid w:val="000C0039"/>
    <w:rsid w:val="000C2EFA"/>
    <w:rsid w:val="000C38CE"/>
    <w:rsid w:val="000E0407"/>
    <w:rsid w:val="000E35CE"/>
    <w:rsid w:val="000F6313"/>
    <w:rsid w:val="000F701C"/>
    <w:rsid w:val="001029E6"/>
    <w:rsid w:val="00106347"/>
    <w:rsid w:val="00111D80"/>
    <w:rsid w:val="00125B3D"/>
    <w:rsid w:val="00156A58"/>
    <w:rsid w:val="00157F90"/>
    <w:rsid w:val="001620C2"/>
    <w:rsid w:val="001624EE"/>
    <w:rsid w:val="00164920"/>
    <w:rsid w:val="001661AD"/>
    <w:rsid w:val="00174933"/>
    <w:rsid w:val="00175D3C"/>
    <w:rsid w:val="001804B9"/>
    <w:rsid w:val="001845A3"/>
    <w:rsid w:val="001869EA"/>
    <w:rsid w:val="00192E43"/>
    <w:rsid w:val="001A4223"/>
    <w:rsid w:val="001B2F40"/>
    <w:rsid w:val="001B485F"/>
    <w:rsid w:val="001B682C"/>
    <w:rsid w:val="001E5D89"/>
    <w:rsid w:val="001F17ED"/>
    <w:rsid w:val="001F1EF3"/>
    <w:rsid w:val="001F7DB2"/>
    <w:rsid w:val="00216CB2"/>
    <w:rsid w:val="00217C9E"/>
    <w:rsid w:val="002316D6"/>
    <w:rsid w:val="00235950"/>
    <w:rsid w:val="00236E09"/>
    <w:rsid w:val="00245032"/>
    <w:rsid w:val="00262420"/>
    <w:rsid w:val="00264C1D"/>
    <w:rsid w:val="00270FAF"/>
    <w:rsid w:val="00281870"/>
    <w:rsid w:val="002822B3"/>
    <w:rsid w:val="00284B9F"/>
    <w:rsid w:val="00286996"/>
    <w:rsid w:val="002A169F"/>
    <w:rsid w:val="002A5025"/>
    <w:rsid w:val="002A5B26"/>
    <w:rsid w:val="002B0736"/>
    <w:rsid w:val="002C3792"/>
    <w:rsid w:val="002D2D02"/>
    <w:rsid w:val="002E1544"/>
    <w:rsid w:val="002F35F7"/>
    <w:rsid w:val="002F4CBF"/>
    <w:rsid w:val="003010E1"/>
    <w:rsid w:val="003021D3"/>
    <w:rsid w:val="00316DC0"/>
    <w:rsid w:val="003206AD"/>
    <w:rsid w:val="0032380C"/>
    <w:rsid w:val="003251DE"/>
    <w:rsid w:val="003326C0"/>
    <w:rsid w:val="0033373A"/>
    <w:rsid w:val="00333CC8"/>
    <w:rsid w:val="0033762F"/>
    <w:rsid w:val="00345C48"/>
    <w:rsid w:val="00351329"/>
    <w:rsid w:val="00351435"/>
    <w:rsid w:val="00352A8A"/>
    <w:rsid w:val="00365ECB"/>
    <w:rsid w:val="0037761F"/>
    <w:rsid w:val="00382B78"/>
    <w:rsid w:val="003859B1"/>
    <w:rsid w:val="0039682C"/>
    <w:rsid w:val="003973D0"/>
    <w:rsid w:val="003A4420"/>
    <w:rsid w:val="003A6C19"/>
    <w:rsid w:val="003B1B20"/>
    <w:rsid w:val="003B775B"/>
    <w:rsid w:val="003C7C69"/>
    <w:rsid w:val="003D306D"/>
    <w:rsid w:val="003D3215"/>
    <w:rsid w:val="003D44F9"/>
    <w:rsid w:val="003E1DA6"/>
    <w:rsid w:val="003E5789"/>
    <w:rsid w:val="003E6600"/>
    <w:rsid w:val="003F01A5"/>
    <w:rsid w:val="0040232E"/>
    <w:rsid w:val="00407606"/>
    <w:rsid w:val="00412516"/>
    <w:rsid w:val="0042552D"/>
    <w:rsid w:val="004334AA"/>
    <w:rsid w:val="004364F8"/>
    <w:rsid w:val="00436792"/>
    <w:rsid w:val="004370CB"/>
    <w:rsid w:val="00442B60"/>
    <w:rsid w:val="004465B0"/>
    <w:rsid w:val="00447E50"/>
    <w:rsid w:val="0045246D"/>
    <w:rsid w:val="00466596"/>
    <w:rsid w:val="0047075A"/>
    <w:rsid w:val="00471541"/>
    <w:rsid w:val="00484CA2"/>
    <w:rsid w:val="00484DFB"/>
    <w:rsid w:val="0048527B"/>
    <w:rsid w:val="0048640B"/>
    <w:rsid w:val="004903F1"/>
    <w:rsid w:val="00491231"/>
    <w:rsid w:val="004A2316"/>
    <w:rsid w:val="004A2DED"/>
    <w:rsid w:val="004A7405"/>
    <w:rsid w:val="004C2AB1"/>
    <w:rsid w:val="004C48C0"/>
    <w:rsid w:val="004C5E57"/>
    <w:rsid w:val="004D0079"/>
    <w:rsid w:val="004D5A8B"/>
    <w:rsid w:val="004D758E"/>
    <w:rsid w:val="004E5714"/>
    <w:rsid w:val="004F1E17"/>
    <w:rsid w:val="0051482B"/>
    <w:rsid w:val="00520725"/>
    <w:rsid w:val="005221F8"/>
    <w:rsid w:val="00523DBE"/>
    <w:rsid w:val="00527E38"/>
    <w:rsid w:val="00534228"/>
    <w:rsid w:val="005422DA"/>
    <w:rsid w:val="005502F7"/>
    <w:rsid w:val="005614FE"/>
    <w:rsid w:val="00563A4F"/>
    <w:rsid w:val="00565569"/>
    <w:rsid w:val="0056577F"/>
    <w:rsid w:val="00572E49"/>
    <w:rsid w:val="00573FFD"/>
    <w:rsid w:val="005750A8"/>
    <w:rsid w:val="005765F4"/>
    <w:rsid w:val="005970F7"/>
    <w:rsid w:val="005A1E0F"/>
    <w:rsid w:val="005B175D"/>
    <w:rsid w:val="005B2B4D"/>
    <w:rsid w:val="005C5840"/>
    <w:rsid w:val="005D1A8D"/>
    <w:rsid w:val="005E25F1"/>
    <w:rsid w:val="005E33A4"/>
    <w:rsid w:val="005E4D81"/>
    <w:rsid w:val="005F046A"/>
    <w:rsid w:val="005F37B2"/>
    <w:rsid w:val="005F438A"/>
    <w:rsid w:val="005F76FC"/>
    <w:rsid w:val="006049BA"/>
    <w:rsid w:val="00605561"/>
    <w:rsid w:val="006112F2"/>
    <w:rsid w:val="00611893"/>
    <w:rsid w:val="0061316E"/>
    <w:rsid w:val="00617AA6"/>
    <w:rsid w:val="00625F1D"/>
    <w:rsid w:val="00631FEF"/>
    <w:rsid w:val="00632A87"/>
    <w:rsid w:val="006359C6"/>
    <w:rsid w:val="00641716"/>
    <w:rsid w:val="00642495"/>
    <w:rsid w:val="00643D79"/>
    <w:rsid w:val="00644C0C"/>
    <w:rsid w:val="00650820"/>
    <w:rsid w:val="006513A7"/>
    <w:rsid w:val="00666FAC"/>
    <w:rsid w:val="00670E7A"/>
    <w:rsid w:val="0068172B"/>
    <w:rsid w:val="006829DF"/>
    <w:rsid w:val="00693F6F"/>
    <w:rsid w:val="00695208"/>
    <w:rsid w:val="0069708D"/>
    <w:rsid w:val="006A0D0C"/>
    <w:rsid w:val="006A39A4"/>
    <w:rsid w:val="006B5520"/>
    <w:rsid w:val="006B7289"/>
    <w:rsid w:val="006B7456"/>
    <w:rsid w:val="006B7D44"/>
    <w:rsid w:val="006D42E3"/>
    <w:rsid w:val="006D523C"/>
    <w:rsid w:val="006E01B2"/>
    <w:rsid w:val="006E18D5"/>
    <w:rsid w:val="006E536B"/>
    <w:rsid w:val="006F0670"/>
    <w:rsid w:val="006F6C74"/>
    <w:rsid w:val="006F72AB"/>
    <w:rsid w:val="00700370"/>
    <w:rsid w:val="007043BF"/>
    <w:rsid w:val="007065C5"/>
    <w:rsid w:val="00716448"/>
    <w:rsid w:val="00717B84"/>
    <w:rsid w:val="00727C06"/>
    <w:rsid w:val="00731F78"/>
    <w:rsid w:val="00732618"/>
    <w:rsid w:val="00735AF8"/>
    <w:rsid w:val="00737166"/>
    <w:rsid w:val="00742768"/>
    <w:rsid w:val="00745B4D"/>
    <w:rsid w:val="00747190"/>
    <w:rsid w:val="007562FA"/>
    <w:rsid w:val="007747B1"/>
    <w:rsid w:val="00782EB3"/>
    <w:rsid w:val="00785418"/>
    <w:rsid w:val="0079269F"/>
    <w:rsid w:val="00795477"/>
    <w:rsid w:val="007A090B"/>
    <w:rsid w:val="007A2CB8"/>
    <w:rsid w:val="007A40E4"/>
    <w:rsid w:val="007A4A0D"/>
    <w:rsid w:val="007A5E85"/>
    <w:rsid w:val="007A5F69"/>
    <w:rsid w:val="007B6475"/>
    <w:rsid w:val="007C183E"/>
    <w:rsid w:val="007C2871"/>
    <w:rsid w:val="007C4A1C"/>
    <w:rsid w:val="007D0B9E"/>
    <w:rsid w:val="007D5A4F"/>
    <w:rsid w:val="007D6753"/>
    <w:rsid w:val="007E6000"/>
    <w:rsid w:val="007E7C0E"/>
    <w:rsid w:val="00801166"/>
    <w:rsid w:val="00824B50"/>
    <w:rsid w:val="00824E86"/>
    <w:rsid w:val="00830C3A"/>
    <w:rsid w:val="008343DC"/>
    <w:rsid w:val="00842151"/>
    <w:rsid w:val="00846FBD"/>
    <w:rsid w:val="0084775F"/>
    <w:rsid w:val="00853750"/>
    <w:rsid w:val="00861E63"/>
    <w:rsid w:val="00862B7C"/>
    <w:rsid w:val="008712B6"/>
    <w:rsid w:val="00874753"/>
    <w:rsid w:val="00874C4E"/>
    <w:rsid w:val="00875886"/>
    <w:rsid w:val="0088148D"/>
    <w:rsid w:val="008A7FA9"/>
    <w:rsid w:val="008B52A8"/>
    <w:rsid w:val="008B61C1"/>
    <w:rsid w:val="008D2D5E"/>
    <w:rsid w:val="008D3DA8"/>
    <w:rsid w:val="008E0152"/>
    <w:rsid w:val="008E2892"/>
    <w:rsid w:val="008E31C9"/>
    <w:rsid w:val="008E6ECD"/>
    <w:rsid w:val="008E7EBB"/>
    <w:rsid w:val="0090161C"/>
    <w:rsid w:val="00903078"/>
    <w:rsid w:val="0090355A"/>
    <w:rsid w:val="00903BF0"/>
    <w:rsid w:val="00946A00"/>
    <w:rsid w:val="00953EA1"/>
    <w:rsid w:val="0095512E"/>
    <w:rsid w:val="00962E64"/>
    <w:rsid w:val="00964B0A"/>
    <w:rsid w:val="00967EC8"/>
    <w:rsid w:val="0097000F"/>
    <w:rsid w:val="009734A0"/>
    <w:rsid w:val="00976C8A"/>
    <w:rsid w:val="009A2F1C"/>
    <w:rsid w:val="009B244A"/>
    <w:rsid w:val="009B2A83"/>
    <w:rsid w:val="009B4502"/>
    <w:rsid w:val="009B4C25"/>
    <w:rsid w:val="009B72CE"/>
    <w:rsid w:val="009D20B8"/>
    <w:rsid w:val="009D2DA6"/>
    <w:rsid w:val="009D46C5"/>
    <w:rsid w:val="009E55BA"/>
    <w:rsid w:val="009F156B"/>
    <w:rsid w:val="009F5D65"/>
    <w:rsid w:val="009F6B1A"/>
    <w:rsid w:val="00A002CC"/>
    <w:rsid w:val="00A0280F"/>
    <w:rsid w:val="00A045CB"/>
    <w:rsid w:val="00A07EE0"/>
    <w:rsid w:val="00A12120"/>
    <w:rsid w:val="00A139BB"/>
    <w:rsid w:val="00A144AB"/>
    <w:rsid w:val="00A2451D"/>
    <w:rsid w:val="00A41492"/>
    <w:rsid w:val="00A44526"/>
    <w:rsid w:val="00A50DD8"/>
    <w:rsid w:val="00A50F90"/>
    <w:rsid w:val="00A53A48"/>
    <w:rsid w:val="00A72C8D"/>
    <w:rsid w:val="00A768F0"/>
    <w:rsid w:val="00A850F7"/>
    <w:rsid w:val="00A869C6"/>
    <w:rsid w:val="00A9311E"/>
    <w:rsid w:val="00A945AC"/>
    <w:rsid w:val="00AA1266"/>
    <w:rsid w:val="00AA3CEC"/>
    <w:rsid w:val="00AA41B8"/>
    <w:rsid w:val="00AC3A62"/>
    <w:rsid w:val="00AC5A72"/>
    <w:rsid w:val="00AD0CB2"/>
    <w:rsid w:val="00AD2E74"/>
    <w:rsid w:val="00AF2005"/>
    <w:rsid w:val="00AF57C7"/>
    <w:rsid w:val="00AF7761"/>
    <w:rsid w:val="00B06F6F"/>
    <w:rsid w:val="00B07DA4"/>
    <w:rsid w:val="00B13F49"/>
    <w:rsid w:val="00B30728"/>
    <w:rsid w:val="00B326F5"/>
    <w:rsid w:val="00B63360"/>
    <w:rsid w:val="00B6336D"/>
    <w:rsid w:val="00B65051"/>
    <w:rsid w:val="00B8555F"/>
    <w:rsid w:val="00B86D8D"/>
    <w:rsid w:val="00B94272"/>
    <w:rsid w:val="00BC0EE7"/>
    <w:rsid w:val="00BC3D48"/>
    <w:rsid w:val="00BD0F15"/>
    <w:rsid w:val="00BF73D2"/>
    <w:rsid w:val="00BF7BF1"/>
    <w:rsid w:val="00C0069F"/>
    <w:rsid w:val="00C0768D"/>
    <w:rsid w:val="00C10C94"/>
    <w:rsid w:val="00C1144E"/>
    <w:rsid w:val="00C1354B"/>
    <w:rsid w:val="00C151B3"/>
    <w:rsid w:val="00C17AFD"/>
    <w:rsid w:val="00C25535"/>
    <w:rsid w:val="00C349AF"/>
    <w:rsid w:val="00C41822"/>
    <w:rsid w:val="00C41CAB"/>
    <w:rsid w:val="00C4349F"/>
    <w:rsid w:val="00C455E0"/>
    <w:rsid w:val="00C5333B"/>
    <w:rsid w:val="00C56476"/>
    <w:rsid w:val="00C61721"/>
    <w:rsid w:val="00C62A86"/>
    <w:rsid w:val="00C669F9"/>
    <w:rsid w:val="00C67ECD"/>
    <w:rsid w:val="00C86378"/>
    <w:rsid w:val="00CA1DEA"/>
    <w:rsid w:val="00CA5C6A"/>
    <w:rsid w:val="00CB05DB"/>
    <w:rsid w:val="00CC6283"/>
    <w:rsid w:val="00CC781B"/>
    <w:rsid w:val="00CD2B05"/>
    <w:rsid w:val="00CE033C"/>
    <w:rsid w:val="00CF1206"/>
    <w:rsid w:val="00CF3AE3"/>
    <w:rsid w:val="00CF5E49"/>
    <w:rsid w:val="00D119B1"/>
    <w:rsid w:val="00D15638"/>
    <w:rsid w:val="00D24AAE"/>
    <w:rsid w:val="00D34F03"/>
    <w:rsid w:val="00D44685"/>
    <w:rsid w:val="00D47648"/>
    <w:rsid w:val="00D55438"/>
    <w:rsid w:val="00D60324"/>
    <w:rsid w:val="00D66480"/>
    <w:rsid w:val="00D705B6"/>
    <w:rsid w:val="00D71698"/>
    <w:rsid w:val="00D71865"/>
    <w:rsid w:val="00D751C0"/>
    <w:rsid w:val="00D81647"/>
    <w:rsid w:val="00D91A58"/>
    <w:rsid w:val="00DA283F"/>
    <w:rsid w:val="00DA6420"/>
    <w:rsid w:val="00DB2027"/>
    <w:rsid w:val="00DC0B76"/>
    <w:rsid w:val="00DC3383"/>
    <w:rsid w:val="00DC45B7"/>
    <w:rsid w:val="00DC4EAA"/>
    <w:rsid w:val="00DD3083"/>
    <w:rsid w:val="00DD6B85"/>
    <w:rsid w:val="00DD6C2B"/>
    <w:rsid w:val="00DE0973"/>
    <w:rsid w:val="00E01CCC"/>
    <w:rsid w:val="00E0226F"/>
    <w:rsid w:val="00E16233"/>
    <w:rsid w:val="00E2071F"/>
    <w:rsid w:val="00E230B2"/>
    <w:rsid w:val="00E2323F"/>
    <w:rsid w:val="00E2547C"/>
    <w:rsid w:val="00E30346"/>
    <w:rsid w:val="00E364A9"/>
    <w:rsid w:val="00E379CB"/>
    <w:rsid w:val="00E406B3"/>
    <w:rsid w:val="00E41E84"/>
    <w:rsid w:val="00E42FCC"/>
    <w:rsid w:val="00E62BD3"/>
    <w:rsid w:val="00E713C2"/>
    <w:rsid w:val="00E752C6"/>
    <w:rsid w:val="00E8033E"/>
    <w:rsid w:val="00E81B40"/>
    <w:rsid w:val="00E83D57"/>
    <w:rsid w:val="00E85296"/>
    <w:rsid w:val="00E86D4D"/>
    <w:rsid w:val="00E9096D"/>
    <w:rsid w:val="00E948D4"/>
    <w:rsid w:val="00EA791A"/>
    <w:rsid w:val="00EB45EE"/>
    <w:rsid w:val="00EB556C"/>
    <w:rsid w:val="00ED20DA"/>
    <w:rsid w:val="00ED54C6"/>
    <w:rsid w:val="00EE2DED"/>
    <w:rsid w:val="00EE7FC3"/>
    <w:rsid w:val="00EF53B1"/>
    <w:rsid w:val="00EF78C9"/>
    <w:rsid w:val="00F01CDB"/>
    <w:rsid w:val="00F044A7"/>
    <w:rsid w:val="00F073A8"/>
    <w:rsid w:val="00F10CF4"/>
    <w:rsid w:val="00F111AA"/>
    <w:rsid w:val="00F22273"/>
    <w:rsid w:val="00F23E76"/>
    <w:rsid w:val="00F24EB5"/>
    <w:rsid w:val="00F32226"/>
    <w:rsid w:val="00F34B7F"/>
    <w:rsid w:val="00F44E41"/>
    <w:rsid w:val="00F506BE"/>
    <w:rsid w:val="00F51127"/>
    <w:rsid w:val="00F53FFA"/>
    <w:rsid w:val="00F54779"/>
    <w:rsid w:val="00F62C6A"/>
    <w:rsid w:val="00F75FAB"/>
    <w:rsid w:val="00F82B33"/>
    <w:rsid w:val="00F82B80"/>
    <w:rsid w:val="00F84F27"/>
    <w:rsid w:val="00F852F6"/>
    <w:rsid w:val="00F93529"/>
    <w:rsid w:val="00F94D6B"/>
    <w:rsid w:val="00F97FFA"/>
    <w:rsid w:val="00FA0F57"/>
    <w:rsid w:val="00FA2F0F"/>
    <w:rsid w:val="00FB1F42"/>
    <w:rsid w:val="00FB54B2"/>
    <w:rsid w:val="00FC6F71"/>
    <w:rsid w:val="00FC737A"/>
    <w:rsid w:val="00FD22EC"/>
    <w:rsid w:val="00FD34A9"/>
    <w:rsid w:val="00FE02CA"/>
    <w:rsid w:val="0117225E"/>
    <w:rsid w:val="01396E1E"/>
    <w:rsid w:val="013D5BAD"/>
    <w:rsid w:val="01813D8A"/>
    <w:rsid w:val="01913DB7"/>
    <w:rsid w:val="01962BD5"/>
    <w:rsid w:val="0196601E"/>
    <w:rsid w:val="0196652C"/>
    <w:rsid w:val="01B11100"/>
    <w:rsid w:val="01B77F31"/>
    <w:rsid w:val="01D26C6B"/>
    <w:rsid w:val="01E434B5"/>
    <w:rsid w:val="01FF04BB"/>
    <w:rsid w:val="022933B5"/>
    <w:rsid w:val="028916DF"/>
    <w:rsid w:val="02C4629B"/>
    <w:rsid w:val="02DE3CC3"/>
    <w:rsid w:val="03026E39"/>
    <w:rsid w:val="03092E78"/>
    <w:rsid w:val="032D223F"/>
    <w:rsid w:val="03631EF9"/>
    <w:rsid w:val="03937EF3"/>
    <w:rsid w:val="03BB79F4"/>
    <w:rsid w:val="03D00607"/>
    <w:rsid w:val="03F13A4F"/>
    <w:rsid w:val="043626E6"/>
    <w:rsid w:val="044F3116"/>
    <w:rsid w:val="048E5488"/>
    <w:rsid w:val="04CE3D21"/>
    <w:rsid w:val="04F754B6"/>
    <w:rsid w:val="04FC1AFD"/>
    <w:rsid w:val="0500456B"/>
    <w:rsid w:val="052C478C"/>
    <w:rsid w:val="05355B4E"/>
    <w:rsid w:val="056424C7"/>
    <w:rsid w:val="057C7E0F"/>
    <w:rsid w:val="058D5B31"/>
    <w:rsid w:val="05A221EF"/>
    <w:rsid w:val="05D830A9"/>
    <w:rsid w:val="05E23632"/>
    <w:rsid w:val="05EA5E1B"/>
    <w:rsid w:val="061834A6"/>
    <w:rsid w:val="069E051D"/>
    <w:rsid w:val="06A70AC2"/>
    <w:rsid w:val="06BF402C"/>
    <w:rsid w:val="06C44581"/>
    <w:rsid w:val="06D575E9"/>
    <w:rsid w:val="06DD649D"/>
    <w:rsid w:val="06E41FEB"/>
    <w:rsid w:val="06FE56ED"/>
    <w:rsid w:val="070725F3"/>
    <w:rsid w:val="07237E5D"/>
    <w:rsid w:val="074C348F"/>
    <w:rsid w:val="079D702B"/>
    <w:rsid w:val="07A66E8D"/>
    <w:rsid w:val="07BB01E7"/>
    <w:rsid w:val="07BD7D9B"/>
    <w:rsid w:val="07E95234"/>
    <w:rsid w:val="07FB495C"/>
    <w:rsid w:val="088E57A7"/>
    <w:rsid w:val="08D73A51"/>
    <w:rsid w:val="08DD4532"/>
    <w:rsid w:val="09273A00"/>
    <w:rsid w:val="0943614C"/>
    <w:rsid w:val="09491BC8"/>
    <w:rsid w:val="095A18F6"/>
    <w:rsid w:val="095B73E3"/>
    <w:rsid w:val="09734E97"/>
    <w:rsid w:val="09DF1105"/>
    <w:rsid w:val="09FB4DB9"/>
    <w:rsid w:val="0A002A98"/>
    <w:rsid w:val="0A08475F"/>
    <w:rsid w:val="0A1B1E17"/>
    <w:rsid w:val="0A7043F0"/>
    <w:rsid w:val="0A8327C7"/>
    <w:rsid w:val="0AC8253F"/>
    <w:rsid w:val="0ACE05D7"/>
    <w:rsid w:val="0AD937C9"/>
    <w:rsid w:val="0B361FE4"/>
    <w:rsid w:val="0B5A1194"/>
    <w:rsid w:val="0B892115"/>
    <w:rsid w:val="0BAC585E"/>
    <w:rsid w:val="0BDF490D"/>
    <w:rsid w:val="0BFE313E"/>
    <w:rsid w:val="0BFF2A12"/>
    <w:rsid w:val="0BFFC669"/>
    <w:rsid w:val="0C160487"/>
    <w:rsid w:val="0C5E4FF1"/>
    <w:rsid w:val="0C606FF8"/>
    <w:rsid w:val="0C653F5B"/>
    <w:rsid w:val="0C6A1A7B"/>
    <w:rsid w:val="0C787530"/>
    <w:rsid w:val="0C8C699B"/>
    <w:rsid w:val="0CAF1208"/>
    <w:rsid w:val="0CAF5CA4"/>
    <w:rsid w:val="0CB21B0A"/>
    <w:rsid w:val="0CCA1272"/>
    <w:rsid w:val="0CD31BA1"/>
    <w:rsid w:val="0D0108EC"/>
    <w:rsid w:val="0D26294C"/>
    <w:rsid w:val="0D2B3C70"/>
    <w:rsid w:val="0D5D42FF"/>
    <w:rsid w:val="0D6E77E7"/>
    <w:rsid w:val="0D7D5D40"/>
    <w:rsid w:val="0DA36200"/>
    <w:rsid w:val="0DA54BC5"/>
    <w:rsid w:val="0DB317B6"/>
    <w:rsid w:val="0DC40865"/>
    <w:rsid w:val="0DF227A4"/>
    <w:rsid w:val="0E3865AC"/>
    <w:rsid w:val="0E3F6490"/>
    <w:rsid w:val="0E4D3A0F"/>
    <w:rsid w:val="0E552DBD"/>
    <w:rsid w:val="0E552E8F"/>
    <w:rsid w:val="0E5E4367"/>
    <w:rsid w:val="0E6F401F"/>
    <w:rsid w:val="0E9547AB"/>
    <w:rsid w:val="0EDA72F1"/>
    <w:rsid w:val="0F1F7603"/>
    <w:rsid w:val="0F3A4D55"/>
    <w:rsid w:val="0F5C0006"/>
    <w:rsid w:val="0F7179E5"/>
    <w:rsid w:val="0FBA3368"/>
    <w:rsid w:val="0FDB26E0"/>
    <w:rsid w:val="101953FD"/>
    <w:rsid w:val="102B7629"/>
    <w:rsid w:val="102D647E"/>
    <w:rsid w:val="103D5DE0"/>
    <w:rsid w:val="10455D10"/>
    <w:rsid w:val="105A4668"/>
    <w:rsid w:val="106E01D4"/>
    <w:rsid w:val="10824E7F"/>
    <w:rsid w:val="10851319"/>
    <w:rsid w:val="10C75BED"/>
    <w:rsid w:val="10CC16D2"/>
    <w:rsid w:val="10F66EFA"/>
    <w:rsid w:val="1107384C"/>
    <w:rsid w:val="11590444"/>
    <w:rsid w:val="11621A79"/>
    <w:rsid w:val="11F52905"/>
    <w:rsid w:val="12345CA8"/>
    <w:rsid w:val="129513D3"/>
    <w:rsid w:val="129D6BDF"/>
    <w:rsid w:val="12D558E1"/>
    <w:rsid w:val="12F81899"/>
    <w:rsid w:val="13157F0B"/>
    <w:rsid w:val="131E0396"/>
    <w:rsid w:val="13923F34"/>
    <w:rsid w:val="139C2A90"/>
    <w:rsid w:val="139E27C3"/>
    <w:rsid w:val="13BE77EC"/>
    <w:rsid w:val="13BF4D24"/>
    <w:rsid w:val="13F516F2"/>
    <w:rsid w:val="140C3A35"/>
    <w:rsid w:val="14354734"/>
    <w:rsid w:val="14496F20"/>
    <w:rsid w:val="145C44EB"/>
    <w:rsid w:val="147B72C7"/>
    <w:rsid w:val="147E4E1C"/>
    <w:rsid w:val="1482436D"/>
    <w:rsid w:val="152B4878"/>
    <w:rsid w:val="153E48A4"/>
    <w:rsid w:val="154C0F75"/>
    <w:rsid w:val="15747FCD"/>
    <w:rsid w:val="157E273A"/>
    <w:rsid w:val="15D23C0D"/>
    <w:rsid w:val="15D46CBD"/>
    <w:rsid w:val="160E61D7"/>
    <w:rsid w:val="161E0D0C"/>
    <w:rsid w:val="165431D1"/>
    <w:rsid w:val="165A3666"/>
    <w:rsid w:val="166273F7"/>
    <w:rsid w:val="16999CC1"/>
    <w:rsid w:val="169D27B1"/>
    <w:rsid w:val="16AE1708"/>
    <w:rsid w:val="16B444C2"/>
    <w:rsid w:val="16C02E49"/>
    <w:rsid w:val="16DA41A2"/>
    <w:rsid w:val="16E01466"/>
    <w:rsid w:val="174A03C5"/>
    <w:rsid w:val="176617C0"/>
    <w:rsid w:val="177B5642"/>
    <w:rsid w:val="17962BA9"/>
    <w:rsid w:val="17A90F4A"/>
    <w:rsid w:val="17AA7DE4"/>
    <w:rsid w:val="17BE19D3"/>
    <w:rsid w:val="1817148C"/>
    <w:rsid w:val="18326601"/>
    <w:rsid w:val="183841EE"/>
    <w:rsid w:val="184243B2"/>
    <w:rsid w:val="187F0FB5"/>
    <w:rsid w:val="1884107D"/>
    <w:rsid w:val="18A17754"/>
    <w:rsid w:val="191567D6"/>
    <w:rsid w:val="192817FA"/>
    <w:rsid w:val="19346CE5"/>
    <w:rsid w:val="194B7296"/>
    <w:rsid w:val="19584C79"/>
    <w:rsid w:val="196900E6"/>
    <w:rsid w:val="19B3581E"/>
    <w:rsid w:val="19E83D12"/>
    <w:rsid w:val="1A0A2EAE"/>
    <w:rsid w:val="1A0A3851"/>
    <w:rsid w:val="1A262A83"/>
    <w:rsid w:val="1A396047"/>
    <w:rsid w:val="1A48704D"/>
    <w:rsid w:val="1A566E95"/>
    <w:rsid w:val="1A670100"/>
    <w:rsid w:val="1A686E67"/>
    <w:rsid w:val="1A7D0CB7"/>
    <w:rsid w:val="1A9316C1"/>
    <w:rsid w:val="1A98084C"/>
    <w:rsid w:val="1AC473D9"/>
    <w:rsid w:val="1B006E8D"/>
    <w:rsid w:val="1B212E8E"/>
    <w:rsid w:val="1B376DBE"/>
    <w:rsid w:val="1B377EC5"/>
    <w:rsid w:val="1B9C4CAE"/>
    <w:rsid w:val="1BBC447B"/>
    <w:rsid w:val="1BE77837"/>
    <w:rsid w:val="1BEA2D97"/>
    <w:rsid w:val="1C07286A"/>
    <w:rsid w:val="1C31325D"/>
    <w:rsid w:val="1C6E5933"/>
    <w:rsid w:val="1C9362A9"/>
    <w:rsid w:val="1C9D569F"/>
    <w:rsid w:val="1CDB4E2C"/>
    <w:rsid w:val="1D0A61BF"/>
    <w:rsid w:val="1D515848"/>
    <w:rsid w:val="1D7019C1"/>
    <w:rsid w:val="1D775396"/>
    <w:rsid w:val="1DC75A85"/>
    <w:rsid w:val="1DD81476"/>
    <w:rsid w:val="1DE568D7"/>
    <w:rsid w:val="1DEC729A"/>
    <w:rsid w:val="1E0E6C5D"/>
    <w:rsid w:val="1E5C24F2"/>
    <w:rsid w:val="1E982F7E"/>
    <w:rsid w:val="1EA35F2D"/>
    <w:rsid w:val="1EBC4286"/>
    <w:rsid w:val="1ED76B9C"/>
    <w:rsid w:val="1EDC79E6"/>
    <w:rsid w:val="1EE1CEB6"/>
    <w:rsid w:val="1F082603"/>
    <w:rsid w:val="1F3B26E6"/>
    <w:rsid w:val="1F4C04F2"/>
    <w:rsid w:val="1F6F200C"/>
    <w:rsid w:val="1F7E6D08"/>
    <w:rsid w:val="1F8609E6"/>
    <w:rsid w:val="1FBB33C8"/>
    <w:rsid w:val="1FBC1982"/>
    <w:rsid w:val="1FBE22F0"/>
    <w:rsid w:val="1FCF6A4E"/>
    <w:rsid w:val="1FD44489"/>
    <w:rsid w:val="1FF70178"/>
    <w:rsid w:val="1FFF4DCB"/>
    <w:rsid w:val="20467E9A"/>
    <w:rsid w:val="2073442D"/>
    <w:rsid w:val="20765B93"/>
    <w:rsid w:val="209D4244"/>
    <w:rsid w:val="20B9514C"/>
    <w:rsid w:val="20CA52F0"/>
    <w:rsid w:val="20D9164A"/>
    <w:rsid w:val="20FF7577"/>
    <w:rsid w:val="210A5E87"/>
    <w:rsid w:val="21362917"/>
    <w:rsid w:val="213F17DE"/>
    <w:rsid w:val="217D2507"/>
    <w:rsid w:val="21AB2F31"/>
    <w:rsid w:val="21DD0783"/>
    <w:rsid w:val="21E44C18"/>
    <w:rsid w:val="2259420C"/>
    <w:rsid w:val="2264467A"/>
    <w:rsid w:val="22A07508"/>
    <w:rsid w:val="22E763B8"/>
    <w:rsid w:val="22FB2D4B"/>
    <w:rsid w:val="23037807"/>
    <w:rsid w:val="23146D1C"/>
    <w:rsid w:val="23167AAC"/>
    <w:rsid w:val="231A2A3E"/>
    <w:rsid w:val="23224BBA"/>
    <w:rsid w:val="232E186A"/>
    <w:rsid w:val="239410BC"/>
    <w:rsid w:val="23B04B73"/>
    <w:rsid w:val="23C16AD3"/>
    <w:rsid w:val="24030E99"/>
    <w:rsid w:val="2415322B"/>
    <w:rsid w:val="24331A70"/>
    <w:rsid w:val="24685F04"/>
    <w:rsid w:val="246A6B0F"/>
    <w:rsid w:val="246D0A09"/>
    <w:rsid w:val="247C6372"/>
    <w:rsid w:val="249E6E14"/>
    <w:rsid w:val="24CA1DE6"/>
    <w:rsid w:val="24EC71E7"/>
    <w:rsid w:val="253959D0"/>
    <w:rsid w:val="2553760E"/>
    <w:rsid w:val="2554491A"/>
    <w:rsid w:val="25AF21A8"/>
    <w:rsid w:val="25E80A4D"/>
    <w:rsid w:val="26181D74"/>
    <w:rsid w:val="262A4E03"/>
    <w:rsid w:val="262C7AB6"/>
    <w:rsid w:val="26F747B3"/>
    <w:rsid w:val="273102F9"/>
    <w:rsid w:val="273D2914"/>
    <w:rsid w:val="27427FEE"/>
    <w:rsid w:val="274D2716"/>
    <w:rsid w:val="275A1509"/>
    <w:rsid w:val="27641EAD"/>
    <w:rsid w:val="279253ED"/>
    <w:rsid w:val="27AA3FAB"/>
    <w:rsid w:val="27AC7FFF"/>
    <w:rsid w:val="27B542F8"/>
    <w:rsid w:val="27EE1C50"/>
    <w:rsid w:val="27FBF66C"/>
    <w:rsid w:val="282D336B"/>
    <w:rsid w:val="28581FF2"/>
    <w:rsid w:val="28A15125"/>
    <w:rsid w:val="28AB6E3A"/>
    <w:rsid w:val="28C3112A"/>
    <w:rsid w:val="28C94D36"/>
    <w:rsid w:val="28D64182"/>
    <w:rsid w:val="28F7544E"/>
    <w:rsid w:val="29023E15"/>
    <w:rsid w:val="29123083"/>
    <w:rsid w:val="291903FD"/>
    <w:rsid w:val="291963E6"/>
    <w:rsid w:val="29263527"/>
    <w:rsid w:val="292D6432"/>
    <w:rsid w:val="292F19A5"/>
    <w:rsid w:val="29565B6D"/>
    <w:rsid w:val="29741E1C"/>
    <w:rsid w:val="29A379D8"/>
    <w:rsid w:val="29B50E88"/>
    <w:rsid w:val="29C95147"/>
    <w:rsid w:val="29CE74A9"/>
    <w:rsid w:val="29CF181E"/>
    <w:rsid w:val="29EB4DEF"/>
    <w:rsid w:val="2A09735B"/>
    <w:rsid w:val="2A1C6CCC"/>
    <w:rsid w:val="2A1F0D82"/>
    <w:rsid w:val="2A68171A"/>
    <w:rsid w:val="2AA4640E"/>
    <w:rsid w:val="2AEF1E9D"/>
    <w:rsid w:val="2B0F1AF2"/>
    <w:rsid w:val="2B1E5C94"/>
    <w:rsid w:val="2B3758CC"/>
    <w:rsid w:val="2B4B1EA8"/>
    <w:rsid w:val="2B5841C1"/>
    <w:rsid w:val="2B7856AD"/>
    <w:rsid w:val="2B7F41CD"/>
    <w:rsid w:val="2B7F5F5C"/>
    <w:rsid w:val="2BAA1395"/>
    <w:rsid w:val="2BC5737C"/>
    <w:rsid w:val="2C1765B4"/>
    <w:rsid w:val="2C483F8D"/>
    <w:rsid w:val="2C875781"/>
    <w:rsid w:val="2CE618B6"/>
    <w:rsid w:val="2CF5C6E5"/>
    <w:rsid w:val="2CFE0EFF"/>
    <w:rsid w:val="2D083737"/>
    <w:rsid w:val="2D2E59C9"/>
    <w:rsid w:val="2D3C541C"/>
    <w:rsid w:val="2D7A38D6"/>
    <w:rsid w:val="2D86B98D"/>
    <w:rsid w:val="2D8C1F00"/>
    <w:rsid w:val="2D917516"/>
    <w:rsid w:val="2D9367C1"/>
    <w:rsid w:val="2DCA4027"/>
    <w:rsid w:val="2DDA47F2"/>
    <w:rsid w:val="2DFE99D3"/>
    <w:rsid w:val="2E0E3854"/>
    <w:rsid w:val="2E3B03DF"/>
    <w:rsid w:val="2E575AF8"/>
    <w:rsid w:val="2E9E5866"/>
    <w:rsid w:val="2FAFC4EA"/>
    <w:rsid w:val="2FC44CB0"/>
    <w:rsid w:val="2FF753FC"/>
    <w:rsid w:val="2FF99984"/>
    <w:rsid w:val="2FFB5B6D"/>
    <w:rsid w:val="2FFB8D8D"/>
    <w:rsid w:val="3008206B"/>
    <w:rsid w:val="305779BD"/>
    <w:rsid w:val="305F0D0C"/>
    <w:rsid w:val="30605945"/>
    <w:rsid w:val="308158FC"/>
    <w:rsid w:val="30BB494A"/>
    <w:rsid w:val="30F2692D"/>
    <w:rsid w:val="30F56425"/>
    <w:rsid w:val="311B3EB5"/>
    <w:rsid w:val="313B2B8A"/>
    <w:rsid w:val="316B01E0"/>
    <w:rsid w:val="31B45EF8"/>
    <w:rsid w:val="31E43A2D"/>
    <w:rsid w:val="325554C6"/>
    <w:rsid w:val="328746E0"/>
    <w:rsid w:val="32952632"/>
    <w:rsid w:val="32BA079E"/>
    <w:rsid w:val="32F4439F"/>
    <w:rsid w:val="32F85232"/>
    <w:rsid w:val="335F024C"/>
    <w:rsid w:val="338A5566"/>
    <w:rsid w:val="33981E5E"/>
    <w:rsid w:val="33D77D31"/>
    <w:rsid w:val="33DC5012"/>
    <w:rsid w:val="33F7362C"/>
    <w:rsid w:val="342015F4"/>
    <w:rsid w:val="34217D39"/>
    <w:rsid w:val="34316819"/>
    <w:rsid w:val="348018D4"/>
    <w:rsid w:val="3485572B"/>
    <w:rsid w:val="349A4F02"/>
    <w:rsid w:val="34BE3F2D"/>
    <w:rsid w:val="3531531E"/>
    <w:rsid w:val="357FFEA5"/>
    <w:rsid w:val="35CD1B07"/>
    <w:rsid w:val="360866B9"/>
    <w:rsid w:val="36252254"/>
    <w:rsid w:val="362F5944"/>
    <w:rsid w:val="36310842"/>
    <w:rsid w:val="36386FC7"/>
    <w:rsid w:val="3648437A"/>
    <w:rsid w:val="3669648E"/>
    <w:rsid w:val="368F6CAC"/>
    <w:rsid w:val="36DA1F2E"/>
    <w:rsid w:val="36EC7EB3"/>
    <w:rsid w:val="36EE4268"/>
    <w:rsid w:val="36F1938C"/>
    <w:rsid w:val="36F54FB9"/>
    <w:rsid w:val="37240250"/>
    <w:rsid w:val="37473686"/>
    <w:rsid w:val="37725784"/>
    <w:rsid w:val="3776159D"/>
    <w:rsid w:val="377D7EB8"/>
    <w:rsid w:val="378675D6"/>
    <w:rsid w:val="379BDAD3"/>
    <w:rsid w:val="37AE17A2"/>
    <w:rsid w:val="37C54C20"/>
    <w:rsid w:val="37CF4D0E"/>
    <w:rsid w:val="37DD04A3"/>
    <w:rsid w:val="37DD3BCB"/>
    <w:rsid w:val="37F59374"/>
    <w:rsid w:val="38027ECD"/>
    <w:rsid w:val="380514C2"/>
    <w:rsid w:val="384451BA"/>
    <w:rsid w:val="38C54322"/>
    <w:rsid w:val="38CAA8E5"/>
    <w:rsid w:val="391928CD"/>
    <w:rsid w:val="391D07A3"/>
    <w:rsid w:val="397D32B2"/>
    <w:rsid w:val="398C680D"/>
    <w:rsid w:val="39931F9E"/>
    <w:rsid w:val="39AA6A8D"/>
    <w:rsid w:val="39B77E4C"/>
    <w:rsid w:val="39DC5FBD"/>
    <w:rsid w:val="3A1C3CCB"/>
    <w:rsid w:val="3A1F1BFC"/>
    <w:rsid w:val="3A213D3E"/>
    <w:rsid w:val="3A5D6546"/>
    <w:rsid w:val="3A697CD2"/>
    <w:rsid w:val="3A934FA1"/>
    <w:rsid w:val="3A9E028E"/>
    <w:rsid w:val="3AAE39D9"/>
    <w:rsid w:val="3AD3777E"/>
    <w:rsid w:val="3AD7DF97"/>
    <w:rsid w:val="3AD81A2B"/>
    <w:rsid w:val="3AFD779E"/>
    <w:rsid w:val="3B2C6AD0"/>
    <w:rsid w:val="3B6B436A"/>
    <w:rsid w:val="3B76C7D0"/>
    <w:rsid w:val="3B9B1A66"/>
    <w:rsid w:val="3BB2531A"/>
    <w:rsid w:val="3BBDFF7C"/>
    <w:rsid w:val="3BE105BD"/>
    <w:rsid w:val="3BF375EE"/>
    <w:rsid w:val="3BFD2715"/>
    <w:rsid w:val="3C4C55F4"/>
    <w:rsid w:val="3C5F12BC"/>
    <w:rsid w:val="3C8267E9"/>
    <w:rsid w:val="3C906EB5"/>
    <w:rsid w:val="3CB12751"/>
    <w:rsid w:val="3D3D1E2F"/>
    <w:rsid w:val="3D3E83B5"/>
    <w:rsid w:val="3D767CBA"/>
    <w:rsid w:val="3DB239A2"/>
    <w:rsid w:val="3DC406E3"/>
    <w:rsid w:val="3DEC3314"/>
    <w:rsid w:val="3DF144AD"/>
    <w:rsid w:val="3DF977F4"/>
    <w:rsid w:val="3DFFDED4"/>
    <w:rsid w:val="3E2C4CB0"/>
    <w:rsid w:val="3E40731D"/>
    <w:rsid w:val="3E4E0171"/>
    <w:rsid w:val="3E926D2A"/>
    <w:rsid w:val="3E9C4AC9"/>
    <w:rsid w:val="3EB779BC"/>
    <w:rsid w:val="3EDF7689"/>
    <w:rsid w:val="3EF87308"/>
    <w:rsid w:val="3EFF8A03"/>
    <w:rsid w:val="3F7751CC"/>
    <w:rsid w:val="3F7D5B4C"/>
    <w:rsid w:val="3F8A56C0"/>
    <w:rsid w:val="3FAF9880"/>
    <w:rsid w:val="3FB108FC"/>
    <w:rsid w:val="3FE71217"/>
    <w:rsid w:val="40047A7B"/>
    <w:rsid w:val="40064497"/>
    <w:rsid w:val="401116B7"/>
    <w:rsid w:val="403F112B"/>
    <w:rsid w:val="40426772"/>
    <w:rsid w:val="40430F29"/>
    <w:rsid w:val="405759DA"/>
    <w:rsid w:val="40AA06A2"/>
    <w:rsid w:val="40AF61D9"/>
    <w:rsid w:val="40C11B93"/>
    <w:rsid w:val="40D452B1"/>
    <w:rsid w:val="40F43597"/>
    <w:rsid w:val="41613D09"/>
    <w:rsid w:val="417656FC"/>
    <w:rsid w:val="417756CE"/>
    <w:rsid w:val="417D4ECC"/>
    <w:rsid w:val="419824AB"/>
    <w:rsid w:val="41F26622"/>
    <w:rsid w:val="41F74A9D"/>
    <w:rsid w:val="420F1586"/>
    <w:rsid w:val="42386ACF"/>
    <w:rsid w:val="42732486"/>
    <w:rsid w:val="42A720DE"/>
    <w:rsid w:val="42E50EC4"/>
    <w:rsid w:val="432143C8"/>
    <w:rsid w:val="43287980"/>
    <w:rsid w:val="43316763"/>
    <w:rsid w:val="433E3E7A"/>
    <w:rsid w:val="43896787"/>
    <w:rsid w:val="438C37C5"/>
    <w:rsid w:val="43A955E1"/>
    <w:rsid w:val="43E44945"/>
    <w:rsid w:val="443076C3"/>
    <w:rsid w:val="443C3490"/>
    <w:rsid w:val="44733322"/>
    <w:rsid w:val="4496320C"/>
    <w:rsid w:val="44B44858"/>
    <w:rsid w:val="44BC27B9"/>
    <w:rsid w:val="450C21F2"/>
    <w:rsid w:val="451953E5"/>
    <w:rsid w:val="453522C6"/>
    <w:rsid w:val="45372C41"/>
    <w:rsid w:val="454728B0"/>
    <w:rsid w:val="4574354D"/>
    <w:rsid w:val="45A353FB"/>
    <w:rsid w:val="45A42CB5"/>
    <w:rsid w:val="45A86500"/>
    <w:rsid w:val="45AB1B6F"/>
    <w:rsid w:val="45C36261"/>
    <w:rsid w:val="45CA34CD"/>
    <w:rsid w:val="45EB2610"/>
    <w:rsid w:val="461D00B2"/>
    <w:rsid w:val="466C06C8"/>
    <w:rsid w:val="46996DE8"/>
    <w:rsid w:val="46B255B2"/>
    <w:rsid w:val="46C75EE7"/>
    <w:rsid w:val="47094169"/>
    <w:rsid w:val="470F280F"/>
    <w:rsid w:val="47127FAA"/>
    <w:rsid w:val="47406EAF"/>
    <w:rsid w:val="477534BF"/>
    <w:rsid w:val="47872A43"/>
    <w:rsid w:val="47AA2ADA"/>
    <w:rsid w:val="47AC499F"/>
    <w:rsid w:val="47DD07D7"/>
    <w:rsid w:val="47F5C673"/>
    <w:rsid w:val="47FE8267"/>
    <w:rsid w:val="48094372"/>
    <w:rsid w:val="482A2C52"/>
    <w:rsid w:val="484C72AA"/>
    <w:rsid w:val="484E4722"/>
    <w:rsid w:val="4861157D"/>
    <w:rsid w:val="48C808A1"/>
    <w:rsid w:val="48DF0428"/>
    <w:rsid w:val="490177EE"/>
    <w:rsid w:val="497DAE0C"/>
    <w:rsid w:val="498F33F3"/>
    <w:rsid w:val="49B7599D"/>
    <w:rsid w:val="49C501CB"/>
    <w:rsid w:val="49D50684"/>
    <w:rsid w:val="49F07679"/>
    <w:rsid w:val="4A752AED"/>
    <w:rsid w:val="4A7E3CB1"/>
    <w:rsid w:val="4A9621B8"/>
    <w:rsid w:val="4AAE4B5A"/>
    <w:rsid w:val="4AB235B5"/>
    <w:rsid w:val="4AC10A82"/>
    <w:rsid w:val="4AD06402"/>
    <w:rsid w:val="4AEA15BC"/>
    <w:rsid w:val="4AFF76F1"/>
    <w:rsid w:val="4B024104"/>
    <w:rsid w:val="4B6B5C32"/>
    <w:rsid w:val="4B7303C6"/>
    <w:rsid w:val="4BBA2F5A"/>
    <w:rsid w:val="4BDD1A15"/>
    <w:rsid w:val="4BE45514"/>
    <w:rsid w:val="4C3316E4"/>
    <w:rsid w:val="4C352698"/>
    <w:rsid w:val="4C3A14A5"/>
    <w:rsid w:val="4C3E33B7"/>
    <w:rsid w:val="4C4D030B"/>
    <w:rsid w:val="4C64349E"/>
    <w:rsid w:val="4C7E431E"/>
    <w:rsid w:val="4C9269AF"/>
    <w:rsid w:val="4C996515"/>
    <w:rsid w:val="4CAF1FA4"/>
    <w:rsid w:val="4CB44F7E"/>
    <w:rsid w:val="4CCA7A00"/>
    <w:rsid w:val="4CE7482C"/>
    <w:rsid w:val="4CFE63AC"/>
    <w:rsid w:val="4D005B8C"/>
    <w:rsid w:val="4D1A5ED0"/>
    <w:rsid w:val="4D2A5ED9"/>
    <w:rsid w:val="4D2D37B7"/>
    <w:rsid w:val="4D324065"/>
    <w:rsid w:val="4D62341F"/>
    <w:rsid w:val="4D780D20"/>
    <w:rsid w:val="4DA90B3E"/>
    <w:rsid w:val="4DAD1D19"/>
    <w:rsid w:val="4DBA7F6B"/>
    <w:rsid w:val="4DC40DEA"/>
    <w:rsid w:val="4DEE4843"/>
    <w:rsid w:val="4DEF4D48"/>
    <w:rsid w:val="4DF558F1"/>
    <w:rsid w:val="4E4601E4"/>
    <w:rsid w:val="4E6942B2"/>
    <w:rsid w:val="4EA02600"/>
    <w:rsid w:val="4EC1723F"/>
    <w:rsid w:val="4EE5393D"/>
    <w:rsid w:val="4EE7747C"/>
    <w:rsid w:val="4EEE1E60"/>
    <w:rsid w:val="4FAE60B5"/>
    <w:rsid w:val="4FB71A9D"/>
    <w:rsid w:val="4FBF64FF"/>
    <w:rsid w:val="4FCF49DB"/>
    <w:rsid w:val="4FF34159"/>
    <w:rsid w:val="4FFFA25B"/>
    <w:rsid w:val="500721EE"/>
    <w:rsid w:val="50175B49"/>
    <w:rsid w:val="502B49B8"/>
    <w:rsid w:val="502F05D6"/>
    <w:rsid w:val="50574197"/>
    <w:rsid w:val="50805BFB"/>
    <w:rsid w:val="508A4F00"/>
    <w:rsid w:val="50CF5C62"/>
    <w:rsid w:val="50E27F05"/>
    <w:rsid w:val="50F80838"/>
    <w:rsid w:val="511C60D2"/>
    <w:rsid w:val="51796BED"/>
    <w:rsid w:val="519E14F8"/>
    <w:rsid w:val="51C55CC5"/>
    <w:rsid w:val="51F31C9E"/>
    <w:rsid w:val="51FED7AB"/>
    <w:rsid w:val="521D2B8D"/>
    <w:rsid w:val="522C43C2"/>
    <w:rsid w:val="522E08BA"/>
    <w:rsid w:val="523B468B"/>
    <w:rsid w:val="523C53F3"/>
    <w:rsid w:val="52602DDE"/>
    <w:rsid w:val="527252B8"/>
    <w:rsid w:val="529F291F"/>
    <w:rsid w:val="52B34AF4"/>
    <w:rsid w:val="52DD35A8"/>
    <w:rsid w:val="52F0210D"/>
    <w:rsid w:val="53051C89"/>
    <w:rsid w:val="53123DCC"/>
    <w:rsid w:val="533C3F47"/>
    <w:rsid w:val="53537EE6"/>
    <w:rsid w:val="536C3550"/>
    <w:rsid w:val="53822925"/>
    <w:rsid w:val="53896B1D"/>
    <w:rsid w:val="53D02297"/>
    <w:rsid w:val="53DA3115"/>
    <w:rsid w:val="53FD32A8"/>
    <w:rsid w:val="540C3079"/>
    <w:rsid w:val="54145AB9"/>
    <w:rsid w:val="543C0F32"/>
    <w:rsid w:val="54534871"/>
    <w:rsid w:val="547E7912"/>
    <w:rsid w:val="548D462B"/>
    <w:rsid w:val="54F47187"/>
    <w:rsid w:val="551C1D66"/>
    <w:rsid w:val="55380A07"/>
    <w:rsid w:val="554E3DBB"/>
    <w:rsid w:val="555308C0"/>
    <w:rsid w:val="55743A6A"/>
    <w:rsid w:val="55C37BD9"/>
    <w:rsid w:val="55DD5619"/>
    <w:rsid w:val="560163C7"/>
    <w:rsid w:val="561C59B2"/>
    <w:rsid w:val="561F435C"/>
    <w:rsid w:val="56482433"/>
    <w:rsid w:val="567956D9"/>
    <w:rsid w:val="56DB466F"/>
    <w:rsid w:val="56E35F9C"/>
    <w:rsid w:val="56E64974"/>
    <w:rsid w:val="56FB5F3C"/>
    <w:rsid w:val="57107931"/>
    <w:rsid w:val="57175968"/>
    <w:rsid w:val="571921A6"/>
    <w:rsid w:val="57266CAE"/>
    <w:rsid w:val="572C7079"/>
    <w:rsid w:val="57323091"/>
    <w:rsid w:val="573B01D7"/>
    <w:rsid w:val="573B036F"/>
    <w:rsid w:val="57630B2F"/>
    <w:rsid w:val="5766445F"/>
    <w:rsid w:val="5791F5C7"/>
    <w:rsid w:val="57FD398F"/>
    <w:rsid w:val="580E212B"/>
    <w:rsid w:val="585514DE"/>
    <w:rsid w:val="587F35E9"/>
    <w:rsid w:val="58B74216"/>
    <w:rsid w:val="58DA3A91"/>
    <w:rsid w:val="590627A8"/>
    <w:rsid w:val="590723A4"/>
    <w:rsid w:val="59266FFD"/>
    <w:rsid w:val="592B58FA"/>
    <w:rsid w:val="593A78B7"/>
    <w:rsid w:val="593E5EF4"/>
    <w:rsid w:val="594F1EAF"/>
    <w:rsid w:val="59502A5D"/>
    <w:rsid w:val="59533A85"/>
    <w:rsid w:val="595C0D1E"/>
    <w:rsid w:val="59CD22C6"/>
    <w:rsid w:val="59D679F0"/>
    <w:rsid w:val="59EA4662"/>
    <w:rsid w:val="59F721E7"/>
    <w:rsid w:val="5A032C9A"/>
    <w:rsid w:val="5A160282"/>
    <w:rsid w:val="5A735311"/>
    <w:rsid w:val="5A8659EC"/>
    <w:rsid w:val="5A936E61"/>
    <w:rsid w:val="5A984C09"/>
    <w:rsid w:val="5ABB0785"/>
    <w:rsid w:val="5ABE7745"/>
    <w:rsid w:val="5AEC4DDF"/>
    <w:rsid w:val="5AF98059"/>
    <w:rsid w:val="5B0C52B2"/>
    <w:rsid w:val="5B166DC7"/>
    <w:rsid w:val="5B1919F8"/>
    <w:rsid w:val="5B2E6E7A"/>
    <w:rsid w:val="5B896C23"/>
    <w:rsid w:val="5B97425A"/>
    <w:rsid w:val="5BCF6279"/>
    <w:rsid w:val="5BD462C2"/>
    <w:rsid w:val="5BD65BF1"/>
    <w:rsid w:val="5BDD203A"/>
    <w:rsid w:val="5BEB54F7"/>
    <w:rsid w:val="5BFB196E"/>
    <w:rsid w:val="5C024269"/>
    <w:rsid w:val="5C2915BE"/>
    <w:rsid w:val="5C490E73"/>
    <w:rsid w:val="5C5C7EF4"/>
    <w:rsid w:val="5C6B399C"/>
    <w:rsid w:val="5CA753F9"/>
    <w:rsid w:val="5CAB38A1"/>
    <w:rsid w:val="5CD237B6"/>
    <w:rsid w:val="5CE509B8"/>
    <w:rsid w:val="5CE744FA"/>
    <w:rsid w:val="5D18664E"/>
    <w:rsid w:val="5D867E6A"/>
    <w:rsid w:val="5D8B5480"/>
    <w:rsid w:val="5D9203BB"/>
    <w:rsid w:val="5DDA13D8"/>
    <w:rsid w:val="5DEA26CE"/>
    <w:rsid w:val="5DEB5579"/>
    <w:rsid w:val="5DFF166A"/>
    <w:rsid w:val="5E2002BE"/>
    <w:rsid w:val="5E495F53"/>
    <w:rsid w:val="5E581544"/>
    <w:rsid w:val="5E620622"/>
    <w:rsid w:val="5E71663A"/>
    <w:rsid w:val="5E723A86"/>
    <w:rsid w:val="5E7C485D"/>
    <w:rsid w:val="5E90095A"/>
    <w:rsid w:val="5EB61C43"/>
    <w:rsid w:val="5EC871F3"/>
    <w:rsid w:val="5EFA7CCD"/>
    <w:rsid w:val="5F1C740E"/>
    <w:rsid w:val="5F40650E"/>
    <w:rsid w:val="5F4E53CB"/>
    <w:rsid w:val="5F507D05"/>
    <w:rsid w:val="5F657596"/>
    <w:rsid w:val="5FA17DBF"/>
    <w:rsid w:val="5FAFC10E"/>
    <w:rsid w:val="5FB64776"/>
    <w:rsid w:val="5FB84818"/>
    <w:rsid w:val="5FBDAE62"/>
    <w:rsid w:val="5FCC7342"/>
    <w:rsid w:val="5FEB623E"/>
    <w:rsid w:val="5FF73C33"/>
    <w:rsid w:val="5FFDE5BE"/>
    <w:rsid w:val="6008100A"/>
    <w:rsid w:val="603911C4"/>
    <w:rsid w:val="604466F5"/>
    <w:rsid w:val="60552F46"/>
    <w:rsid w:val="605D02D1"/>
    <w:rsid w:val="60D334FB"/>
    <w:rsid w:val="60D61EC0"/>
    <w:rsid w:val="610917EE"/>
    <w:rsid w:val="61112140"/>
    <w:rsid w:val="615944B4"/>
    <w:rsid w:val="61734BA9"/>
    <w:rsid w:val="61880654"/>
    <w:rsid w:val="61907509"/>
    <w:rsid w:val="619C7C5C"/>
    <w:rsid w:val="61F45E72"/>
    <w:rsid w:val="62255EA3"/>
    <w:rsid w:val="622E70A1"/>
    <w:rsid w:val="62552149"/>
    <w:rsid w:val="6265548D"/>
    <w:rsid w:val="62726C0F"/>
    <w:rsid w:val="62794CD3"/>
    <w:rsid w:val="62CD54FA"/>
    <w:rsid w:val="62D97D14"/>
    <w:rsid w:val="633C21FE"/>
    <w:rsid w:val="63782AF6"/>
    <w:rsid w:val="63842483"/>
    <w:rsid w:val="64091599"/>
    <w:rsid w:val="640970FF"/>
    <w:rsid w:val="6410759C"/>
    <w:rsid w:val="6454268D"/>
    <w:rsid w:val="645C1924"/>
    <w:rsid w:val="649B244D"/>
    <w:rsid w:val="64C31BB9"/>
    <w:rsid w:val="6507E9EA"/>
    <w:rsid w:val="657E42FB"/>
    <w:rsid w:val="65971F7A"/>
    <w:rsid w:val="65B512EC"/>
    <w:rsid w:val="65C113E5"/>
    <w:rsid w:val="65D6590C"/>
    <w:rsid w:val="662750CE"/>
    <w:rsid w:val="665205C0"/>
    <w:rsid w:val="66550E31"/>
    <w:rsid w:val="666E039B"/>
    <w:rsid w:val="66AB4FD1"/>
    <w:rsid w:val="66CA64D2"/>
    <w:rsid w:val="671B5AC7"/>
    <w:rsid w:val="672F764C"/>
    <w:rsid w:val="674E0CAE"/>
    <w:rsid w:val="677F5C54"/>
    <w:rsid w:val="678D64ED"/>
    <w:rsid w:val="67DE23B8"/>
    <w:rsid w:val="67F70A92"/>
    <w:rsid w:val="67F77C37"/>
    <w:rsid w:val="683376AC"/>
    <w:rsid w:val="68721D84"/>
    <w:rsid w:val="68882A8A"/>
    <w:rsid w:val="68A7702C"/>
    <w:rsid w:val="68E52F41"/>
    <w:rsid w:val="690331A8"/>
    <w:rsid w:val="6907588C"/>
    <w:rsid w:val="6954706E"/>
    <w:rsid w:val="6959167C"/>
    <w:rsid w:val="69C3B66B"/>
    <w:rsid w:val="69D10864"/>
    <w:rsid w:val="69E805B5"/>
    <w:rsid w:val="6A1A13B6"/>
    <w:rsid w:val="6A283A53"/>
    <w:rsid w:val="6A526BD9"/>
    <w:rsid w:val="6A5C5F38"/>
    <w:rsid w:val="6A6E1DC6"/>
    <w:rsid w:val="6A753740"/>
    <w:rsid w:val="6A783E48"/>
    <w:rsid w:val="6A7E2C0A"/>
    <w:rsid w:val="6AF403FB"/>
    <w:rsid w:val="6AFEBAD6"/>
    <w:rsid w:val="6B5B60C7"/>
    <w:rsid w:val="6B740456"/>
    <w:rsid w:val="6B790BA7"/>
    <w:rsid w:val="6B8D0D5A"/>
    <w:rsid w:val="6BA32CA8"/>
    <w:rsid w:val="6BA92D5E"/>
    <w:rsid w:val="6BAA4E8E"/>
    <w:rsid w:val="6BBC4414"/>
    <w:rsid w:val="6BBF9DAA"/>
    <w:rsid w:val="6BDA5A8E"/>
    <w:rsid w:val="6BE31F31"/>
    <w:rsid w:val="6BFBC2C1"/>
    <w:rsid w:val="6C07486C"/>
    <w:rsid w:val="6C1256EA"/>
    <w:rsid w:val="6C2C6FA8"/>
    <w:rsid w:val="6C586513"/>
    <w:rsid w:val="6C9D3577"/>
    <w:rsid w:val="6CF7D257"/>
    <w:rsid w:val="6D1E0A42"/>
    <w:rsid w:val="6D2C40DA"/>
    <w:rsid w:val="6D773B7E"/>
    <w:rsid w:val="6D7D1670"/>
    <w:rsid w:val="6D881096"/>
    <w:rsid w:val="6D8F70B2"/>
    <w:rsid w:val="6DA34120"/>
    <w:rsid w:val="6DAC4A91"/>
    <w:rsid w:val="6DB15D04"/>
    <w:rsid w:val="6DC47BDA"/>
    <w:rsid w:val="6DE035C6"/>
    <w:rsid w:val="6DE37A67"/>
    <w:rsid w:val="6DF9B0C5"/>
    <w:rsid w:val="6E38345A"/>
    <w:rsid w:val="6E3E23D3"/>
    <w:rsid w:val="6E410874"/>
    <w:rsid w:val="6E481100"/>
    <w:rsid w:val="6E7434C9"/>
    <w:rsid w:val="6ECC6FEB"/>
    <w:rsid w:val="6EDA2947"/>
    <w:rsid w:val="6F156665"/>
    <w:rsid w:val="6F23D520"/>
    <w:rsid w:val="6F300929"/>
    <w:rsid w:val="6F433FB6"/>
    <w:rsid w:val="6F765824"/>
    <w:rsid w:val="6FBB27F8"/>
    <w:rsid w:val="6FBF55B9"/>
    <w:rsid w:val="6FBFA895"/>
    <w:rsid w:val="6FC202C1"/>
    <w:rsid w:val="6FD78B9F"/>
    <w:rsid w:val="6FEC731C"/>
    <w:rsid w:val="6FFA63C7"/>
    <w:rsid w:val="6FFF438D"/>
    <w:rsid w:val="70462D93"/>
    <w:rsid w:val="706A7DD6"/>
    <w:rsid w:val="70886133"/>
    <w:rsid w:val="70A13A78"/>
    <w:rsid w:val="70B44C2F"/>
    <w:rsid w:val="70C62214"/>
    <w:rsid w:val="70C97418"/>
    <w:rsid w:val="70DC0A00"/>
    <w:rsid w:val="711205DD"/>
    <w:rsid w:val="715911B4"/>
    <w:rsid w:val="71734A58"/>
    <w:rsid w:val="717F951C"/>
    <w:rsid w:val="71E863F4"/>
    <w:rsid w:val="72247F25"/>
    <w:rsid w:val="723518AF"/>
    <w:rsid w:val="72364096"/>
    <w:rsid w:val="72397A47"/>
    <w:rsid w:val="724768F3"/>
    <w:rsid w:val="72785484"/>
    <w:rsid w:val="729B7ABC"/>
    <w:rsid w:val="72C37A54"/>
    <w:rsid w:val="72CD4147"/>
    <w:rsid w:val="72D354A8"/>
    <w:rsid w:val="72FF58FD"/>
    <w:rsid w:val="7313127E"/>
    <w:rsid w:val="732311F6"/>
    <w:rsid w:val="733F4D95"/>
    <w:rsid w:val="73876AEE"/>
    <w:rsid w:val="73FA7134"/>
    <w:rsid w:val="73FC49AE"/>
    <w:rsid w:val="73FD1FD7"/>
    <w:rsid w:val="74003C57"/>
    <w:rsid w:val="740C58CD"/>
    <w:rsid w:val="74A44628"/>
    <w:rsid w:val="74CF31DC"/>
    <w:rsid w:val="74E435B0"/>
    <w:rsid w:val="752D5572"/>
    <w:rsid w:val="755D2443"/>
    <w:rsid w:val="75760296"/>
    <w:rsid w:val="757DE146"/>
    <w:rsid w:val="758400C3"/>
    <w:rsid w:val="758E0441"/>
    <w:rsid w:val="75A6641C"/>
    <w:rsid w:val="75BC1BF0"/>
    <w:rsid w:val="75C93BD0"/>
    <w:rsid w:val="75DFBA95"/>
    <w:rsid w:val="76065B94"/>
    <w:rsid w:val="765F359D"/>
    <w:rsid w:val="767955ED"/>
    <w:rsid w:val="768FBAD5"/>
    <w:rsid w:val="76C4494D"/>
    <w:rsid w:val="76D90BB3"/>
    <w:rsid w:val="76DE0582"/>
    <w:rsid w:val="76F326D0"/>
    <w:rsid w:val="771D4F43"/>
    <w:rsid w:val="77490B4A"/>
    <w:rsid w:val="774C742D"/>
    <w:rsid w:val="775A7401"/>
    <w:rsid w:val="776E5E38"/>
    <w:rsid w:val="777F7EB4"/>
    <w:rsid w:val="777FB541"/>
    <w:rsid w:val="77AA4D5D"/>
    <w:rsid w:val="77B24EDD"/>
    <w:rsid w:val="77B9D6D4"/>
    <w:rsid w:val="77EFA775"/>
    <w:rsid w:val="77F5D88A"/>
    <w:rsid w:val="77F9150C"/>
    <w:rsid w:val="77FB4301"/>
    <w:rsid w:val="781F2C8E"/>
    <w:rsid w:val="7821417D"/>
    <w:rsid w:val="783D25C7"/>
    <w:rsid w:val="784534AF"/>
    <w:rsid w:val="784743CB"/>
    <w:rsid w:val="78572DA2"/>
    <w:rsid w:val="787E7C64"/>
    <w:rsid w:val="78802C29"/>
    <w:rsid w:val="78BB4A14"/>
    <w:rsid w:val="78CA7177"/>
    <w:rsid w:val="78FF32F0"/>
    <w:rsid w:val="791002C9"/>
    <w:rsid w:val="793A6280"/>
    <w:rsid w:val="794B06F3"/>
    <w:rsid w:val="79573CBE"/>
    <w:rsid w:val="797D286D"/>
    <w:rsid w:val="79B95E17"/>
    <w:rsid w:val="79CC2B05"/>
    <w:rsid w:val="79D753E1"/>
    <w:rsid w:val="79E5452F"/>
    <w:rsid w:val="79ED31BA"/>
    <w:rsid w:val="79EF5257"/>
    <w:rsid w:val="79F4776B"/>
    <w:rsid w:val="79F5B125"/>
    <w:rsid w:val="7A0639C4"/>
    <w:rsid w:val="7A2F5A0A"/>
    <w:rsid w:val="7A320F28"/>
    <w:rsid w:val="7A80238E"/>
    <w:rsid w:val="7A870038"/>
    <w:rsid w:val="7AD72B89"/>
    <w:rsid w:val="7ADD5362"/>
    <w:rsid w:val="7AEC6864"/>
    <w:rsid w:val="7AF7A9BF"/>
    <w:rsid w:val="7AFA9563"/>
    <w:rsid w:val="7AFF1902"/>
    <w:rsid w:val="7B034FB1"/>
    <w:rsid w:val="7B1E21F1"/>
    <w:rsid w:val="7B93118C"/>
    <w:rsid w:val="7B93E149"/>
    <w:rsid w:val="7BA21EBB"/>
    <w:rsid w:val="7BB16DAF"/>
    <w:rsid w:val="7BFFD328"/>
    <w:rsid w:val="7C183C5F"/>
    <w:rsid w:val="7C6C4E24"/>
    <w:rsid w:val="7C7E26E8"/>
    <w:rsid w:val="7CBC40E8"/>
    <w:rsid w:val="7D7B0FEE"/>
    <w:rsid w:val="7D7F5362"/>
    <w:rsid w:val="7D8276CB"/>
    <w:rsid w:val="7D835243"/>
    <w:rsid w:val="7DA18410"/>
    <w:rsid w:val="7DA97D50"/>
    <w:rsid w:val="7DAE3EF9"/>
    <w:rsid w:val="7DBF8C3F"/>
    <w:rsid w:val="7DDB0632"/>
    <w:rsid w:val="7DFA89FB"/>
    <w:rsid w:val="7DFB58B2"/>
    <w:rsid w:val="7DFFC0D3"/>
    <w:rsid w:val="7E0B5114"/>
    <w:rsid w:val="7E3E2A4B"/>
    <w:rsid w:val="7E55367D"/>
    <w:rsid w:val="7E5D4BF6"/>
    <w:rsid w:val="7E6A02C0"/>
    <w:rsid w:val="7E7CBE29"/>
    <w:rsid w:val="7E9B9C60"/>
    <w:rsid w:val="7EBD029E"/>
    <w:rsid w:val="7EEDDEDB"/>
    <w:rsid w:val="7EF77AE4"/>
    <w:rsid w:val="7EFBC3C3"/>
    <w:rsid w:val="7EFD1669"/>
    <w:rsid w:val="7EFFFD06"/>
    <w:rsid w:val="7F2FBE39"/>
    <w:rsid w:val="7F37E8D1"/>
    <w:rsid w:val="7F5D3886"/>
    <w:rsid w:val="7F6F4492"/>
    <w:rsid w:val="7F752865"/>
    <w:rsid w:val="7F7BD8FF"/>
    <w:rsid w:val="7F7D58EC"/>
    <w:rsid w:val="7F7F41EC"/>
    <w:rsid w:val="7F7F485E"/>
    <w:rsid w:val="7FB47858"/>
    <w:rsid w:val="7FBF88B4"/>
    <w:rsid w:val="7FBF9E56"/>
    <w:rsid w:val="7FD92E22"/>
    <w:rsid w:val="7FDAC1DC"/>
    <w:rsid w:val="7FDC03A2"/>
    <w:rsid w:val="7FDE2F95"/>
    <w:rsid w:val="7FDF12E5"/>
    <w:rsid w:val="7FE333FC"/>
    <w:rsid w:val="7FE93878"/>
    <w:rsid w:val="7FE9B52E"/>
    <w:rsid w:val="7FED635E"/>
    <w:rsid w:val="7FEE9AAC"/>
    <w:rsid w:val="7FEFB2F4"/>
    <w:rsid w:val="7FF47ACF"/>
    <w:rsid w:val="7FF5F261"/>
    <w:rsid w:val="7FF9D8BF"/>
    <w:rsid w:val="7FFC60BD"/>
    <w:rsid w:val="7FFD71FA"/>
    <w:rsid w:val="7FFF47EF"/>
    <w:rsid w:val="8BFE1B7E"/>
    <w:rsid w:val="93D5B157"/>
    <w:rsid w:val="9D4B5CFF"/>
    <w:rsid w:val="9F7D69BA"/>
    <w:rsid w:val="A1B73A07"/>
    <w:rsid w:val="A5DF7648"/>
    <w:rsid w:val="A8BF8702"/>
    <w:rsid w:val="AECF3123"/>
    <w:rsid w:val="AF6826A8"/>
    <w:rsid w:val="AFDF15A7"/>
    <w:rsid w:val="AFEB691F"/>
    <w:rsid w:val="B1F75EF0"/>
    <w:rsid w:val="B3F94005"/>
    <w:rsid w:val="B5ED6BCA"/>
    <w:rsid w:val="B7356927"/>
    <w:rsid w:val="B77F3868"/>
    <w:rsid w:val="BA7B23C6"/>
    <w:rsid w:val="BAD328D2"/>
    <w:rsid w:val="BBB50FEC"/>
    <w:rsid w:val="BBBF2923"/>
    <w:rsid w:val="BC7FBF16"/>
    <w:rsid w:val="BCDDB878"/>
    <w:rsid w:val="BCFF98C1"/>
    <w:rsid w:val="BE3BB3EE"/>
    <w:rsid w:val="BE6773E7"/>
    <w:rsid w:val="BEEFF0ED"/>
    <w:rsid w:val="BEFFDB93"/>
    <w:rsid w:val="BF65F993"/>
    <w:rsid w:val="BF7CDB8C"/>
    <w:rsid w:val="BF9E3006"/>
    <w:rsid w:val="BFADF73D"/>
    <w:rsid w:val="BFCF84F8"/>
    <w:rsid w:val="BFD32031"/>
    <w:rsid w:val="BFDFF8C0"/>
    <w:rsid w:val="BFFE46E3"/>
    <w:rsid w:val="BFFF9AC2"/>
    <w:rsid w:val="C37BDECE"/>
    <w:rsid w:val="C7F57105"/>
    <w:rsid w:val="CBBE0C81"/>
    <w:rsid w:val="CE7F7965"/>
    <w:rsid w:val="CEBE4681"/>
    <w:rsid w:val="CFC5A11E"/>
    <w:rsid w:val="CFFF7263"/>
    <w:rsid w:val="D177A4E5"/>
    <w:rsid w:val="D17974C1"/>
    <w:rsid w:val="D3F7709D"/>
    <w:rsid w:val="D4EAEFB2"/>
    <w:rsid w:val="D5DF3217"/>
    <w:rsid w:val="D73F76C6"/>
    <w:rsid w:val="D77DAE63"/>
    <w:rsid w:val="D7BE977A"/>
    <w:rsid w:val="D9F01865"/>
    <w:rsid w:val="DB5EA031"/>
    <w:rsid w:val="DBF1B113"/>
    <w:rsid w:val="DDCDDC9E"/>
    <w:rsid w:val="DE5F573D"/>
    <w:rsid w:val="DE892AD4"/>
    <w:rsid w:val="DEFF8C7B"/>
    <w:rsid w:val="DF3B3134"/>
    <w:rsid w:val="DF57F959"/>
    <w:rsid w:val="DFBF6933"/>
    <w:rsid w:val="DFCB99C9"/>
    <w:rsid w:val="DFDAC7FD"/>
    <w:rsid w:val="DFDC3236"/>
    <w:rsid w:val="DFE20C4C"/>
    <w:rsid w:val="DFF7E9E8"/>
    <w:rsid w:val="E75D64DC"/>
    <w:rsid w:val="E7773AB4"/>
    <w:rsid w:val="E7E7316F"/>
    <w:rsid w:val="E92FEAD7"/>
    <w:rsid w:val="E9F71EFB"/>
    <w:rsid w:val="EB6B9372"/>
    <w:rsid w:val="EBC3310D"/>
    <w:rsid w:val="EBF9FC37"/>
    <w:rsid w:val="EBFBC00C"/>
    <w:rsid w:val="EBFC3D3D"/>
    <w:rsid w:val="EBFE78C2"/>
    <w:rsid w:val="EBFEE3BC"/>
    <w:rsid w:val="ED790F18"/>
    <w:rsid w:val="ED9B8219"/>
    <w:rsid w:val="EDFF0C46"/>
    <w:rsid w:val="EEAB3A17"/>
    <w:rsid w:val="EEDEB70A"/>
    <w:rsid w:val="EEDFD164"/>
    <w:rsid w:val="EEDFE128"/>
    <w:rsid w:val="EEFFDC73"/>
    <w:rsid w:val="EFB6067F"/>
    <w:rsid w:val="EFE5D794"/>
    <w:rsid w:val="EFEF328A"/>
    <w:rsid w:val="F13ECF51"/>
    <w:rsid w:val="F27FD4A7"/>
    <w:rsid w:val="F3DF25D1"/>
    <w:rsid w:val="F451B05A"/>
    <w:rsid w:val="F45527AA"/>
    <w:rsid w:val="F537927F"/>
    <w:rsid w:val="F5F3AF1B"/>
    <w:rsid w:val="F6E9D6E3"/>
    <w:rsid w:val="F79F7118"/>
    <w:rsid w:val="F7BFCD4C"/>
    <w:rsid w:val="F7ECA852"/>
    <w:rsid w:val="F7ED1962"/>
    <w:rsid w:val="F7EF17EB"/>
    <w:rsid w:val="F7FA2523"/>
    <w:rsid w:val="F7FB81AC"/>
    <w:rsid w:val="F7FC6E97"/>
    <w:rsid w:val="F7FE938D"/>
    <w:rsid w:val="F98CFF03"/>
    <w:rsid w:val="F9A8E9F8"/>
    <w:rsid w:val="F9ED52C4"/>
    <w:rsid w:val="F9F99786"/>
    <w:rsid w:val="F9FDA3B5"/>
    <w:rsid w:val="F9FF290E"/>
    <w:rsid w:val="F9FF5827"/>
    <w:rsid w:val="FB79AEFA"/>
    <w:rsid w:val="FB7E255A"/>
    <w:rsid w:val="FB91B399"/>
    <w:rsid w:val="FBAE31D7"/>
    <w:rsid w:val="FBDE1F5F"/>
    <w:rsid w:val="FBEDC0B9"/>
    <w:rsid w:val="FBFBFB6F"/>
    <w:rsid w:val="FCAD0FEA"/>
    <w:rsid w:val="FCFB5907"/>
    <w:rsid w:val="FCFD8D98"/>
    <w:rsid w:val="FD37475D"/>
    <w:rsid w:val="FD7CB94B"/>
    <w:rsid w:val="FDC63A3A"/>
    <w:rsid w:val="FDF3ACE5"/>
    <w:rsid w:val="FDFED1C9"/>
    <w:rsid w:val="FE734873"/>
    <w:rsid w:val="FE7B46F4"/>
    <w:rsid w:val="FE7F7AAF"/>
    <w:rsid w:val="FE8FB5BB"/>
    <w:rsid w:val="FEA69300"/>
    <w:rsid w:val="FEDF3588"/>
    <w:rsid w:val="FEEF072C"/>
    <w:rsid w:val="FEFE64BA"/>
    <w:rsid w:val="FF063346"/>
    <w:rsid w:val="FF1762B8"/>
    <w:rsid w:val="FF5EC754"/>
    <w:rsid w:val="FF76FE6D"/>
    <w:rsid w:val="FF7ED664"/>
    <w:rsid w:val="FF7FC8FF"/>
    <w:rsid w:val="FFB5144B"/>
    <w:rsid w:val="FFBEDFF8"/>
    <w:rsid w:val="FFBF0E70"/>
    <w:rsid w:val="FFBF94C7"/>
    <w:rsid w:val="FFBFC928"/>
    <w:rsid w:val="FFDEA1FD"/>
    <w:rsid w:val="FFDF08BF"/>
    <w:rsid w:val="FFDF947C"/>
    <w:rsid w:val="FFDFA456"/>
    <w:rsid w:val="FFFBEC8B"/>
    <w:rsid w:val="FFFDC6ED"/>
    <w:rsid w:val="FFFDE7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9" w:name="heading 2"/>
    <w:lsdException w:qFormat="1"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0" w:semiHidden="0"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0" w:semiHidden="0"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60" w:lineRule="exact"/>
      <w:ind w:firstLine="640" w:firstLineChars="200"/>
      <w:jc w:val="both"/>
    </w:pPr>
    <w:rPr>
      <w:rFonts w:ascii="Times New Roman" w:hAnsi="Times New Roman" w:eastAsia="仿宋_GB2312" w:cstheme="minorBidi"/>
      <w:kern w:val="2"/>
      <w:sz w:val="32"/>
      <w:szCs w:val="22"/>
      <w:lang w:val="en-US" w:eastAsia="zh-CN" w:bidi="ar-SA"/>
    </w:rPr>
  </w:style>
  <w:style w:type="paragraph" w:styleId="2">
    <w:name w:val="heading 1"/>
    <w:basedOn w:val="1"/>
    <w:next w:val="1"/>
    <w:qFormat/>
    <w:uiPriority w:val="1"/>
    <w:pPr>
      <w:keepNext/>
      <w:keepLines/>
      <w:spacing w:before="156" w:beforeLines="50"/>
      <w:ind w:firstLine="0" w:firstLineChars="0"/>
      <w:jc w:val="left"/>
      <w:outlineLvl w:val="0"/>
    </w:pPr>
    <w:rPr>
      <w:b/>
      <w:kern w:val="44"/>
      <w:sz w:val="36"/>
    </w:rPr>
  </w:style>
  <w:style w:type="paragraph" w:styleId="3">
    <w:name w:val="heading 2"/>
    <w:basedOn w:val="1"/>
    <w:next w:val="1"/>
    <w:semiHidden/>
    <w:unhideWhenUsed/>
    <w:qFormat/>
    <w:uiPriority w:val="9"/>
    <w:pPr>
      <w:spacing w:beforeAutospacing="1" w:afterAutospacing="1"/>
      <w:jc w:val="left"/>
      <w:outlineLvl w:val="1"/>
    </w:pPr>
    <w:rPr>
      <w:rFonts w:hint="eastAsia" w:ascii="宋体" w:hAnsi="宋体" w:eastAsia="宋体" w:cs="Times New Roman"/>
      <w:b/>
      <w:kern w:val="0"/>
      <w:sz w:val="36"/>
      <w:szCs w:val="36"/>
    </w:rPr>
  </w:style>
  <w:style w:type="paragraph" w:styleId="4">
    <w:name w:val="heading 4"/>
    <w:basedOn w:val="1"/>
    <w:next w:val="1"/>
    <w:link w:val="38"/>
    <w:semiHidden/>
    <w:unhideWhenUsed/>
    <w:qFormat/>
    <w:uiPriority w:val="0"/>
    <w:pPr>
      <w:keepNext/>
      <w:keepLines/>
      <w:spacing w:before="280" w:after="290" w:line="240" w:lineRule="auto"/>
      <w:ind w:firstLine="0" w:firstLineChars="0"/>
      <w:outlineLvl w:val="3"/>
    </w:pPr>
    <w:rPr>
      <w:rFonts w:ascii="Arial" w:hAnsi="Arial" w:eastAsia="仿宋"/>
      <w:b/>
      <w:szCs w:val="21"/>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24"/>
    <w:unhideWhenUsed/>
    <w:qFormat/>
    <w:uiPriority w:val="0"/>
    <w:pPr>
      <w:jc w:val="left"/>
    </w:pPr>
  </w:style>
  <w:style w:type="paragraph" w:styleId="6">
    <w:name w:val="Body Text"/>
    <w:basedOn w:val="1"/>
    <w:unhideWhenUsed/>
    <w:qFormat/>
    <w:uiPriority w:val="0"/>
    <w:pPr>
      <w:spacing w:after="120"/>
    </w:pPr>
    <w:rPr>
      <w:rFonts w:ascii="Calibri" w:hAnsi="Calibri" w:eastAsia="宋体" w:cs="Times New Roman"/>
      <w:sz w:val="21"/>
    </w:rPr>
  </w:style>
  <w:style w:type="paragraph" w:styleId="7">
    <w:name w:val="Plain Text"/>
    <w:basedOn w:val="1"/>
    <w:qFormat/>
    <w:uiPriority w:val="0"/>
    <w:rPr>
      <w:rFonts w:ascii="宋体" w:hAnsi="Courier New" w:cs="Courier New"/>
      <w:sz w:val="21"/>
      <w:szCs w:val="21"/>
    </w:rPr>
  </w:style>
  <w:style w:type="paragraph" w:styleId="8">
    <w:name w:val="Balloon Text"/>
    <w:basedOn w:val="1"/>
    <w:link w:val="26"/>
    <w:unhideWhenUsed/>
    <w:qFormat/>
    <w:uiPriority w:val="0"/>
    <w:rPr>
      <w:sz w:val="18"/>
      <w:szCs w:val="18"/>
    </w:rPr>
  </w:style>
  <w:style w:type="paragraph" w:styleId="9">
    <w:name w:val="footer"/>
    <w:basedOn w:val="1"/>
    <w:link w:val="22"/>
    <w:unhideWhenUsed/>
    <w:qFormat/>
    <w:uiPriority w:val="99"/>
    <w:pPr>
      <w:tabs>
        <w:tab w:val="center" w:pos="4153"/>
        <w:tab w:val="right" w:pos="8306"/>
      </w:tabs>
      <w:snapToGrid w:val="0"/>
      <w:jc w:val="left"/>
    </w:pPr>
    <w:rPr>
      <w:sz w:val="18"/>
      <w:szCs w:val="18"/>
    </w:rPr>
  </w:style>
  <w:style w:type="paragraph" w:styleId="10">
    <w:name w:val="header"/>
    <w:basedOn w:val="1"/>
    <w:link w:val="21"/>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List"/>
    <w:basedOn w:val="1"/>
    <w:qFormat/>
    <w:uiPriority w:val="0"/>
    <w:pPr>
      <w:spacing w:line="0" w:lineRule="atLeast"/>
      <w:jc w:val="center"/>
    </w:pPr>
  </w:style>
  <w:style w:type="paragraph" w:styleId="12">
    <w:name w:val="footnote text"/>
    <w:basedOn w:val="1"/>
    <w:unhideWhenUsed/>
    <w:qFormat/>
    <w:uiPriority w:val="0"/>
    <w:pPr>
      <w:snapToGrid w:val="0"/>
      <w:jc w:val="left"/>
    </w:pPr>
    <w:rPr>
      <w:sz w:val="18"/>
    </w:rPr>
  </w:style>
  <w:style w:type="paragraph" w:styleId="13">
    <w:name w:val="Normal (Web)"/>
    <w:basedOn w:val="1"/>
    <w:unhideWhenUsed/>
    <w:qFormat/>
    <w:uiPriority w:val="0"/>
    <w:pPr>
      <w:widowControl/>
      <w:spacing w:before="100" w:beforeAutospacing="1" w:after="100" w:afterAutospacing="1"/>
      <w:jc w:val="left"/>
    </w:pPr>
    <w:rPr>
      <w:rFonts w:ascii="宋体" w:hAnsi="宋体" w:cs="宋体"/>
      <w:kern w:val="0"/>
      <w:szCs w:val="24"/>
    </w:rPr>
  </w:style>
  <w:style w:type="paragraph" w:styleId="14">
    <w:name w:val="annotation subject"/>
    <w:basedOn w:val="5"/>
    <w:next w:val="5"/>
    <w:link w:val="25"/>
    <w:unhideWhenUsed/>
    <w:qFormat/>
    <w:uiPriority w:val="0"/>
    <w:rPr>
      <w:b/>
      <w:bCs/>
    </w:rPr>
  </w:style>
  <w:style w:type="character" w:styleId="17">
    <w:name w:val="Strong"/>
    <w:basedOn w:val="16"/>
    <w:qFormat/>
    <w:uiPriority w:val="22"/>
    <w:rPr>
      <w:b/>
      <w:bCs/>
    </w:rPr>
  </w:style>
  <w:style w:type="character" w:styleId="18">
    <w:name w:val="Hyperlink"/>
    <w:basedOn w:val="16"/>
    <w:unhideWhenUsed/>
    <w:qFormat/>
    <w:uiPriority w:val="0"/>
    <w:rPr>
      <w:color w:val="0000FF"/>
      <w:u w:val="single"/>
    </w:rPr>
  </w:style>
  <w:style w:type="character" w:styleId="19">
    <w:name w:val="annotation reference"/>
    <w:basedOn w:val="16"/>
    <w:unhideWhenUsed/>
    <w:qFormat/>
    <w:uiPriority w:val="0"/>
    <w:rPr>
      <w:sz w:val="21"/>
      <w:szCs w:val="21"/>
    </w:rPr>
  </w:style>
  <w:style w:type="character" w:styleId="20">
    <w:name w:val="footnote reference"/>
    <w:basedOn w:val="16"/>
    <w:unhideWhenUsed/>
    <w:qFormat/>
    <w:uiPriority w:val="0"/>
    <w:rPr>
      <w:vertAlign w:val="superscript"/>
    </w:rPr>
  </w:style>
  <w:style w:type="character" w:customStyle="1" w:styleId="21">
    <w:name w:val="页眉 字符"/>
    <w:basedOn w:val="16"/>
    <w:link w:val="10"/>
    <w:qFormat/>
    <w:uiPriority w:val="99"/>
    <w:rPr>
      <w:rFonts w:ascii="Times New Roman" w:hAnsi="Times New Roman" w:eastAsia="宋体"/>
      <w:sz w:val="18"/>
      <w:szCs w:val="18"/>
    </w:rPr>
  </w:style>
  <w:style w:type="character" w:customStyle="1" w:styleId="22">
    <w:name w:val="页脚 字符"/>
    <w:basedOn w:val="16"/>
    <w:link w:val="9"/>
    <w:qFormat/>
    <w:uiPriority w:val="99"/>
    <w:rPr>
      <w:rFonts w:ascii="Times New Roman" w:hAnsi="Times New Roman" w:eastAsia="宋体"/>
      <w:sz w:val="18"/>
      <w:szCs w:val="18"/>
    </w:rPr>
  </w:style>
  <w:style w:type="paragraph" w:styleId="23">
    <w:name w:val="List Paragraph"/>
    <w:basedOn w:val="1"/>
    <w:qFormat/>
    <w:uiPriority w:val="34"/>
    <w:pPr>
      <w:ind w:firstLine="0" w:firstLineChars="0"/>
    </w:pPr>
  </w:style>
  <w:style w:type="character" w:customStyle="1" w:styleId="24">
    <w:name w:val="批注文字 字符"/>
    <w:basedOn w:val="16"/>
    <w:link w:val="5"/>
    <w:qFormat/>
    <w:uiPriority w:val="0"/>
    <w:rPr>
      <w:rFonts w:ascii="Times New Roman" w:hAnsi="Times New Roman" w:eastAsia="宋体"/>
      <w:sz w:val="24"/>
    </w:rPr>
  </w:style>
  <w:style w:type="character" w:customStyle="1" w:styleId="25">
    <w:name w:val="批注主题 字符"/>
    <w:basedOn w:val="24"/>
    <w:link w:val="14"/>
    <w:qFormat/>
    <w:uiPriority w:val="0"/>
    <w:rPr>
      <w:rFonts w:ascii="Times New Roman" w:hAnsi="Times New Roman" w:eastAsia="宋体"/>
      <w:b/>
      <w:bCs/>
      <w:sz w:val="24"/>
    </w:rPr>
  </w:style>
  <w:style w:type="character" w:customStyle="1" w:styleId="26">
    <w:name w:val="批注框文本 字符"/>
    <w:basedOn w:val="16"/>
    <w:link w:val="8"/>
    <w:qFormat/>
    <w:uiPriority w:val="0"/>
    <w:rPr>
      <w:rFonts w:ascii="Times New Roman" w:hAnsi="Times New Roman" w:eastAsia="宋体"/>
      <w:kern w:val="2"/>
      <w:sz w:val="18"/>
      <w:szCs w:val="18"/>
    </w:rPr>
  </w:style>
  <w:style w:type="paragraph" w:customStyle="1" w:styleId="27">
    <w:name w:val="修订1"/>
    <w:hidden/>
    <w:semiHidden/>
    <w:qFormat/>
    <w:uiPriority w:val="99"/>
    <w:rPr>
      <w:rFonts w:ascii="Times New Roman" w:hAnsi="Times New Roman" w:eastAsia="宋体" w:cstheme="minorBidi"/>
      <w:kern w:val="2"/>
      <w:sz w:val="24"/>
      <w:szCs w:val="22"/>
      <w:lang w:val="en-US" w:eastAsia="zh-CN" w:bidi="ar-SA"/>
    </w:rPr>
  </w:style>
  <w:style w:type="paragraph" w:customStyle="1" w:styleId="28">
    <w:name w:val="修订2"/>
    <w:hidden/>
    <w:semiHidden/>
    <w:qFormat/>
    <w:uiPriority w:val="99"/>
    <w:rPr>
      <w:rFonts w:ascii="Times New Roman" w:hAnsi="Times New Roman" w:eastAsia="仿宋" w:cstheme="minorBidi"/>
      <w:kern w:val="2"/>
      <w:sz w:val="32"/>
      <w:szCs w:val="22"/>
      <w:lang w:val="en-US" w:eastAsia="zh-CN" w:bidi="ar-SA"/>
    </w:rPr>
  </w:style>
  <w:style w:type="paragraph" w:customStyle="1" w:styleId="29">
    <w:name w:val="修订3"/>
    <w:hidden/>
    <w:semiHidden/>
    <w:qFormat/>
    <w:uiPriority w:val="99"/>
    <w:rPr>
      <w:rFonts w:ascii="Times New Roman" w:hAnsi="Times New Roman" w:eastAsia="仿宋" w:cstheme="minorBidi"/>
      <w:kern w:val="2"/>
      <w:sz w:val="32"/>
      <w:szCs w:val="22"/>
      <w:lang w:val="en-US" w:eastAsia="zh-CN" w:bidi="ar-SA"/>
    </w:rPr>
  </w:style>
  <w:style w:type="paragraph" w:customStyle="1" w:styleId="30">
    <w:name w:val="表"/>
    <w:basedOn w:val="1"/>
    <w:qFormat/>
    <w:uiPriority w:val="1"/>
    <w:rPr>
      <w:sz w:val="24"/>
    </w:rPr>
  </w:style>
  <w:style w:type="character" w:customStyle="1" w:styleId="31">
    <w:name w:val="font01"/>
    <w:basedOn w:val="16"/>
    <w:qFormat/>
    <w:uiPriority w:val="0"/>
    <w:rPr>
      <w:rFonts w:hint="eastAsia" w:ascii="宋体" w:hAnsi="宋体" w:eastAsia="宋体" w:cs="宋体"/>
      <w:color w:val="000000"/>
      <w:sz w:val="24"/>
      <w:szCs w:val="24"/>
      <w:u w:val="none"/>
    </w:rPr>
  </w:style>
  <w:style w:type="character" w:customStyle="1" w:styleId="32">
    <w:name w:val="font21"/>
    <w:basedOn w:val="16"/>
    <w:qFormat/>
    <w:uiPriority w:val="0"/>
    <w:rPr>
      <w:rFonts w:hint="eastAsia" w:ascii="仿宋_GB2312" w:eastAsia="仿宋_GB2312" w:cs="仿宋_GB2312"/>
      <w:color w:val="000000"/>
      <w:sz w:val="24"/>
      <w:szCs w:val="24"/>
      <w:u w:val="none"/>
    </w:rPr>
  </w:style>
  <w:style w:type="character" w:customStyle="1" w:styleId="33">
    <w:name w:val="font31"/>
    <w:basedOn w:val="16"/>
    <w:qFormat/>
    <w:uiPriority w:val="0"/>
    <w:rPr>
      <w:rFonts w:hint="eastAsia" w:ascii="仿宋_GB2312" w:eastAsia="仿宋_GB2312" w:cs="仿宋_GB2312"/>
      <w:color w:val="000000"/>
      <w:sz w:val="24"/>
      <w:szCs w:val="24"/>
      <w:u w:val="none"/>
    </w:rPr>
  </w:style>
  <w:style w:type="character" w:customStyle="1" w:styleId="34">
    <w:name w:val="font61"/>
    <w:basedOn w:val="16"/>
    <w:qFormat/>
    <w:uiPriority w:val="0"/>
    <w:rPr>
      <w:rFonts w:hint="eastAsia" w:ascii="仿宋_GB2312" w:eastAsia="仿宋_GB2312" w:cs="仿宋_GB2312"/>
      <w:color w:val="000000"/>
      <w:sz w:val="28"/>
      <w:szCs w:val="28"/>
      <w:u w:val="none"/>
    </w:rPr>
  </w:style>
  <w:style w:type="character" w:customStyle="1" w:styleId="35">
    <w:name w:val="font11"/>
    <w:basedOn w:val="16"/>
    <w:qFormat/>
    <w:uiPriority w:val="0"/>
    <w:rPr>
      <w:rFonts w:hint="eastAsia" w:ascii="宋体" w:hAnsi="宋体" w:eastAsia="宋体" w:cs="宋体"/>
      <w:color w:val="000000"/>
      <w:sz w:val="28"/>
      <w:szCs w:val="28"/>
      <w:u w:val="none"/>
    </w:rPr>
  </w:style>
  <w:style w:type="paragraph" w:customStyle="1" w:styleId="36">
    <w:name w:val="修订4"/>
    <w:hidden/>
    <w:semiHidden/>
    <w:qFormat/>
    <w:uiPriority w:val="99"/>
    <w:rPr>
      <w:rFonts w:ascii="Times New Roman" w:hAnsi="Times New Roman" w:eastAsia="仿宋_GB2312" w:cstheme="minorBidi"/>
      <w:kern w:val="2"/>
      <w:sz w:val="32"/>
      <w:szCs w:val="22"/>
      <w:lang w:val="en-US" w:eastAsia="zh-CN" w:bidi="ar-SA"/>
    </w:rPr>
  </w:style>
  <w:style w:type="paragraph" w:customStyle="1" w:styleId="37">
    <w:name w:val="WPSOffice手动目录 1"/>
    <w:basedOn w:val="1"/>
    <w:qFormat/>
    <w:uiPriority w:val="0"/>
    <w:pPr>
      <w:ind w:firstLine="0" w:firstLineChars="0"/>
    </w:pPr>
    <w:rPr>
      <w:sz w:val="30"/>
      <w:szCs w:val="20"/>
    </w:rPr>
  </w:style>
  <w:style w:type="character" w:customStyle="1" w:styleId="38">
    <w:name w:val="标题 4 字符"/>
    <w:basedOn w:val="16"/>
    <w:link w:val="4"/>
    <w:semiHidden/>
    <w:qFormat/>
    <w:uiPriority w:val="0"/>
    <w:rPr>
      <w:rFonts w:ascii="Arial" w:hAnsi="Arial" w:eastAsia="仿宋" w:cstheme="minorBidi"/>
      <w:b/>
      <w:kern w:val="2"/>
      <w:sz w:val="32"/>
      <w:szCs w:val="21"/>
    </w:rPr>
  </w:style>
  <w:style w:type="character" w:customStyle="1" w:styleId="39">
    <w:name w:val="font12"/>
    <w:basedOn w:val="16"/>
    <w:qFormat/>
    <w:uiPriority w:val="0"/>
    <w:rPr>
      <w:rFonts w:hint="eastAsia" w:ascii="仿宋" w:hAnsi="仿宋" w:eastAsia="仿宋" w:cs="仿宋"/>
      <w:color w:val="000000"/>
      <w:sz w:val="20"/>
      <w:szCs w:val="20"/>
      <w:u w:val="none"/>
    </w:rPr>
  </w:style>
  <w:style w:type="character" w:customStyle="1" w:styleId="40">
    <w:name w:val="font81"/>
    <w:basedOn w:val="16"/>
    <w:qFormat/>
    <w:uiPriority w:val="0"/>
    <w:rPr>
      <w:rFonts w:hint="eastAsia" w:ascii="仿宋" w:hAnsi="仿宋" w:eastAsia="仿宋" w:cs="仿宋"/>
      <w:color w:val="7030A0"/>
      <w:sz w:val="20"/>
      <w:szCs w:val="20"/>
      <w:u w:val="none"/>
    </w:rPr>
  </w:style>
  <w:style w:type="character" w:customStyle="1" w:styleId="41">
    <w:name w:val="font71"/>
    <w:basedOn w:val="16"/>
    <w:qFormat/>
    <w:uiPriority w:val="0"/>
    <w:rPr>
      <w:rFonts w:hint="eastAsia" w:ascii="仿宋" w:hAnsi="仿宋" w:eastAsia="仿宋" w:cs="仿宋"/>
      <w:color w:val="000000"/>
      <w:sz w:val="20"/>
      <w:szCs w:val="20"/>
      <w:u w:val="none"/>
    </w:rPr>
  </w:style>
  <w:style w:type="character" w:customStyle="1" w:styleId="42">
    <w:name w:val="font91"/>
    <w:basedOn w:val="16"/>
    <w:qFormat/>
    <w:uiPriority w:val="0"/>
    <w:rPr>
      <w:rFonts w:hint="eastAsia" w:ascii="仿宋" w:hAnsi="仿宋" w:eastAsia="仿宋" w:cs="仿宋"/>
      <w:color w:val="C65911"/>
      <w:sz w:val="20"/>
      <w:szCs w:val="20"/>
      <w:u w:val="none"/>
    </w:rPr>
  </w:style>
  <w:style w:type="character" w:customStyle="1" w:styleId="43">
    <w:name w:val="font51"/>
    <w:basedOn w:val="16"/>
    <w:qFormat/>
    <w:uiPriority w:val="0"/>
    <w:rPr>
      <w:rFonts w:hint="eastAsia" w:ascii="仿宋" w:hAnsi="仿宋" w:eastAsia="仿宋" w:cs="仿宋"/>
      <w:color w:val="0070C0"/>
      <w:sz w:val="20"/>
      <w:szCs w:val="20"/>
      <w:u w:val="none"/>
    </w:rPr>
  </w:style>
  <w:style w:type="character" w:customStyle="1" w:styleId="44">
    <w:name w:val="font111"/>
    <w:basedOn w:val="16"/>
    <w:qFormat/>
    <w:uiPriority w:val="0"/>
    <w:rPr>
      <w:rFonts w:hint="eastAsia" w:ascii="仿宋" w:hAnsi="仿宋" w:eastAsia="仿宋" w:cs="仿宋"/>
      <w:color w:val="305496"/>
      <w:sz w:val="20"/>
      <w:szCs w:val="20"/>
      <w:u w:val="none"/>
    </w:rPr>
  </w:style>
  <w:style w:type="character" w:customStyle="1" w:styleId="45">
    <w:name w:val="font41"/>
    <w:basedOn w:val="16"/>
    <w:qFormat/>
    <w:uiPriority w:val="0"/>
    <w:rPr>
      <w:rFonts w:hint="eastAsia" w:ascii="仿宋" w:hAnsi="仿宋" w:eastAsia="仿宋" w:cs="仿宋"/>
      <w:color w:val="0070C0"/>
      <w:sz w:val="20"/>
      <w:szCs w:val="20"/>
      <w:u w:val="none"/>
    </w:rPr>
  </w:style>
  <w:style w:type="character" w:customStyle="1" w:styleId="46">
    <w:name w:val="font121"/>
    <w:basedOn w:val="16"/>
    <w:qFormat/>
    <w:uiPriority w:val="0"/>
    <w:rPr>
      <w:rFonts w:hint="eastAsia" w:ascii="仿宋" w:hAnsi="仿宋" w:eastAsia="仿宋" w:cs="仿宋"/>
      <w:color w:val="305496"/>
      <w:sz w:val="20"/>
      <w:szCs w:val="20"/>
      <w:u w:val="none"/>
    </w:rPr>
  </w:style>
  <w:style w:type="character" w:customStyle="1" w:styleId="47">
    <w:name w:val="font112"/>
    <w:basedOn w:val="16"/>
    <w:qFormat/>
    <w:uiPriority w:val="0"/>
    <w:rPr>
      <w:rFonts w:hint="eastAsia" w:ascii="仿宋" w:hAnsi="仿宋" w:eastAsia="仿宋" w:cs="仿宋"/>
      <w:color w:val="305496"/>
      <w:sz w:val="20"/>
      <w:szCs w:val="20"/>
      <w:u w:val="none"/>
    </w:rPr>
  </w:style>
  <w:style w:type="character" w:customStyle="1" w:styleId="48">
    <w:name w:val="font101"/>
    <w:basedOn w:val="16"/>
    <w:qFormat/>
    <w:uiPriority w:val="0"/>
    <w:rPr>
      <w:rFonts w:hint="eastAsia" w:ascii="仿宋" w:hAnsi="仿宋" w:eastAsia="仿宋" w:cs="仿宋"/>
      <w:color w:val="7030A0"/>
      <w:sz w:val="20"/>
      <w:szCs w:val="20"/>
      <w:u w:val="none"/>
    </w:rPr>
  </w:style>
  <w:style w:type="character" w:customStyle="1" w:styleId="49">
    <w:name w:val="font13"/>
    <w:basedOn w:val="16"/>
    <w:qFormat/>
    <w:uiPriority w:val="0"/>
    <w:rPr>
      <w:rFonts w:hint="eastAsia" w:ascii="仿宋" w:hAnsi="仿宋" w:eastAsia="仿宋" w:cs="仿宋"/>
      <w:color w:val="000000"/>
      <w:sz w:val="20"/>
      <w:szCs w:val="20"/>
      <w:u w:val="none"/>
    </w:rPr>
  </w:style>
  <w:style w:type="character" w:customStyle="1" w:styleId="50">
    <w:name w:val="font122"/>
    <w:basedOn w:val="16"/>
    <w:qFormat/>
    <w:uiPriority w:val="0"/>
    <w:rPr>
      <w:rFonts w:hint="eastAsia" w:ascii="宋体" w:hAnsi="宋体" w:eastAsia="宋体" w:cs="宋体"/>
      <w:color w:val="000000"/>
      <w:sz w:val="20"/>
      <w:szCs w:val="20"/>
      <w:u w:val="none"/>
    </w:rPr>
  </w:style>
  <w:style w:type="character" w:customStyle="1" w:styleId="51">
    <w:name w:val="font131"/>
    <w:basedOn w:val="16"/>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header" Target="header4.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zU1NTI3MDg1OTk2IiwKCSJHcm91cElkIiA6ICIxMjIxMjQ1NzIyIiwKCSJJbWFnZSIgOiAiaVZCT1J3MEtHZ29BQUFBTlNVaEVVZ0FBQmF3QUFBaGdDQVlBQUFEQ28zc3lBQUFBQVhOU1IwSUFyczRjNlFBQUlBQkpSRUZVZUp6czNYZDgxZFg5eC9IM3VTTUpZWTh3UW9DSTdDVWJCUlVGZ2FvZ0tBNFVVS1FnMVdwVmlvc1cwS3EwT05HNkJaVHFUeFFyS0NoTGlJQU1RYVpnTkJKRGdMQmtCQWdKV2ZkN2ZuOWdiaE15U0ZnMzQvVjhQUHJvdmVlYzcvbSt2Mm1CbTA5T3pwR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UENhL3c4MzR2dHpqRFBLWXdBQUFBQkpSVTVFcmtKZ2dnPT0iLAoJIlRoZW1lIiA6ICIiLAoJIlR5cGUiIDogImZsb3ciLAoJIlVzZXJJZCIgOiAiIiwKCSJWZXJzaW9uIiA6ICI0MS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49</Pages>
  <Words>20654</Words>
  <Characters>23349</Characters>
  <Lines>1651</Lines>
  <Paragraphs>1439</Paragraphs>
  <TotalTime>25</TotalTime>
  <ScaleCrop>false</ScaleCrop>
  <LinksUpToDate>false</LinksUpToDate>
  <CharactersWithSpaces>23698</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2025-05-13T05:38:00Z</dcterms:created>
  <dc:creator>ZQ</dc:creator>
  <cp:lastModifiedBy>爆米花</cp:lastModifiedBy>
  <cp:lastPrinted>2025-09-15T01:29:00Z</cp:lastPrinted>
  <dcterms:modified xsi:type="dcterms:W3CDTF">2025-11-22T03:48:18Z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F729330DD13E4129B0446C56B8298498_13</vt:lpwstr>
  </property>
  <property fmtid="{D5CDD505-2E9C-101B-9397-08002B2CF9AE}" pid="4" name="KSOTemplateDocerSaveRecord">
    <vt:lpwstr>eyJoZGlkIjoiZmZhNDZlODRiZmNiNzEzZDk1ODg2NzdhOWFhYTk1YzYiLCJ1c2VySWQiOiI0NTE5OTE2OTAifQ==</vt:lpwstr>
  </property>
</Properties>
</file>