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2760"/>
        </w:tabs>
        <w:kinsoku/>
        <w:wordWrap/>
        <w:overflowPunct/>
        <w:topLinePunct w:val="0"/>
        <w:autoSpaceDE w:val="0"/>
        <w:autoSpaceDN w:val="0"/>
        <w:bidi w:val="0"/>
        <w:adjustRightInd/>
        <w:snapToGrid/>
        <w:spacing w:before="0" w:after="0" w:line="560" w:lineRule="exact"/>
        <w:ind w:left="0" w:right="0"/>
        <w:jc w:val="left"/>
        <w:textAlignment w:val="auto"/>
        <w:outlineLvl w:val="9"/>
        <w:rPr>
          <w:rFonts w:hint="eastAsia" w:ascii="仿宋_GB2312" w:hAnsi="仿宋_GB2312" w:eastAsia="仿宋_GB2312" w:cs="仿宋_GB2312"/>
          <w:color w:val="auto"/>
          <w:kern w:val="0"/>
          <w:sz w:val="32"/>
          <w:szCs w:val="32"/>
          <w:highlight w:val="none"/>
          <w:lang w:eastAsia="en-US"/>
        </w:rPr>
      </w:pPr>
      <w:r>
        <w:rPr>
          <w:rFonts w:hint="eastAsia" w:ascii="黑体" w:hAnsi="黑体" w:eastAsia="黑体" w:cs="黑体"/>
          <w:color w:val="auto"/>
          <w:kern w:val="0"/>
          <w:sz w:val="32"/>
          <w:szCs w:val="32"/>
          <w:highlight w:val="none"/>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rPr>
      </w:pPr>
      <w:bookmarkStart w:id="2" w:name="_GoBack"/>
      <w:r>
        <w:rPr>
          <w:rFonts w:hint="eastAsia" w:ascii="方正小标宋简体" w:hAnsi="方正小标宋简体" w:eastAsia="方正小标宋简体" w:cs="方正小标宋简体"/>
          <w:color w:val="auto"/>
          <w:sz w:val="44"/>
          <w:szCs w:val="44"/>
          <w:highlight w:val="none"/>
        </w:rPr>
        <w:t>北京市密云区</w:t>
      </w:r>
      <w:r>
        <w:rPr>
          <w:rFonts w:hint="eastAsia" w:ascii="方正小标宋简体" w:hAnsi="方正小标宋简体" w:eastAsia="方正小标宋简体" w:cs="方正小标宋简体"/>
          <w:color w:val="auto"/>
          <w:sz w:val="44"/>
          <w:szCs w:val="44"/>
          <w:highlight w:val="none"/>
          <w:lang w:val="en-US" w:eastAsia="zh-CN"/>
        </w:rPr>
        <w:t>蓝天保卫战</w:t>
      </w: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5</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val="en-US" w:eastAsia="zh-CN"/>
        </w:rPr>
        <w:t>行动计划</w:t>
      </w:r>
    </w:p>
    <w:bookmarkEnd w:id="2"/>
    <w:tbl>
      <w:tblPr>
        <w:tblStyle w:val="5"/>
        <w:tblW w:w="14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45"/>
        <w:gridCol w:w="5884"/>
        <w:gridCol w:w="1229"/>
        <w:gridCol w:w="2043"/>
        <w:gridCol w:w="7"/>
        <w:gridCol w:w="2364"/>
        <w:gridCol w:w="2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blHeader/>
          <w:jc w:val="center"/>
        </w:trPr>
        <w:tc>
          <w:tcPr>
            <w:tcW w:w="464"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7" w:line="440" w:lineRule="exact"/>
              <w:ind w:left="118" w:right="109"/>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序号</w:t>
            </w:r>
          </w:p>
        </w:tc>
        <w:tc>
          <w:tcPr>
            <w:tcW w:w="945"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7" w:line="440" w:lineRule="exact"/>
              <w:ind w:left="120" w:right="107"/>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重点任务</w:t>
            </w:r>
          </w:p>
        </w:tc>
        <w:tc>
          <w:tcPr>
            <w:tcW w:w="5884"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189" w:line="440" w:lineRule="exact"/>
              <w:ind w:left="2184" w:right="2175"/>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工作措施</w:t>
            </w:r>
          </w:p>
        </w:tc>
        <w:tc>
          <w:tcPr>
            <w:tcW w:w="1229"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outlineLvl w:val="9"/>
              <w:rPr>
                <w:rFonts w:hint="eastAsia" w:ascii="黑体" w:eastAsia="黑体"/>
                <w:i w:val="0"/>
                <w:iCs w:val="0"/>
                <w:color w:val="auto"/>
                <w:sz w:val="28"/>
                <w:highlight w:val="none"/>
                <w:lang w:val="en-US" w:eastAsia="zh-CN"/>
              </w:rPr>
            </w:pPr>
            <w:r>
              <w:rPr>
                <w:rFonts w:hint="eastAsia" w:ascii="黑体" w:eastAsia="黑体"/>
                <w:i w:val="0"/>
                <w:iCs w:val="0"/>
                <w:color w:val="auto"/>
                <w:sz w:val="28"/>
                <w:highlight w:val="none"/>
                <w:lang w:val="en-US" w:eastAsia="zh-CN"/>
              </w:rPr>
              <w:t>完成</w:t>
            </w:r>
          </w:p>
          <w:p>
            <w:pPr>
              <w:pStyle w:val="7"/>
              <w:keepNext w:val="0"/>
              <w:keepLines w:val="0"/>
              <w:pageBreakBefore w:val="0"/>
              <w:widowControl w:val="0"/>
              <w:kinsoku/>
              <w:wordWrap/>
              <w:overflowPunct/>
              <w:topLinePunct w:val="0"/>
              <w:autoSpaceDE w:val="0"/>
              <w:autoSpaceDN w:val="0"/>
              <w:bidi w:val="0"/>
              <w:adjustRightInd/>
              <w:snapToGrid/>
              <w:spacing w:line="440" w:lineRule="exact"/>
              <w:ind w:left="0" w:right="0"/>
              <w:jc w:val="center"/>
              <w:textAlignment w:val="auto"/>
              <w:outlineLvl w:val="9"/>
              <w:rPr>
                <w:rFonts w:hint="default" w:ascii="黑体" w:eastAsia="黑体"/>
                <w:i w:val="0"/>
                <w:iCs w:val="0"/>
                <w:color w:val="auto"/>
                <w:sz w:val="28"/>
                <w:highlight w:val="none"/>
                <w:lang w:val="en-US" w:eastAsia="zh-CN"/>
              </w:rPr>
            </w:pPr>
            <w:r>
              <w:rPr>
                <w:rFonts w:hint="eastAsia" w:ascii="黑体" w:eastAsia="黑体"/>
                <w:i w:val="0"/>
                <w:iCs w:val="0"/>
                <w:color w:val="auto"/>
                <w:sz w:val="28"/>
                <w:highlight w:val="none"/>
                <w:lang w:val="en-US" w:eastAsia="zh-CN"/>
              </w:rPr>
              <w:t>时限</w:t>
            </w:r>
          </w:p>
        </w:tc>
        <w:tc>
          <w:tcPr>
            <w:tcW w:w="2043"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189" w:line="440" w:lineRule="exact"/>
              <w:ind w:left="66" w:right="58"/>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牵头部门</w:t>
            </w:r>
          </w:p>
        </w:tc>
        <w:tc>
          <w:tcPr>
            <w:tcW w:w="2371" w:type="dxa"/>
            <w:gridSpan w:val="2"/>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189" w:line="440" w:lineRule="exact"/>
              <w:ind w:left="13" w:right="4"/>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主责单位</w:t>
            </w:r>
          </w:p>
        </w:tc>
        <w:tc>
          <w:tcPr>
            <w:tcW w:w="2004" w:type="dxa"/>
            <w:noWrap w:val="0"/>
            <w:vAlign w:val="top"/>
          </w:tcPr>
          <w:p>
            <w:pPr>
              <w:pStyle w:val="7"/>
              <w:keepNext w:val="0"/>
              <w:keepLines w:val="0"/>
              <w:pageBreakBefore w:val="0"/>
              <w:widowControl w:val="0"/>
              <w:kinsoku/>
              <w:wordWrap/>
              <w:overflowPunct/>
              <w:topLinePunct w:val="0"/>
              <w:autoSpaceDE w:val="0"/>
              <w:autoSpaceDN w:val="0"/>
              <w:bidi w:val="0"/>
              <w:adjustRightInd/>
              <w:snapToGrid/>
              <w:spacing w:before="189" w:line="440" w:lineRule="exact"/>
              <w:ind w:left="63" w:right="122" w:rightChars="0"/>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4940" w:type="dxa"/>
            <w:gridSpan w:val="8"/>
            <w:noWrap w:val="0"/>
            <w:vAlign w:val="top"/>
          </w:tcPr>
          <w:p>
            <w:pPr>
              <w:pStyle w:val="7"/>
              <w:spacing w:before="40"/>
              <w:ind w:left="5016" w:right="5007"/>
              <w:jc w:val="center"/>
              <w:rPr>
                <w:rFonts w:hint="eastAsia" w:ascii="黑体" w:eastAsia="黑体"/>
                <w:i w:val="0"/>
                <w:iCs w:val="0"/>
                <w:color w:val="auto"/>
                <w:sz w:val="28"/>
                <w:highlight w:val="none"/>
              </w:rPr>
            </w:pPr>
            <w:r>
              <w:rPr>
                <w:rFonts w:hint="eastAsia" w:ascii="黑体" w:eastAsia="黑体"/>
                <w:i w:val="0"/>
                <w:iCs w:val="0"/>
                <w:color w:val="auto"/>
                <w:sz w:val="28"/>
                <w:highlight w:val="none"/>
              </w:rPr>
              <w:t>一、主要目标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4"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i w:val="0"/>
                <w:iCs w:val="0"/>
                <w:color w:val="auto"/>
                <w:sz w:val="28"/>
                <w:highlight w:val="none"/>
              </w:rPr>
            </w:pPr>
            <w:r>
              <w:rPr>
                <w:i w:val="0"/>
                <w:iCs w:val="0"/>
                <w:color w:val="auto"/>
                <w:w w:val="100"/>
                <w:sz w:val="28"/>
                <w:highlight w:val="none"/>
              </w:rPr>
              <w:t>1</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r>
              <w:rPr>
                <w:i w:val="0"/>
                <w:iCs w:val="0"/>
                <w:color w:val="auto"/>
                <w:sz w:val="28"/>
                <w:highlight w:val="none"/>
              </w:rPr>
              <w:t>空气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pacing w:val="-1"/>
                <w:sz w:val="28"/>
                <w:highlight w:val="none"/>
              </w:rPr>
            </w:pPr>
            <w:r>
              <w:rPr>
                <w:i w:val="0"/>
                <w:iCs w:val="0"/>
                <w:color w:val="auto"/>
                <w:spacing w:val="-1"/>
                <w:sz w:val="28"/>
                <w:highlight w:val="none"/>
              </w:rPr>
              <w:t>质量</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r>
              <w:rPr>
                <w:i w:val="0"/>
                <w:iCs w:val="0"/>
                <w:color w:val="auto"/>
                <w:sz w:val="28"/>
                <w:highlight w:val="none"/>
              </w:rPr>
              <w:t>目标</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both"/>
              <w:textAlignment w:val="auto"/>
              <w:outlineLvl w:val="9"/>
              <w:rPr>
                <w:rFonts w:hint="default"/>
                <w:i w:val="0"/>
                <w:iCs w:val="0"/>
                <w:color w:val="auto"/>
                <w:sz w:val="28"/>
                <w:highlight w:val="none"/>
                <w:lang w:val="en-US" w:eastAsia="zh-CN"/>
              </w:rPr>
            </w:pPr>
            <w:r>
              <w:rPr>
                <w:i w:val="0"/>
                <w:iCs w:val="0"/>
                <w:color w:val="auto"/>
                <w:sz w:val="28"/>
                <w:highlight w:val="none"/>
              </w:rPr>
              <w:t>全区尽最大努力巩固空气质量改善成效</w:t>
            </w:r>
            <w:r>
              <w:rPr>
                <w:rFonts w:hint="eastAsia"/>
                <w:i w:val="0"/>
                <w:iCs w:val="0"/>
                <w:color w:val="auto"/>
                <w:sz w:val="28"/>
                <w:highlight w:val="none"/>
                <w:lang w:eastAsia="zh-CN"/>
              </w:rPr>
              <w:t>，细颗粒物浓度</w:t>
            </w:r>
            <w:r>
              <w:rPr>
                <w:i w:val="0"/>
                <w:iCs w:val="0"/>
                <w:color w:val="auto"/>
                <w:sz w:val="28"/>
                <w:highlight w:val="none"/>
              </w:rPr>
              <w:t>控制在</w:t>
            </w:r>
            <w:r>
              <w:rPr>
                <w:rFonts w:hint="eastAsia"/>
                <w:i w:val="0"/>
                <w:iCs w:val="0"/>
                <w:color w:val="auto"/>
                <w:sz w:val="28"/>
                <w:highlight w:val="none"/>
                <w:lang w:val="en-US" w:eastAsia="zh-CN"/>
              </w:rPr>
              <w:t>27</w:t>
            </w:r>
            <w:r>
              <w:rPr>
                <w:i w:val="0"/>
                <w:iCs w:val="0"/>
                <w:color w:val="auto"/>
                <w:sz w:val="28"/>
                <w:highlight w:val="none"/>
              </w:rPr>
              <w:t>微克每立方米</w:t>
            </w:r>
            <w:r>
              <w:rPr>
                <w:rFonts w:hint="eastAsia"/>
                <w:i w:val="0"/>
                <w:iCs w:val="0"/>
                <w:color w:val="auto"/>
                <w:sz w:val="28"/>
                <w:highlight w:val="none"/>
                <w:lang w:eastAsia="zh-CN"/>
              </w:rPr>
              <w:t>。</w:t>
            </w:r>
            <w:r>
              <w:rPr>
                <w:i w:val="0"/>
                <w:iCs w:val="0"/>
                <w:color w:val="auto"/>
                <w:sz w:val="28"/>
                <w:highlight w:val="none"/>
              </w:rPr>
              <w:t>优良</w:t>
            </w:r>
            <w:r>
              <w:rPr>
                <w:rFonts w:hint="eastAsia"/>
                <w:i w:val="0"/>
                <w:iCs w:val="0"/>
                <w:color w:val="auto"/>
                <w:sz w:val="28"/>
                <w:highlight w:val="none"/>
                <w:lang w:val="en-US" w:eastAsia="zh-CN"/>
              </w:rPr>
              <w:t>天</w:t>
            </w:r>
            <w:r>
              <w:rPr>
                <w:i w:val="0"/>
                <w:iCs w:val="0"/>
                <w:color w:val="auto"/>
                <w:sz w:val="28"/>
                <w:highlight w:val="none"/>
              </w:rPr>
              <w:t>比率达到</w:t>
            </w:r>
            <w:r>
              <w:rPr>
                <w:rFonts w:hint="eastAsia"/>
                <w:i w:val="0"/>
                <w:iCs w:val="0"/>
                <w:color w:val="auto"/>
                <w:sz w:val="28"/>
                <w:highlight w:val="none"/>
                <w:lang w:val="en-US" w:eastAsia="zh-CN"/>
              </w:rPr>
              <w:t>80</w:t>
            </w:r>
            <w:r>
              <w:rPr>
                <w:i w:val="0"/>
                <w:iCs w:val="0"/>
                <w:color w:val="auto"/>
                <w:sz w:val="28"/>
                <w:highlight w:val="none"/>
              </w:rPr>
              <w:t>%以上，</w:t>
            </w:r>
            <w:r>
              <w:rPr>
                <w:rFonts w:hint="eastAsia" w:ascii="仿宋_GB2312" w:hAnsi="仿宋_GB2312" w:eastAsia="仿宋_GB2312" w:cs="仿宋_GB2312"/>
                <w:color w:val="auto"/>
                <w:sz w:val="28"/>
                <w:szCs w:val="28"/>
                <w:highlight w:val="none"/>
              </w:rPr>
              <w:t>重污染天数比率</w:t>
            </w:r>
            <w:r>
              <w:rPr>
                <w:rFonts w:hint="eastAsia" w:cs="仿宋_GB2312"/>
                <w:color w:val="auto"/>
                <w:sz w:val="28"/>
                <w:szCs w:val="28"/>
                <w:highlight w:val="none"/>
                <w:lang w:val="en-US" w:eastAsia="zh-CN"/>
              </w:rPr>
              <w:t>控制在3天</w:t>
            </w:r>
            <w:r>
              <w:rPr>
                <w:rFonts w:hint="eastAsia"/>
                <w:i w:val="0"/>
                <w:iCs w:val="0"/>
                <w:color w:val="auto"/>
                <w:sz w:val="28"/>
                <w:highlight w:val="none"/>
                <w:lang w:val="en-US" w:eastAsia="zh-CN"/>
              </w:rPr>
              <w:t>以内。</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年底前</w:t>
            </w:r>
          </w:p>
        </w:tc>
        <w:tc>
          <w:tcPr>
            <w:tcW w:w="204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tc>
        <w:tc>
          <w:tcPr>
            <w:tcW w:w="2371"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pacing w:val="-3"/>
                <w:sz w:val="28"/>
                <w:highlight w:val="none"/>
              </w:rPr>
              <w:t>区农业农村局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pacing w:val="-3"/>
                <w:sz w:val="28"/>
                <w:highlight w:val="none"/>
              </w:rPr>
              <w:t>区城管执法局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等部门</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rFonts w:hint="eastAsia" w:eastAsia="仿宋_GB2312"/>
                <w:i w:val="0"/>
                <w:iCs w:val="0"/>
                <w:color w:val="auto"/>
                <w:sz w:val="28"/>
                <w:highlight w:val="none"/>
                <w:lang w:val="en-US" w:eastAsia="zh-CN"/>
              </w:rPr>
            </w:pPr>
            <w:r>
              <w:rPr>
                <w:i w:val="0"/>
                <w:iCs w:val="0"/>
                <w:color w:val="auto"/>
                <w:spacing w:val="-11"/>
                <w:sz w:val="28"/>
                <w:highlight w:val="none"/>
              </w:rPr>
              <w:t>中关村密云园</w:t>
            </w:r>
            <w:r>
              <w:rPr>
                <w:rFonts w:hint="eastAsia"/>
                <w:i w:val="0"/>
                <w:iCs w:val="0"/>
                <w:color w:val="auto"/>
                <w:spacing w:val="-11"/>
                <w:sz w:val="28"/>
                <w:highlight w:val="none"/>
                <w:lang w:val="en-US" w:eastAsia="zh-CN"/>
              </w:rPr>
              <w:t>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1" w:leftChars="0" w:right="0" w:rightChars="0"/>
              <w:jc w:val="center"/>
              <w:textAlignment w:val="auto"/>
              <w:outlineLvl w:val="9"/>
              <w:rPr>
                <w:i w:val="0"/>
                <w:iCs w:val="0"/>
                <w:color w:val="auto"/>
                <w:w w:val="100"/>
                <w:sz w:val="28"/>
                <w:highlight w:val="none"/>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243" w:line="360" w:lineRule="exact"/>
              <w:ind w:left="120" w:leftChars="0" w:right="107" w:rightChars="0"/>
              <w:jc w:val="both"/>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i w:val="0"/>
                <w:iCs w:val="0"/>
                <w:color w:val="auto"/>
                <w:spacing w:val="0"/>
                <w:sz w:val="28"/>
                <w:highlight w:val="none"/>
              </w:rPr>
              <w:t>各镇街（地区）</w:t>
            </w:r>
            <w:r>
              <w:rPr>
                <w:rFonts w:hint="eastAsia"/>
                <w:i w:val="0"/>
                <w:iCs w:val="0"/>
                <w:color w:val="auto"/>
                <w:spacing w:val="0"/>
                <w:sz w:val="28"/>
                <w:highlight w:val="none"/>
                <w:lang w:eastAsia="zh-CN"/>
              </w:rPr>
              <w:t>、</w:t>
            </w:r>
            <w:r>
              <w:rPr>
                <w:i w:val="0"/>
                <w:iCs w:val="0"/>
                <w:color w:val="auto"/>
                <w:spacing w:val="0"/>
                <w:sz w:val="28"/>
                <w:highlight w:val="none"/>
              </w:rPr>
              <w:t>中关村密云园</w:t>
            </w:r>
            <w:r>
              <w:rPr>
                <w:rFonts w:hint="eastAsia"/>
                <w:i w:val="0"/>
                <w:iCs w:val="0"/>
                <w:color w:val="auto"/>
                <w:spacing w:val="0"/>
                <w:sz w:val="28"/>
                <w:highlight w:val="none"/>
                <w:lang w:val="en-US" w:eastAsia="zh-CN"/>
              </w:rPr>
              <w:t>尽</w:t>
            </w:r>
            <w:r>
              <w:rPr>
                <w:i w:val="0"/>
                <w:iCs w:val="0"/>
                <w:color w:val="auto"/>
                <w:spacing w:val="0"/>
                <w:sz w:val="28"/>
                <w:highlight w:val="none"/>
              </w:rPr>
              <w:t>最大努力巩固空气质量改善成效，细颗粒物浓度同比改善或持平。</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4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2</w:t>
            </w:r>
          </w:p>
        </w:tc>
        <w:tc>
          <w:tcPr>
            <w:tcW w:w="945"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总量</w:t>
            </w:r>
          </w:p>
          <w:p>
            <w:pPr>
              <w:pStyle w:val="7"/>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减排</w:t>
            </w:r>
          </w:p>
          <w:p>
            <w:pPr>
              <w:pStyle w:val="7"/>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目标</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right="0"/>
              <w:jc w:val="both"/>
              <w:textAlignment w:val="auto"/>
              <w:outlineLvl w:val="9"/>
              <w:rPr>
                <w:i w:val="0"/>
                <w:iCs w:val="0"/>
                <w:color w:val="auto"/>
                <w:sz w:val="28"/>
                <w:highlight w:val="none"/>
              </w:rPr>
            </w:pPr>
            <w:r>
              <w:rPr>
                <w:rFonts w:hint="eastAsia"/>
                <w:color w:val="auto"/>
                <w:sz w:val="28"/>
                <w:szCs w:val="28"/>
                <w:highlight w:val="none"/>
                <w:lang w:val="en-US" w:eastAsia="zh-CN"/>
              </w:rPr>
              <w:t>完成“十四五”挥发性有机物（VOCs）、氮氧化物（NOx）减排目标任务。新增涉气建设项目严格执行VOCs、NOx等主要污染物排放总量控制，实施“减二增一”削减量替代审批制度。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371"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pacing w:val="-2"/>
                <w:sz w:val="28"/>
                <w:highlight w:val="none"/>
              </w:rPr>
            </w:pPr>
            <w:r>
              <w:rPr>
                <w:rFonts w:hint="eastAsia"/>
                <w:i w:val="0"/>
                <w:iCs w:val="0"/>
                <w:color w:val="auto"/>
                <w:spacing w:val="-2"/>
                <w:sz w:val="28"/>
                <w:highlight w:val="none"/>
                <w:lang w:val="en-US" w:eastAsia="zh-CN"/>
              </w:rPr>
              <w:t>区经济和信息化局</w:t>
            </w:r>
            <w:r>
              <w:rPr>
                <w:i w:val="0"/>
                <w:iCs w:val="0"/>
                <w:color w:val="auto"/>
                <w:spacing w:val="-2"/>
                <w:sz w:val="28"/>
                <w:highlight w:val="none"/>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区交通局  </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pacing w:val="-2"/>
                <w:sz w:val="28"/>
                <w:highlight w:val="none"/>
              </w:rPr>
            </w:pPr>
            <w:r>
              <w:rPr>
                <w:rFonts w:hint="eastAsia"/>
                <w:i w:val="0"/>
                <w:iCs w:val="0"/>
                <w:color w:val="auto"/>
                <w:spacing w:val="-2"/>
                <w:sz w:val="28"/>
                <w:highlight w:val="none"/>
                <w:lang w:val="en-US" w:eastAsia="zh-CN"/>
              </w:rPr>
              <w:t>区发展改革委</w:t>
            </w:r>
            <w:r>
              <w:rPr>
                <w:i w:val="0"/>
                <w:iCs w:val="0"/>
                <w:color w:val="auto"/>
                <w:spacing w:val="-2"/>
                <w:sz w:val="28"/>
                <w:highlight w:val="none"/>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市规划自然资源委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z w:val="28"/>
                <w:highlight w:val="none"/>
              </w:rPr>
            </w:pPr>
            <w:r>
              <w:rPr>
                <w:rFonts w:hint="eastAsia"/>
                <w:i w:val="0"/>
                <w:iCs w:val="0"/>
                <w:color w:val="auto"/>
                <w:spacing w:val="-17"/>
                <w:sz w:val="28"/>
                <w:highlight w:val="none"/>
                <w:lang w:val="en-US" w:eastAsia="zh-CN"/>
              </w:rPr>
              <w:t>密云分局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1"/>
                <w:sz w:val="28"/>
                <w:highlight w:val="none"/>
              </w:rPr>
            </w:pPr>
            <w:r>
              <w:rPr>
                <w:i w:val="0"/>
                <w:iCs w:val="0"/>
                <w:color w:val="auto"/>
                <w:spacing w:val="-11"/>
                <w:sz w:val="28"/>
                <w:highlight w:val="none"/>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4940" w:type="dxa"/>
            <w:gridSpan w:val="8"/>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ascii="黑体" w:eastAsia="黑体"/>
                <w:i w:val="0"/>
                <w:iCs w:val="0"/>
                <w:color w:val="auto"/>
                <w:sz w:val="28"/>
                <w:highlight w:val="none"/>
              </w:rPr>
              <w:t>二、以车（械）</w:t>
            </w:r>
            <w:r>
              <w:rPr>
                <w:rFonts w:hint="eastAsia" w:ascii="黑体" w:eastAsia="黑体"/>
                <w:i w:val="0"/>
                <w:iCs w:val="0"/>
                <w:color w:val="auto"/>
                <w:sz w:val="28"/>
                <w:highlight w:val="none"/>
                <w:lang w:eastAsia="zh-CN"/>
              </w:rPr>
              <w:t>“</w:t>
            </w:r>
            <w:r>
              <w:rPr>
                <w:rFonts w:hint="eastAsia" w:ascii="黑体" w:eastAsia="黑体"/>
                <w:i w:val="0"/>
                <w:iCs w:val="0"/>
                <w:color w:val="auto"/>
                <w:sz w:val="28"/>
                <w:highlight w:val="none"/>
              </w:rPr>
              <w:t>含绿量</w:t>
            </w:r>
            <w:r>
              <w:rPr>
                <w:rFonts w:hint="eastAsia" w:ascii="黑体" w:eastAsia="黑体"/>
                <w:i w:val="0"/>
                <w:iCs w:val="0"/>
                <w:color w:val="auto"/>
                <w:sz w:val="28"/>
                <w:highlight w:val="none"/>
                <w:lang w:eastAsia="zh-CN"/>
              </w:rPr>
              <w:t>”</w:t>
            </w:r>
            <w:r>
              <w:rPr>
                <w:rFonts w:hint="eastAsia" w:ascii="黑体" w:eastAsia="黑体"/>
                <w:i w:val="0"/>
                <w:iCs w:val="0"/>
                <w:color w:val="auto"/>
                <w:sz w:val="28"/>
                <w:highlight w:val="none"/>
              </w:rPr>
              <w:t>提升为重点，推动结构减排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jc w:val="center"/>
        </w:trPr>
        <w:tc>
          <w:tcPr>
            <w:tcW w:w="4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20" w:lineRule="exact"/>
              <w:ind w:left="11" w:leftChars="0" w:right="0" w:rightChars="0"/>
              <w:jc w:val="center"/>
              <w:textAlignment w:val="auto"/>
              <w:outlineLvl w:val="9"/>
              <w:rPr>
                <w:i w:val="0"/>
                <w:iCs w:val="0"/>
                <w:color w:val="auto"/>
                <w:w w:val="100"/>
                <w:sz w:val="28"/>
                <w:highlight w:val="none"/>
              </w:rPr>
            </w:pPr>
            <w:r>
              <w:rPr>
                <w:rFonts w:hint="eastAsia"/>
                <w:i w:val="0"/>
                <w:iCs w:val="0"/>
                <w:color w:val="auto"/>
                <w:w w:val="100"/>
                <w:sz w:val="28"/>
                <w:highlight w:val="none"/>
                <w:lang w:val="en-US" w:eastAsia="zh-CN"/>
              </w:rPr>
              <w:t>3</w:t>
            </w:r>
          </w:p>
        </w:tc>
        <w:tc>
          <w:tcPr>
            <w:tcW w:w="945"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rPr>
              <w:t>大力推动新能源车推广应用</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按照“十四五”规划目标和相关实施方案，发挥“两新”政策激励作用，加大新能源车推广力度，落实新能源车年度推进计划，并组织实施，明确分行业推广目标任务，力争2025年新增新能源车上牌比例达到市级任务目标。</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年底前</w:t>
            </w:r>
          </w:p>
        </w:tc>
        <w:tc>
          <w:tcPr>
            <w:tcW w:w="2043"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区发展改革委</w:t>
            </w:r>
          </w:p>
        </w:tc>
        <w:tc>
          <w:tcPr>
            <w:tcW w:w="2371"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区商务局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区国资委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hanging="3"/>
              <w:jc w:val="center"/>
              <w:textAlignment w:val="auto"/>
              <w:outlineLvl w:val="9"/>
              <w:rPr>
                <w:i w:val="0"/>
                <w:iCs w:val="0"/>
                <w:color w:val="auto"/>
                <w:spacing w:val="-1"/>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hanging="3"/>
              <w:jc w:val="center"/>
              <w:textAlignment w:val="auto"/>
              <w:outlineLvl w:val="9"/>
              <w:rPr>
                <w:i w:val="0"/>
                <w:iCs w:val="0"/>
                <w:color w:val="auto"/>
                <w:spacing w:val="-1"/>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hanging="3"/>
              <w:jc w:val="center"/>
              <w:textAlignment w:val="auto"/>
              <w:outlineLvl w:val="9"/>
              <w:rPr>
                <w:i w:val="0"/>
                <w:iCs w:val="0"/>
                <w:color w:val="auto"/>
                <w:spacing w:val="-1"/>
                <w:sz w:val="28"/>
                <w:highlight w:val="none"/>
              </w:rPr>
            </w:pPr>
            <w:r>
              <w:rPr>
                <w:i w:val="0"/>
                <w:iCs w:val="0"/>
                <w:color w:val="auto"/>
                <w:spacing w:val="-1"/>
                <w:sz w:val="28"/>
                <w:highlight w:val="none"/>
              </w:rPr>
              <w:t>区财政局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right="0"/>
              <w:jc w:val="both"/>
              <w:textAlignment w:val="auto"/>
              <w:outlineLvl w:val="9"/>
              <w:rPr>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both"/>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1" w:leftChars="0" w:right="0" w:rightChars="0"/>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1" w:leftChars="0" w:right="0" w:rightChars="0"/>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1" w:leftChars="0" w:right="0" w:rightChars="0"/>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1" w:leftChars="0" w:right="0" w:rightChars="0"/>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1" w:leftChars="0" w:right="0" w:rightChars="0"/>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4</w:t>
            </w: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jc w:val="both"/>
              <w:textAlignment w:val="auto"/>
              <w:outlineLvl w:val="9"/>
              <w:rPr>
                <w:rFonts w:hint="eastAsia" w:eastAsia="仿宋_GB2312"/>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4</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default"/>
                <w:i w:val="0"/>
                <w:iCs w:val="0"/>
                <w:color w:val="auto"/>
                <w:spacing w:val="-2"/>
                <w:sz w:val="28"/>
                <w:highlight w:val="none"/>
                <w:lang w:val="en-US" w:eastAsia="zh-CN"/>
              </w:rPr>
            </w:pPr>
            <w:r>
              <w:rPr>
                <w:rFonts w:hint="eastAsia"/>
                <w:i w:val="0"/>
                <w:iCs w:val="0"/>
                <w:color w:val="auto"/>
                <w:spacing w:val="-2"/>
                <w:sz w:val="28"/>
                <w:highlight w:val="none"/>
                <w:lang w:val="en-US" w:eastAsia="zh-CN"/>
              </w:rPr>
              <w:t>4</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rPr>
              <w:t>加快重点行业车新能源化</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rPr>
              <w:t>加快重点行业车新能源化</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both"/>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rPr>
              <w:t>加快重点行业车新能源化</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严格落实《北京市加快国四排放标准营运柴油货车淘汰促进更新轻型新能源货车方案（2024-2025年）》，加大力度淘汰国四重型营运柴油货车，推进货车新能源化。</w:t>
            </w:r>
          </w:p>
        </w:tc>
        <w:tc>
          <w:tcPr>
            <w:tcW w:w="1229"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8" w:leftChars="0" w:right="0" w:rightChars="0" w:hanging="8"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34"/>
                <w:w w:val="95"/>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注册登记货车和大中型客车中新能源车上牌比例达到29%以上。</w:t>
            </w:r>
          </w:p>
        </w:tc>
        <w:tc>
          <w:tcPr>
            <w:tcW w:w="1229"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color w:val="auto"/>
                <w:highlight w:val="none"/>
              </w:rPr>
            </w:pP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rPr>
            </w:pPr>
            <w:r>
              <w:rPr>
                <w:rFonts w:hint="eastAsia"/>
                <w:i w:val="0"/>
                <w:iCs w:val="0"/>
                <w:color w:val="auto"/>
                <w:spacing w:val="-17"/>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区国资委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pacing w:val="-34"/>
                <w:w w:val="95"/>
                <w:sz w:val="28"/>
                <w:highlight w:val="none"/>
                <w:lang w:val="en-US" w:eastAsia="zh-CN"/>
              </w:rPr>
              <w:t>区公安分局交通支队</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1"/>
                <w:sz w:val="28"/>
                <w:highlight w:val="none"/>
              </w:rPr>
            </w:pPr>
            <w:r>
              <w:rPr>
                <w:i w:val="0"/>
                <w:iCs w:val="0"/>
                <w:color w:val="auto"/>
                <w:spacing w:val="-11"/>
                <w:sz w:val="28"/>
                <w:highlight w:val="none"/>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严格落实《关于本市五环路内新能源物流配送车辆优先通行的通告》，向新能源载货汽车提供通行便利。</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区公安分局交通支队</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center"/>
              <w:textAlignment w:val="auto"/>
              <w:outlineLvl w:val="9"/>
              <w:rPr>
                <w:rFonts w:hint="eastAsia"/>
                <w:i w:val="0"/>
                <w:iCs w:val="0"/>
                <w:color w:val="auto"/>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default"/>
                <w:i w:val="0"/>
                <w:iCs w:val="0"/>
                <w:color w:val="auto"/>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color w:val="auto"/>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新增和更新的轻型商超配送车辆80%为纯电动或氢燃料电池汽车。落实进入北京核心区的轻型商超配送车辆为新能源车的要求。</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区商务局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center"/>
              <w:textAlignment w:val="auto"/>
              <w:outlineLvl w:val="9"/>
              <w:rPr>
                <w:rFonts w:hint="eastAsia"/>
                <w:i w:val="0"/>
                <w:iCs w:val="0"/>
                <w:color w:val="auto"/>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新增和更新的快递轻型配送车辆80%为纯电动或氢燃料电池汽车。落实进入北京核心区的快递车辆为新能源车的要求。</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中国邮政密云分公司</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rPr>
              <w:t>新增和更新的轻型邮政车（机要通信车辆和郊区邮路盘驳邮政车辆除外）为纯电动或氢燃料电池汽车。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bookmarkStart w:id="0" w:name="OLE_LINK1"/>
            <w:r>
              <w:rPr>
                <w:rFonts w:hint="eastAsia"/>
                <w:i w:val="0"/>
                <w:iCs w:val="0"/>
                <w:color w:val="auto"/>
                <w:sz w:val="28"/>
                <w:highlight w:val="none"/>
                <w:lang w:val="en-US" w:eastAsia="zh-CN"/>
              </w:rPr>
              <w:t>中国邮政密云分公司</w:t>
            </w:r>
            <w:bookmarkEnd w:id="0"/>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1" w:leftChars="0" w:right="0" w:rightChars="0"/>
              <w:jc w:val="center"/>
              <w:textAlignment w:val="auto"/>
              <w:outlineLvl w:val="9"/>
              <w:rPr>
                <w:i w:val="0"/>
                <w:iCs w:val="0"/>
                <w:color w:val="auto"/>
                <w:w w:val="100"/>
                <w:sz w:val="28"/>
                <w:highlight w:val="none"/>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区属国有企业基本淘汰国四及以下柴油车（应急抢险、扫雪铲冰车除外）。</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eastAsia="仿宋_GB2312"/>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color w:val="auto"/>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0"/>
                <w:sz w:val="28"/>
                <w:highlight w:val="none"/>
                <w:lang w:val="en-US" w:eastAsia="zh-CN"/>
              </w:rPr>
            </w:pPr>
            <w:r>
              <w:rPr>
                <w:rFonts w:hint="eastAsia"/>
                <w:i w:val="0"/>
                <w:iCs w:val="0"/>
                <w:color w:val="auto"/>
                <w:spacing w:val="0"/>
                <w:sz w:val="28"/>
                <w:highlight w:val="none"/>
                <w:lang w:val="en-US" w:eastAsia="zh-CN"/>
              </w:rPr>
              <w:t>新增和更新的轻型环卫车</w:t>
            </w:r>
            <w:r>
              <w:rPr>
                <w:rFonts w:hint="eastAsia"/>
                <w:i w:val="0"/>
                <w:iCs w:val="0"/>
                <w:color w:val="auto"/>
                <w:sz w:val="28"/>
                <w:highlight w:val="none"/>
                <w:lang w:val="en-US" w:eastAsia="zh-CN"/>
              </w:rPr>
              <w:t>（应急抢险、扫雪铲冰车除外）</w:t>
            </w:r>
            <w:r>
              <w:rPr>
                <w:rFonts w:hint="eastAsia"/>
                <w:i w:val="0"/>
                <w:iCs w:val="0"/>
                <w:color w:val="auto"/>
                <w:spacing w:val="0"/>
                <w:sz w:val="28"/>
                <w:highlight w:val="none"/>
                <w:lang w:val="en-US" w:eastAsia="zh-CN"/>
              </w:rPr>
              <w:t>为纯电动或氢燃料电池汽车，年底前轻型环卫车基本实现新能源化。</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i w:val="0"/>
                <w:iCs w:val="0"/>
                <w:color w:val="auto"/>
                <w:spacing w:val="0"/>
                <w:sz w:val="28"/>
                <w:highlight w:val="none"/>
              </w:rPr>
            </w:pPr>
            <w:r>
              <w:rPr>
                <w:rFonts w:hint="eastAsia"/>
                <w:i w:val="0"/>
                <w:iCs w:val="0"/>
                <w:color w:val="auto"/>
                <w:spacing w:val="0"/>
                <w:sz w:val="28"/>
                <w:highlight w:val="none"/>
                <w:lang w:val="en-US" w:eastAsia="zh-CN"/>
              </w:rPr>
              <w:t>严格落实《环卫设施设备更新工作方案》要求，鼓励对使用8年以上的环卫车更新为纯电动或氢燃料电池汽车。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pacing w:val="0"/>
                <w:sz w:val="28"/>
                <w:highlight w:val="none"/>
                <w:lang w:val="en-US" w:eastAsia="zh-CN"/>
              </w:rPr>
            </w:pPr>
            <w:r>
              <w:rPr>
                <w:rFonts w:hint="eastAsia"/>
                <w:i w:val="0"/>
                <w:iCs w:val="0"/>
                <w:color w:val="auto"/>
                <w:spacing w:val="0"/>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pacing w:val="0"/>
                <w:sz w:val="28"/>
                <w:highlight w:val="none"/>
                <w:lang w:val="en-US" w:eastAsia="zh-CN"/>
              </w:rPr>
            </w:pPr>
            <w:r>
              <w:rPr>
                <w:rFonts w:hint="eastAsia"/>
                <w:i w:val="0"/>
                <w:iCs w:val="0"/>
                <w:color w:val="auto"/>
                <w:spacing w:val="0"/>
                <w:sz w:val="28"/>
                <w:highlight w:val="none"/>
                <w:lang w:val="en-US" w:eastAsia="zh-CN"/>
              </w:rPr>
              <w:t>区城市管理委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default" w:eastAsia="仿宋_GB2312"/>
                <w:i w:val="0"/>
                <w:iCs w:val="0"/>
                <w:color w:val="auto"/>
                <w:spacing w:val="0"/>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eastAsia="仿宋_GB2312"/>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color w:val="auto"/>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eastAsia="仿宋_GB2312"/>
                <w:i w:val="0"/>
                <w:iCs w:val="0"/>
                <w:color w:val="auto"/>
                <w:spacing w:val="0"/>
                <w:sz w:val="28"/>
                <w:highlight w:val="none"/>
                <w:lang w:eastAsia="zh-CN"/>
              </w:rPr>
            </w:pPr>
            <w:r>
              <w:rPr>
                <w:rFonts w:hint="eastAsia"/>
                <w:i w:val="0"/>
                <w:iCs w:val="0"/>
                <w:color w:val="auto"/>
                <w:spacing w:val="0"/>
                <w:sz w:val="28"/>
                <w:highlight w:val="none"/>
              </w:rPr>
              <w:t>新增和更新的公交车为新能源车</w:t>
            </w:r>
            <w:r>
              <w:rPr>
                <w:rFonts w:hint="eastAsia"/>
                <w:i w:val="0"/>
                <w:iCs w:val="0"/>
                <w:color w:val="auto"/>
                <w:spacing w:val="0"/>
                <w:sz w:val="28"/>
                <w:highlight w:val="none"/>
                <w:lang w:eastAsia="zh-CN"/>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i w:val="0"/>
                <w:iCs w:val="0"/>
                <w:color w:val="auto"/>
                <w:spacing w:val="0"/>
                <w:sz w:val="28"/>
                <w:highlight w:val="none"/>
              </w:rPr>
            </w:pPr>
            <w:r>
              <w:rPr>
                <w:rFonts w:hint="eastAsia"/>
                <w:i w:val="0"/>
                <w:iCs w:val="0"/>
                <w:color w:val="auto"/>
                <w:spacing w:val="0"/>
                <w:sz w:val="28"/>
                <w:highlight w:val="none"/>
              </w:rPr>
              <w:t>新增和更新的巡游出租车（个体车辆和社会保障车辆除外）为纯电动或氢燃料电池汽车。</w:t>
            </w:r>
            <w:r>
              <w:rPr>
                <w:rFonts w:hint="eastAsia"/>
                <w:i w:val="0"/>
                <w:iCs w:val="0"/>
                <w:color w:val="auto"/>
                <w:spacing w:val="0"/>
                <w:sz w:val="28"/>
                <w:highlight w:val="none"/>
                <w:lang w:val="en-US" w:eastAsia="zh-CN"/>
              </w:rPr>
              <w:t>按照市级部门要求，鼓励</w:t>
            </w:r>
            <w:r>
              <w:rPr>
                <w:rFonts w:hint="eastAsia"/>
                <w:i w:val="0"/>
                <w:iCs w:val="0"/>
                <w:color w:val="auto"/>
                <w:sz w:val="28"/>
                <w:highlight w:val="none"/>
              </w:rPr>
              <w:t>新增和更新的网约车为</w:t>
            </w:r>
            <w:r>
              <w:rPr>
                <w:rFonts w:hint="eastAsia"/>
                <w:i w:val="0"/>
                <w:iCs w:val="0"/>
                <w:color w:val="auto"/>
                <w:sz w:val="28"/>
                <w:highlight w:val="none"/>
                <w:lang w:val="en-US" w:eastAsia="zh-CN"/>
              </w:rPr>
              <w:t>新能源车</w:t>
            </w:r>
            <w:r>
              <w:rPr>
                <w:rFonts w:hint="eastAsia"/>
                <w:i w:val="0"/>
                <w:iCs w:val="0"/>
                <w:color w:val="auto"/>
                <w:sz w:val="28"/>
                <w:highlight w:val="none"/>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pacing w:val="0"/>
                <w:sz w:val="28"/>
                <w:highlight w:val="none"/>
                <w:lang w:val="en-US" w:eastAsia="zh-CN"/>
              </w:rPr>
            </w:pPr>
            <w:r>
              <w:rPr>
                <w:rFonts w:hint="eastAsia"/>
                <w:i w:val="0"/>
                <w:iCs w:val="0"/>
                <w:color w:val="auto"/>
                <w:spacing w:val="0"/>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pacing w:val="0"/>
                <w:sz w:val="28"/>
                <w:highlight w:val="none"/>
                <w:lang w:val="en-US" w:eastAsia="zh-CN"/>
              </w:rPr>
            </w:pPr>
            <w:r>
              <w:rPr>
                <w:rFonts w:hint="eastAsia"/>
                <w:i w:val="0"/>
                <w:iCs w:val="0"/>
                <w:color w:val="auto"/>
                <w:spacing w:val="0"/>
                <w:sz w:val="28"/>
                <w:highlight w:val="none"/>
                <w:lang w:val="en-US" w:eastAsia="zh-CN"/>
              </w:rPr>
              <w:t>区交通局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pacing w:val="0"/>
                <w:sz w:val="28"/>
                <w:highlight w:val="none"/>
                <w:lang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color w:val="auto"/>
                <w:highlight w:val="none"/>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color w:val="auto"/>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0"/>
                <w:sz w:val="28"/>
                <w:highlight w:val="none"/>
                <w:lang w:val="en-US" w:eastAsia="zh-CN"/>
              </w:rPr>
            </w:pPr>
            <w:r>
              <w:rPr>
                <w:rFonts w:hint="eastAsia"/>
                <w:i w:val="0"/>
                <w:iCs w:val="0"/>
                <w:color w:val="auto"/>
                <w:spacing w:val="0"/>
                <w:sz w:val="28"/>
                <w:highlight w:val="none"/>
                <w:lang w:val="en-US" w:eastAsia="zh-CN"/>
              </w:rPr>
              <w:t>鼓励新增的包车客运车辆和更新的市内包车客运车辆为纯电动或氢燃料电池汽车。</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0"/>
                <w:sz w:val="28"/>
                <w:highlight w:val="none"/>
                <w:lang w:val="en-US" w:eastAsia="zh-CN"/>
              </w:rPr>
            </w:pPr>
            <w:r>
              <w:rPr>
                <w:rFonts w:hint="eastAsia"/>
                <w:i w:val="0"/>
                <w:iCs w:val="0"/>
                <w:color w:val="auto"/>
                <w:spacing w:val="0"/>
                <w:sz w:val="28"/>
                <w:highlight w:val="none"/>
                <w:lang w:val="en-US" w:eastAsia="zh-CN"/>
              </w:rPr>
              <w:t>鼓励驾校C2培训车和考试用车为纯电动或氢燃料电池汽车。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pacing w:val="0"/>
                <w:sz w:val="28"/>
                <w:highlight w:val="none"/>
                <w:lang w:val="en-US" w:eastAsia="zh-CN"/>
              </w:rPr>
            </w:pPr>
            <w:r>
              <w:rPr>
                <w:rFonts w:hint="eastAsia"/>
                <w:i w:val="0"/>
                <w:iCs w:val="0"/>
                <w:color w:val="auto"/>
                <w:spacing w:val="0"/>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pacing w:val="0"/>
                <w:sz w:val="28"/>
                <w:highlight w:val="none"/>
                <w:lang w:val="en-US" w:eastAsia="zh-CN"/>
              </w:rPr>
            </w:pPr>
            <w:r>
              <w:rPr>
                <w:rFonts w:hint="eastAsia"/>
                <w:i w:val="0"/>
                <w:iCs w:val="0"/>
                <w:color w:val="auto"/>
                <w:spacing w:val="0"/>
                <w:sz w:val="28"/>
                <w:highlight w:val="none"/>
                <w:lang w:val="en-US" w:eastAsia="zh-CN"/>
              </w:rPr>
              <w:t>区交通局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0"/>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i w:val="0"/>
                <w:iCs w:val="0"/>
                <w:color w:val="auto"/>
                <w:w w:val="100"/>
                <w:sz w:val="28"/>
                <w:highlight w:val="none"/>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both"/>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鼓励</w:t>
            </w:r>
            <w:r>
              <w:rPr>
                <w:rFonts w:hint="eastAsia"/>
                <w:i w:val="0"/>
                <w:iCs w:val="0"/>
                <w:color w:val="auto"/>
                <w:sz w:val="28"/>
                <w:highlight w:val="none"/>
              </w:rPr>
              <w:t>新增和更新的</w:t>
            </w:r>
            <w:r>
              <w:rPr>
                <w:rFonts w:hint="eastAsia"/>
                <w:i w:val="0"/>
                <w:iCs w:val="0"/>
                <w:color w:val="auto"/>
                <w:sz w:val="28"/>
                <w:highlight w:val="none"/>
                <w:lang w:val="en-US" w:eastAsia="zh-CN"/>
              </w:rPr>
              <w:t>区</w:t>
            </w:r>
            <w:r>
              <w:rPr>
                <w:rFonts w:hint="eastAsia"/>
                <w:i w:val="0"/>
                <w:iCs w:val="0"/>
                <w:color w:val="auto"/>
                <w:sz w:val="28"/>
                <w:highlight w:val="none"/>
              </w:rPr>
              <w:t>内旅游客运班线车辆为纯电动或氢燃料电池汽车。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区文化和旅游局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eastAsia="仿宋_GB2312"/>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color w:val="auto"/>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新开工工地优先使用纯电动、氢燃料电池或国六B排放标准的建筑垃圾车辆，基本不使用国四及以下排放标准的车辆。</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针对在重要会议和活动期间，未按要求减排的企业和个人，采取计分、约谈等手段，督促企业和个人淘汰更新老旧渣土车。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区城市管理委</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区园林绿化局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区水务局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eastAsia="仿宋_GB2312"/>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color w:val="auto"/>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rPr>
            </w:pPr>
            <w:r>
              <w:rPr>
                <w:rFonts w:hint="eastAsia" w:cs="仿宋_GB2312"/>
                <w:i w:val="0"/>
                <w:iCs w:val="0"/>
                <w:color w:val="auto"/>
                <w:spacing w:val="-3"/>
                <w:sz w:val="28"/>
                <w:szCs w:val="22"/>
                <w:highlight w:val="none"/>
                <w:lang w:val="en-US" w:eastAsia="zh-CN" w:bidi="ar-SA"/>
              </w:rPr>
              <w:t>新增和更新的公务用车（特种专业技术用车和部分不宜配备电动车的公务用车除外）为纯电动或氢燃料电池汽车。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default"/>
                <w:i w:val="0"/>
                <w:iCs w:val="0"/>
                <w:color w:val="auto"/>
                <w:spacing w:val="-2"/>
                <w:sz w:val="28"/>
                <w:highlight w:val="none"/>
                <w:lang w:val="en-US"/>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default" w:ascii="仿宋_GB2312" w:hAnsi="仿宋_GB2312" w:eastAsia="仿宋_GB2312"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区机关事务管理服务中心</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default" w:eastAsia="仿宋_GB2312"/>
                <w:i w:val="0"/>
                <w:iCs w:val="0"/>
                <w:color w:val="auto"/>
                <w:spacing w:val="-2"/>
                <w:sz w:val="28"/>
                <w:highlight w:val="none"/>
                <w:lang w:val="en-US" w:eastAsia="zh-CN"/>
              </w:rPr>
            </w:pPr>
            <w:r>
              <w:rPr>
                <w:rFonts w:hint="eastAsia" w:cs="仿宋_GB2312"/>
                <w:i w:val="0"/>
                <w:iCs w:val="0"/>
                <w:color w:val="auto"/>
                <w:sz w:val="28"/>
                <w:szCs w:val="22"/>
                <w:highlight w:val="none"/>
                <w:lang w:val="en-US" w:eastAsia="zh-CN" w:bidi="ar-SA"/>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5</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5</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5</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rPr>
              <w:t>推进非道路移动机械清洁化</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rPr>
              <w:t>推进非道路移动机械清洁化</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26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rPr>
            </w:pPr>
            <w:r>
              <w:rPr>
                <w:rFonts w:hint="eastAsia"/>
                <w:i w:val="0"/>
                <w:iCs w:val="0"/>
                <w:color w:val="auto"/>
                <w:sz w:val="28"/>
                <w:highlight w:val="none"/>
              </w:rPr>
              <w:t>推进非道路移动机械清洁化</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rPr>
            </w:pPr>
            <w:r>
              <w:rPr>
                <w:rFonts w:hint="eastAsia"/>
                <w:i w:val="0"/>
                <w:iCs w:val="0"/>
                <w:color w:val="auto"/>
                <w:spacing w:val="-2"/>
                <w:sz w:val="28"/>
                <w:highlight w:val="none"/>
                <w:lang w:val="en-US" w:eastAsia="zh-CN"/>
              </w:rPr>
              <w:t>严格落实新</w:t>
            </w:r>
            <w:r>
              <w:rPr>
                <w:rFonts w:hint="eastAsia"/>
                <w:i w:val="0"/>
                <w:iCs w:val="0"/>
                <w:color w:val="auto"/>
                <w:spacing w:val="-2"/>
                <w:sz w:val="28"/>
                <w:highlight w:val="none"/>
              </w:rPr>
              <w:t>修订</w:t>
            </w:r>
            <w:r>
              <w:rPr>
                <w:rFonts w:hint="eastAsia"/>
                <w:i w:val="0"/>
                <w:iCs w:val="0"/>
                <w:color w:val="auto"/>
                <w:spacing w:val="-2"/>
                <w:sz w:val="28"/>
                <w:highlight w:val="none"/>
                <w:lang w:val="en-US" w:eastAsia="zh-CN"/>
              </w:rPr>
              <w:t>的</w:t>
            </w:r>
            <w:r>
              <w:rPr>
                <w:rFonts w:hint="eastAsia"/>
                <w:i w:val="0"/>
                <w:iCs w:val="0"/>
                <w:color w:val="auto"/>
                <w:spacing w:val="-2"/>
                <w:sz w:val="28"/>
                <w:highlight w:val="none"/>
              </w:rPr>
              <w:t>禁止使用高排放非道路移动机械区域政策。</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区水务局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区园林绿化局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区农业农村局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区园林绿化中心</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i w:val="0"/>
                <w:iCs w:val="0"/>
                <w:color w:val="auto"/>
                <w:spacing w:val="-11"/>
                <w:sz w:val="28"/>
                <w:highlight w:val="none"/>
              </w:rPr>
              <w:t>中关村密云园</w:t>
            </w:r>
            <w:r>
              <w:rPr>
                <w:rFonts w:hint="eastAsia"/>
                <w:i w:val="0"/>
                <w:iCs w:val="0"/>
                <w:color w:val="auto"/>
                <w:spacing w:val="-11"/>
                <w:sz w:val="28"/>
                <w:highlight w:val="none"/>
                <w:lang w:val="en-US" w:eastAsia="zh-CN"/>
              </w:rPr>
              <w:t>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配合市级部门，研究将机械新能源化要求纳入《预拌混凝土绿色生产管理规程》《北京市沥青混合料搅拌站绿色生产技术指南》《汽车维修业污染防治技术规范》。</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区城市管理委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配合市级部门，梳理形成新能源机械产品清单，及时向各相关部门提供，畅通新能源机械产品供给端与使用端对接交流渠道。将企业更新购置新能源机械纳入绿色低碳发展资金奖励的范畴。</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配合市级部门，支持生产企业回收老旧机械，或采用以旧换新等方式，加快老旧机械淘汰更新。</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长期实施</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配合市级部门，落实支持新能源机械购置信贷的相关政策和宣传推广相关信贷产品，助力提高新能源机械购置贷款发放比例和对燃油机械置换为新能源机械给予更高优惠比例。</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区发展改革委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住房城乡建设、城市管理、园林绿化、水务、交通、农业农村、经济和信息化等部门、</w:t>
            </w:r>
            <w:r>
              <w:rPr>
                <w:rFonts w:hint="eastAsia"/>
                <w:i w:val="0"/>
                <w:iCs w:val="0"/>
                <w:color w:val="auto"/>
                <w:spacing w:val="-3"/>
                <w:sz w:val="28"/>
                <w:highlight w:val="none"/>
                <w:lang w:val="en-US" w:eastAsia="zh-CN"/>
              </w:rPr>
              <w:t>各镇街（地区）</w:t>
            </w:r>
            <w:r>
              <w:rPr>
                <w:rFonts w:hint="eastAsia"/>
                <w:i w:val="0"/>
                <w:iCs w:val="0"/>
                <w:color w:val="auto"/>
                <w:spacing w:val="-2"/>
                <w:sz w:val="28"/>
                <w:highlight w:val="none"/>
                <w:lang w:val="en-US" w:eastAsia="zh-CN"/>
              </w:rPr>
              <w:t>加快推动本行业、本辖区国二及以下（含编码登记为X阶段）排放标准的非道路移动机械淘汰。大力推动挖掘机、装载机、叉车、升降平台等四类重点机械新能源化，2025年新登记挖掘机、装载机、叉车、升降平台的新能源化率达到50%以上。</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区园林绿化局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区水务局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区农业农村局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区园林绿化中心</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3"/>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住房城乡建设部门按照修订的建设工程施工现场扬尘治理工地管理办法，将挖掘机、装载机、叉车、升降平台等机械新能源化要求纳入工地管理内容，交通、水务、园林绿化、城市管理等施工行业主管部门积极参照实施。</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17"/>
                <w:sz w:val="28"/>
                <w:highlight w:val="none"/>
                <w:lang w:val="en-US" w:eastAsia="zh-CN"/>
              </w:rPr>
              <w:t>区住房城乡建设委</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区园林绿化局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区水务局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市交通委密云</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公路分局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区农业农村局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强化密闭空间施工机械新能源化的要求，地下封闭区域工程、基坑气膜施工工地优先使用新能源机械。落实建设工程绿色技术规范或指导意见，工地内升降平台、叉车全面实现新能源化，2吨及以下装载机、6吨及以下挖掘机新能源化比率逐年提高。</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区园林绿化局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区水务局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区农业农村局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中关村密云园管委会</w:t>
            </w:r>
          </w:p>
        </w:tc>
        <w:tc>
          <w:tcPr>
            <w:tcW w:w="200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按照市级部门统一要求，住房城乡建设部门依法将使用未经信息编码登记或者不符合排放标准的非道路移动机械的建设单位或者施工单位，记入信用信息记录，并开展行业督导。</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住房城乡建设、城市管理、园林绿化、水务、交通等部门组织施工单位对进出工程施工现场的非道路移动机械在“京环保”小程序上进行进出场登记。</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p>
        </w:tc>
        <w:tc>
          <w:tcPr>
            <w:tcW w:w="200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6</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rPr>
            </w:pPr>
            <w:r>
              <w:rPr>
                <w:rFonts w:hint="eastAsia"/>
                <w:i w:val="0"/>
                <w:iCs w:val="0"/>
                <w:color w:val="auto"/>
                <w:spacing w:val="-2"/>
                <w:sz w:val="28"/>
                <w:highlight w:val="none"/>
              </w:rPr>
              <w:t>优化车（械）能源补给</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组织实施《“十四五”时期北京市新能源汽车充换电设施发展规划》和《北京市氢燃料电池汽车车用加氢站发展规划（2021-2025年）》等，加快推进充电基础设施和加氢基础设施建设。推动电动汽车充电设施网络和服务体系建设，鼓励将停车位及充电设施电气化改造与老旧小区改造同步实施，鼓励单位内部和居民区充电设施对外开放。年底前实现平原地区公共充电设施平均服务半径小于3公里，平原地区换电站平均服务半径小于5公里。</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区城市管理委</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市规划自然资源委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17"/>
                <w:sz w:val="28"/>
                <w:highlight w:val="none"/>
                <w:lang w:val="en-US" w:eastAsia="zh-CN"/>
              </w:rPr>
              <w:t>密云分局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3"/>
                <w:sz w:val="28"/>
                <w:highlight w:val="none"/>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协调国网密云供电公司依规协助建设单位做好施工工地电动机械用电增容报装工作，满足电动机械使用场景电力供给；对于现有场站内（如消纳场、混凝土搅拌站等）新增电动机械的用电增容需求，电力部门予以研究保障。</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区城市管理委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7"/>
                <w:sz w:val="28"/>
                <w:highlight w:val="none"/>
                <w:lang w:val="en-US" w:eastAsia="zh-CN"/>
              </w:rPr>
              <w:t>国网密云供电公司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7</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
                <w:sz w:val="28"/>
                <w:highlight w:val="none"/>
              </w:rPr>
            </w:pPr>
            <w:r>
              <w:rPr>
                <w:rFonts w:hint="eastAsia"/>
                <w:i w:val="0"/>
                <w:iCs w:val="0"/>
                <w:color w:val="auto"/>
                <w:spacing w:val="-2"/>
                <w:sz w:val="28"/>
                <w:highlight w:val="none"/>
              </w:rPr>
              <w:t>严格在用车（械）管理</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交通、公安交管、生态环境部门每年在进京路口和市内主要道路完成重型柴油车和重型燃气车人工检查市级任务目标，严格查处逾期未按照规定进行维修并复检合格前驾驶机动车上道路行驶的违法行为。</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区公安分局交通支队</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108" w:leftChars="0" w:right="0" w:rightChars="0"/>
              <w:jc w:val="both"/>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结合辖区机械登记台账，聚焦国二及以下标准机械进行执法检测，同时加大国三及以上标准机械的检查力度。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8</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rFonts w:hint="eastAsia"/>
                <w:i w:val="0"/>
                <w:iCs w:val="0"/>
                <w:color w:val="auto"/>
                <w:spacing w:val="-2"/>
                <w:sz w:val="28"/>
                <w:highlight w:val="none"/>
              </w:rPr>
            </w:pPr>
            <w:r>
              <w:rPr>
                <w:rFonts w:hint="eastAsia"/>
                <w:i w:val="0"/>
                <w:iCs w:val="0"/>
                <w:color w:val="auto"/>
                <w:spacing w:val="-2"/>
                <w:sz w:val="28"/>
                <w:highlight w:val="none"/>
              </w:rPr>
              <w:t>加强油气油品监管</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配合市级部门，对生产、销售环节的车用油品、氮氧化物还原剂、车用油品清净剂等产品质量开展监督抽查，加强实际使用环节柴油抽检。</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区市场监管局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坚决打击非标油，全面清理整顿无证无照或证照不全的自建油罐、流动加油车和黑加油站点。</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区公安分局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11"/>
                <w:sz w:val="28"/>
                <w:highlight w:val="none"/>
                <w:lang w:val="en-US" w:eastAsia="zh-CN"/>
              </w:rPr>
              <w:t>督促加油站和储油库在</w:t>
            </w:r>
            <w:r>
              <w:rPr>
                <w:rFonts w:hint="eastAsia"/>
                <w:i w:val="0"/>
                <w:iCs w:val="0"/>
                <w:color w:val="auto"/>
                <w:spacing w:val="-2"/>
                <w:sz w:val="28"/>
                <w:highlight w:val="none"/>
                <w:lang w:val="en-US" w:eastAsia="zh-CN"/>
              </w:rPr>
              <w:t>6-9月</w:t>
            </w:r>
            <w:r>
              <w:rPr>
                <w:rFonts w:hint="eastAsia"/>
                <w:i w:val="0"/>
                <w:iCs w:val="0"/>
                <w:color w:val="auto"/>
                <w:spacing w:val="-11"/>
                <w:sz w:val="28"/>
                <w:highlight w:val="none"/>
                <w:lang w:val="en-US" w:eastAsia="zh-CN"/>
              </w:rPr>
              <w:t>错峰装卸油，引导加油站出台鼓励夜间加油的措施。区生态环境局牵头加强储油库、油罐车、加油站油气排放执法检查。</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pacing w:val="-1"/>
                <w:sz w:val="28"/>
                <w:highlight w:val="none"/>
              </w:rPr>
            </w:pPr>
            <w:r>
              <w:rPr>
                <w:i w:val="0"/>
                <w:iCs w:val="0"/>
                <w:color w:val="auto"/>
                <w:spacing w:val="-1"/>
                <w:sz w:val="28"/>
                <w:highlight w:val="none"/>
              </w:rPr>
              <w:t>区商务局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i w:val="0"/>
                <w:iCs w:val="0"/>
                <w:color w:val="auto"/>
                <w:spacing w:val="-5"/>
                <w:sz w:val="28"/>
                <w:highlight w:val="none"/>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区城管委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9</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
                <w:sz w:val="28"/>
                <w:highlight w:val="none"/>
              </w:rPr>
            </w:pPr>
            <w:r>
              <w:rPr>
                <w:rFonts w:hint="eastAsia"/>
                <w:i w:val="0"/>
                <w:iCs w:val="0"/>
                <w:color w:val="auto"/>
                <w:spacing w:val="-2"/>
                <w:sz w:val="28"/>
                <w:highlight w:val="none"/>
              </w:rPr>
              <w:t>持续优化调整运输结构</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配合市级部门，研究制定本市运输结构调整推进工作方案。</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按照市级部门统一部署，支持铁路货运场站依法依规有序开展物流服务经营活动。</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区交通局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区发展改革委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市规划自然资源委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17"/>
                <w:sz w:val="28"/>
                <w:highlight w:val="none"/>
                <w:lang w:val="en-US" w:eastAsia="zh-CN"/>
              </w:rPr>
              <w:t>密云分局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rFonts w:hint="eastAsia"/>
                <w:i w:val="0"/>
                <w:iCs w:val="0"/>
                <w:color w:val="auto"/>
                <w:spacing w:val="-2"/>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推动混凝土搅拌站逐步提高矿建材料的绿色运输比例。鼓励搅拌站经营者使用纯电动或氢能源搅拌罐车运输混凝土。</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rightChars="0"/>
              <w:jc w:val="center"/>
              <w:textAlignment w:val="auto"/>
              <w:outlineLvl w:val="9"/>
              <w:rPr>
                <w:rFonts w:hint="eastAsia"/>
                <w:i w:val="0"/>
                <w:iCs w:val="0"/>
                <w:color w:val="auto"/>
                <w:spacing w:val="-2"/>
                <w:sz w:val="28"/>
                <w:highlight w:val="none"/>
                <w:lang w:val="en-US" w:eastAsia="zh-CN"/>
              </w:rPr>
            </w:pPr>
            <w:r>
              <w:rPr>
                <w:rFonts w:hint="eastAsia"/>
                <w:i w:val="0"/>
                <w:iCs w:val="0"/>
                <w:color w:val="auto"/>
                <w:spacing w:val="-2"/>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hanging="3" w:firstLineChars="0"/>
              <w:jc w:val="center"/>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区住房城乡建设委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4940" w:type="dxa"/>
            <w:gridSpan w:val="8"/>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rFonts w:hint="eastAsia" w:ascii="黑体" w:eastAsia="黑体"/>
                <w:i w:val="0"/>
                <w:iCs w:val="0"/>
                <w:color w:val="auto"/>
                <w:sz w:val="28"/>
                <w:highlight w:val="none"/>
              </w:rPr>
              <w:t>三、以企业</w:t>
            </w:r>
            <w:r>
              <w:rPr>
                <w:rFonts w:hint="eastAsia" w:ascii="黑体" w:eastAsia="黑体"/>
                <w:i w:val="0"/>
                <w:iCs w:val="0"/>
                <w:color w:val="auto"/>
                <w:sz w:val="28"/>
                <w:highlight w:val="none"/>
                <w:lang w:eastAsia="zh-CN"/>
              </w:rPr>
              <w:t>“</w:t>
            </w:r>
            <w:r>
              <w:rPr>
                <w:rFonts w:hint="eastAsia" w:ascii="黑体" w:eastAsia="黑体"/>
                <w:i w:val="0"/>
                <w:iCs w:val="0"/>
                <w:color w:val="auto"/>
                <w:sz w:val="28"/>
                <w:highlight w:val="none"/>
              </w:rPr>
              <w:t>含绿量</w:t>
            </w:r>
            <w:r>
              <w:rPr>
                <w:rFonts w:hint="eastAsia" w:ascii="黑体" w:eastAsia="黑体"/>
                <w:i w:val="0"/>
                <w:iCs w:val="0"/>
                <w:color w:val="auto"/>
                <w:sz w:val="28"/>
                <w:highlight w:val="none"/>
                <w:lang w:eastAsia="zh-CN"/>
              </w:rPr>
              <w:t>”</w:t>
            </w:r>
            <w:r>
              <w:rPr>
                <w:rFonts w:hint="eastAsia" w:ascii="黑体" w:eastAsia="黑体"/>
                <w:i w:val="0"/>
                <w:iCs w:val="0"/>
                <w:color w:val="auto"/>
                <w:sz w:val="28"/>
                <w:highlight w:val="none"/>
              </w:rPr>
              <w:t>提升为主线，推动工程减排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10</w:t>
            </w: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rFonts w:hint="eastAsia"/>
                <w:i w:val="0"/>
                <w:iCs w:val="0"/>
                <w:color w:val="auto"/>
                <w:sz w:val="28"/>
                <w:highlight w:val="none"/>
              </w:rPr>
            </w:pPr>
            <w:r>
              <w:rPr>
                <w:rFonts w:hint="eastAsia"/>
                <w:i w:val="0"/>
                <w:iCs w:val="0"/>
                <w:color w:val="auto"/>
                <w:sz w:val="28"/>
                <w:highlight w:val="none"/>
              </w:rPr>
              <w:t>推动企业“含绿量”提升</w:t>
            </w:r>
          </w:p>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0"/>
              <w:jc w:val="center"/>
              <w:textAlignment w:val="auto"/>
              <w:outlineLvl w:val="9"/>
              <w:rPr>
                <w:rFonts w:hint="eastAsia"/>
                <w:i w:val="0"/>
                <w:iCs w:val="0"/>
                <w:color w:val="auto"/>
                <w:sz w:val="28"/>
                <w:highlight w:val="none"/>
              </w:rPr>
            </w:pPr>
            <w:r>
              <w:rPr>
                <w:rFonts w:hint="eastAsia"/>
                <w:i w:val="0"/>
                <w:iCs w:val="0"/>
                <w:color w:val="auto"/>
                <w:sz w:val="28"/>
                <w:highlight w:val="none"/>
              </w:rPr>
              <w:t>推动企业“含绿量”提升</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推进重点行业企业绿色升级，以企业“含绿量”提升发展“含金量”。结合实际开展绿色挖潜，力争2025年绿色企业比率平均不低于</w:t>
            </w:r>
            <w:r>
              <w:rPr>
                <w:rFonts w:hint="eastAsia"/>
                <w:i w:val="0"/>
                <w:iCs w:val="0"/>
                <w:color w:val="auto"/>
                <w:sz w:val="28"/>
                <w:highlight w:val="none"/>
                <w:lang w:val="en-US" w:eastAsia="zh-CN"/>
              </w:rPr>
              <w:t>30</w:t>
            </w:r>
            <w:r>
              <w:rPr>
                <w:rFonts w:hint="eastAsia"/>
                <w:i w:val="0"/>
                <w:iCs w:val="0"/>
                <w:color w:val="auto"/>
                <w:sz w:val="28"/>
                <w:highlight w:val="none"/>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pacing w:val="-17"/>
                <w:sz w:val="28"/>
                <w:highlight w:val="none"/>
                <w:lang w:val="en-US" w:eastAsia="zh-CN"/>
              </w:rPr>
              <w:t>区住房城乡建设委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left"/>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pacing w:val="-5"/>
                <w:sz w:val="28"/>
                <w:highlight w:val="none"/>
                <w:lang w:val="en-US" w:eastAsia="zh-CN"/>
              </w:rPr>
            </w:pPr>
            <w:r>
              <w:rPr>
                <w:rFonts w:hint="eastAsia"/>
                <w:i w:val="0"/>
                <w:iCs w:val="0"/>
                <w:color w:val="auto"/>
                <w:sz w:val="28"/>
                <w:highlight w:val="none"/>
                <w:lang w:val="en-US" w:eastAsia="zh-CN"/>
              </w:rPr>
              <w:t>开展清洁生产审核和技改升级，推进节能、降耗、减污、增效。深入实施强制性清洁生产审核下沉管理，按照全市统一部署全面承担强制性清洁生产审核单位名单制定和评估、技改、验收等工作。在完成VOCs年排放量1吨以上重点企业按周期实施清洁生产审核的基础上，结合区域特点和管理需求依法确定审核范围。</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ascii="仿宋_GB2312" w:hAnsi="仿宋_GB2312" w:eastAsia="仿宋_GB2312" w:cs="仿宋_GB2312"/>
                <w:i w:val="0"/>
                <w:iCs w:val="0"/>
                <w:color w:val="auto"/>
                <w:sz w:val="28"/>
                <w:szCs w:val="22"/>
                <w:highlight w:val="none"/>
                <w:lang w:val="en-US" w:eastAsia="en-US" w:bidi="ar-SA"/>
              </w:rPr>
            </w:pPr>
            <w:r>
              <w:rPr>
                <w:i w:val="0"/>
                <w:iCs w:val="0"/>
                <w:color w:val="auto"/>
                <w:sz w:val="28"/>
                <w:highlight w:val="none"/>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发展改革委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ascii="仿宋_GB2312" w:hAnsi="仿宋_GB2312" w:eastAsia="仿宋_GB2312" w:cs="仿宋_GB2312"/>
                <w:i w:val="0"/>
                <w:iCs w:val="0"/>
                <w:color w:val="auto"/>
                <w:sz w:val="28"/>
                <w:szCs w:val="22"/>
                <w:highlight w:val="none"/>
                <w:lang w:val="en-US" w:eastAsia="en-US" w:bidi="ar-SA"/>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left"/>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组织企业开展环保技改升级，实施重点行业“一厂一策”精细化治理。开展锅炉使用单位环保绩效分级管理，组织锅炉使用单位进行环保绩效评级和提级改造，力争年底前B级及以上锅炉使用单位达到12家以上。</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left"/>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积极推进企业和项目绿色绩效评价。推进重点区加强汽车、电子、医药行业创绿先行先试。建立完善绿色企业和绿色项目库。</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left"/>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kern w:val="0"/>
                <w:sz w:val="28"/>
                <w:szCs w:val="22"/>
                <w:highlight w:val="none"/>
                <w:lang w:val="en-US" w:eastAsia="zh-CN"/>
              </w:rPr>
              <w:t>全面推行绿色制造，鼓励汽车制造、生物医药、电子等重点行业企业开展绿色诊断服务。年底前累计创建国家级、北京市级绿色工厂2家，疏解退出一般制造业企业3家，提质升级3家。</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rFonts w:hint="eastAsia"/>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kern w:val="0"/>
                <w:sz w:val="28"/>
                <w:szCs w:val="22"/>
                <w:highlight w:val="none"/>
                <w:lang w:val="en-US" w:eastAsia="zh-CN"/>
              </w:rPr>
              <w:t>对标空气重污染应急环保绩效评级要求，督促重点行业企业实施治理改造、管理升级等，年底前，市级以上产业园区内规模以上企业环保绩效D级企业基本清零。推动园区外D级企业提质升级。</w:t>
            </w:r>
            <w:bookmarkStart w:id="1" w:name="OLE_LINK2"/>
            <w:r>
              <w:rPr>
                <w:rFonts w:hint="eastAsia"/>
                <w:i w:val="0"/>
                <w:iCs w:val="0"/>
                <w:color w:val="auto"/>
                <w:kern w:val="0"/>
                <w:sz w:val="28"/>
                <w:szCs w:val="22"/>
                <w:highlight w:val="none"/>
                <w:lang w:val="en-US" w:eastAsia="zh-CN"/>
              </w:rPr>
              <w:t>提高A（绩效引领）、B级企业占比达到15%左右</w:t>
            </w:r>
            <w:bookmarkEnd w:id="1"/>
            <w:r>
              <w:rPr>
                <w:rFonts w:hint="eastAsia"/>
                <w:i w:val="0"/>
                <w:iCs w:val="0"/>
                <w:color w:val="auto"/>
                <w:sz w:val="28"/>
                <w:highlight w:val="none"/>
                <w:lang w:val="en-US" w:eastAsia="zh-CN"/>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17"/>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区委宣传部</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区空气重污染应急指挥部成员单位</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pacing w:val="-13"/>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11</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jc w:val="center"/>
              <w:textAlignment w:val="auto"/>
              <w:outlineLvl w:val="9"/>
              <w:rPr>
                <w:i w:val="0"/>
                <w:iCs w:val="0"/>
                <w:color w:val="auto"/>
                <w:sz w:val="28"/>
                <w:highlight w:val="none"/>
              </w:rPr>
            </w:pPr>
            <w:r>
              <w:rPr>
                <w:rFonts w:hint="eastAsia"/>
                <w:i w:val="0"/>
                <w:iCs w:val="0"/>
                <w:color w:val="auto"/>
                <w:sz w:val="28"/>
                <w:highlight w:val="none"/>
              </w:rPr>
              <w:t>推广使用低VOCs含量产品</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rPr>
              <w:t>工业企业涂装工序应使用符合国家和本市标准的低VOCs含量涂料，推广使用水基、本体型等低VOCs含量胶粘剂</w:t>
            </w:r>
            <w:r>
              <w:rPr>
                <w:rFonts w:hint="eastAsia"/>
                <w:i w:val="0"/>
                <w:iCs w:val="0"/>
                <w:color w:val="auto"/>
                <w:sz w:val="28"/>
                <w:highlight w:val="none"/>
                <w:lang w:eastAsia="zh-CN"/>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right="0"/>
              <w:jc w:val="both"/>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rPr>
              <w:t>建筑施工、室外构筑物防护和道路交通标识等其他涂装作业推广使用水性、高固体分、无溶剂、粉末等涂料和水基、本体型等低VOCs含量胶粘剂</w:t>
            </w:r>
            <w:r>
              <w:rPr>
                <w:rFonts w:hint="eastAsia"/>
                <w:i w:val="0"/>
                <w:iCs w:val="0"/>
                <w:color w:val="auto"/>
                <w:sz w:val="28"/>
                <w:highlight w:val="none"/>
                <w:lang w:eastAsia="zh-CN"/>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市交通委密云公路分局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leftChars="0" w:right="0" w:rightChars="0"/>
              <w:jc w:val="center"/>
              <w:textAlignment w:val="auto"/>
              <w:outlineLvl w:val="9"/>
              <w:rPr>
                <w:i w:val="0"/>
                <w:iCs w:val="0"/>
                <w:color w:val="auto"/>
                <w:w w:val="100"/>
                <w:sz w:val="28"/>
                <w:highlight w:val="none"/>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leftChars="0" w:right="0" w:rightChars="0"/>
              <w:jc w:val="left"/>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right="0"/>
              <w:jc w:val="both"/>
              <w:textAlignment w:val="auto"/>
              <w:outlineLvl w:val="9"/>
              <w:rPr>
                <w:i w:val="0"/>
                <w:iCs w:val="0"/>
                <w:color w:val="auto"/>
                <w:sz w:val="28"/>
                <w:highlight w:val="none"/>
              </w:rPr>
            </w:pPr>
            <w:r>
              <w:rPr>
                <w:rFonts w:hint="eastAsia"/>
                <w:i w:val="0"/>
                <w:iCs w:val="0"/>
                <w:color w:val="auto"/>
                <w:sz w:val="28"/>
                <w:highlight w:val="none"/>
              </w:rPr>
              <w:t>印刷行</w:t>
            </w:r>
            <w:r>
              <w:rPr>
                <w:rFonts w:hint="eastAsia"/>
                <w:i w:val="0"/>
                <w:iCs w:val="0"/>
                <w:color w:val="auto"/>
                <w:sz w:val="28"/>
                <w:highlight w:val="none"/>
                <w:lang w:val="en-US" w:eastAsia="zh-CN"/>
              </w:rPr>
              <w:t>业</w:t>
            </w:r>
            <w:r>
              <w:rPr>
                <w:rFonts w:hint="eastAsia"/>
                <w:i w:val="0"/>
                <w:iCs w:val="0"/>
                <w:color w:val="auto"/>
                <w:sz w:val="28"/>
                <w:highlight w:val="none"/>
              </w:rPr>
              <w:t>全面推进低VOCs产品使用和替代，确保含VOCs原辅材料的VOCs含量满足本市标准要求。</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区委宣传部</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leftChars="0" w:right="0" w:rightChars="0"/>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00" w:lineRule="exact"/>
              <w:ind w:left="108" w:leftChars="0" w:right="0" w:rightChars="0"/>
              <w:jc w:val="both"/>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rPr>
              <w:t>政府采购项目在同等条件下应优先使用低VOCs含量产品</w:t>
            </w:r>
            <w:r>
              <w:rPr>
                <w:rFonts w:hint="eastAsia"/>
                <w:i w:val="0"/>
                <w:iCs w:val="0"/>
                <w:color w:val="auto"/>
                <w:sz w:val="28"/>
                <w:highlight w:val="none"/>
                <w:lang w:eastAsia="zh-CN"/>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区财政局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各相关单位</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i w:val="0"/>
                <w:iCs w:val="0"/>
                <w:color w:val="auto"/>
                <w:w w:val="100"/>
                <w:sz w:val="28"/>
                <w:highlight w:val="none"/>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00" w:lineRule="exact"/>
              <w:ind w:left="120"/>
              <w:jc w:val="both"/>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严格控制生产和使用高VOCs含量涂料、油墨、胶粘剂、清洗剂等建设项目。</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区发展改革委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11" w:line="30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11" w:line="300" w:lineRule="exact"/>
              <w:ind w:left="0" w:leftChars="0" w:right="0" w:rightChars="0"/>
              <w:jc w:val="center"/>
              <w:textAlignment w:val="auto"/>
              <w:outlineLvl w:val="9"/>
              <w:rPr>
                <w:rFonts w:hint="eastAsia" w:eastAsia="仿宋_GB2312"/>
                <w:i w:val="0"/>
                <w:iCs w:val="0"/>
                <w:color w:val="auto"/>
                <w:sz w:val="28"/>
                <w:highlight w:val="none"/>
                <w:lang w:eastAsia="zh-CN"/>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60" w:lineRule="exact"/>
              <w:ind w:left="108" w:leftChars="0" w:right="0" w:rightChars="0"/>
              <w:jc w:val="both"/>
              <w:textAlignment w:val="auto"/>
              <w:outlineLvl w:val="9"/>
              <w:rPr>
                <w:rFonts w:hint="eastAsia" w:eastAsia="仿宋_GB2312"/>
                <w:color w:val="auto"/>
                <w:highlight w:val="none"/>
                <w:lang w:val="en-US" w:eastAsia="zh-CN"/>
              </w:rPr>
            </w:pPr>
            <w:r>
              <w:rPr>
                <w:rFonts w:hint="eastAsia"/>
                <w:i w:val="0"/>
                <w:iCs w:val="0"/>
                <w:color w:val="auto"/>
                <w:w w:val="100"/>
                <w:sz w:val="28"/>
                <w:highlight w:val="none"/>
                <w:lang w:val="en-US" w:eastAsia="zh-CN"/>
              </w:rPr>
              <w:t>11</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60" w:lineRule="exact"/>
              <w:ind w:left="8" w:leftChars="0" w:right="0" w:rightChars="0" w:hanging="8" w:firstLineChars="0"/>
              <w:jc w:val="center"/>
              <w:textAlignment w:val="auto"/>
              <w:outlineLvl w:val="9"/>
              <w:rPr>
                <w:color w:val="auto"/>
                <w:highlight w:val="none"/>
              </w:rPr>
            </w:pPr>
            <w:r>
              <w:rPr>
                <w:rFonts w:hint="eastAsia"/>
                <w:i w:val="0"/>
                <w:iCs w:val="0"/>
                <w:color w:val="auto"/>
                <w:sz w:val="28"/>
                <w:highlight w:val="none"/>
              </w:rPr>
              <w:t>推广使用低VOCs含量产品</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6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配合市级部门，对生产、销售环节涂料、胶粘剂、清洗剂等含VOCs产品开展抽检，加大对防水、地坪、防腐、防火等涂料，及密封胶等胶粘剂产品的抽检力度。按市级部门统一部署，VOCs含量查处结果向住房城乡建设、城市管理、交通、生态环境等部门通报，并依程序配合市级部门对抽检不合格的产品及时向社会公示。</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6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6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区市场监管局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1" w:line="360" w:lineRule="exact"/>
              <w:ind w:left="108" w:leftChars="0" w:right="0" w:rightChars="0"/>
              <w:jc w:val="center"/>
              <w:textAlignment w:val="auto"/>
              <w:outlineLvl w:val="9"/>
              <w:rPr>
                <w:rFonts w:hint="eastAsia"/>
                <w:i w:val="0"/>
                <w:iCs w:val="0"/>
                <w:color w:val="auto"/>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default" w:eastAsia="仿宋_GB2312"/>
                <w:i w:val="0"/>
                <w:iCs w:val="0"/>
                <w:color w:val="auto"/>
                <w:w w:val="100"/>
                <w:sz w:val="28"/>
                <w:highlight w:val="none"/>
                <w:lang w:val="en-US" w:eastAsia="zh-CN"/>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2"/>
              <w:keepNext w:val="0"/>
              <w:keepLines w:val="0"/>
              <w:pageBreakBefore w:val="0"/>
              <w:widowControl w:val="0"/>
              <w:kinsoku/>
              <w:wordWrap/>
              <w:overflowPunct/>
              <w:topLinePunct w:val="0"/>
              <w:autoSpaceDE w:val="0"/>
              <w:autoSpaceDN/>
              <w:bidi w:val="0"/>
              <w:adjustRightInd/>
              <w:snapToGrid/>
              <w:spacing w:line="360" w:lineRule="exact"/>
              <w:ind w:left="108" w:leftChars="0" w:right="0" w:rightChars="0"/>
              <w:textAlignment w:val="auto"/>
              <w:rPr>
                <w:rFonts w:hint="eastAsia"/>
                <w:i w:val="0"/>
                <w:iCs w:val="0"/>
                <w:color w:val="auto"/>
                <w:sz w:val="28"/>
                <w:highlight w:val="none"/>
                <w:lang w:val="en-US" w:eastAsia="zh-CN"/>
              </w:rPr>
            </w:pPr>
            <w:r>
              <w:rPr>
                <w:rFonts w:hint="eastAsia" w:ascii="仿宋_GB2312" w:hAnsi="仿宋_GB2312" w:eastAsia="仿宋_GB2312" w:cs="仿宋_GB2312"/>
                <w:i w:val="0"/>
                <w:iCs w:val="0"/>
                <w:color w:val="auto"/>
                <w:kern w:val="2"/>
                <w:sz w:val="28"/>
                <w:szCs w:val="24"/>
                <w:highlight w:val="none"/>
                <w:lang w:val="en-US" w:eastAsia="zh-CN" w:bidi="ar-SA"/>
              </w:rPr>
              <w:t>住房城乡建设、城市管理、交通等行业主管部门组织对建筑类涂料与胶粘剂台账、检测报告等材料开展定期检查，并按照不低于15%的比例对施工工地开展抽检，检查和抽检结果按季度通报区生态环境局，对发现的含VOCs原辅材料检测超标线索移交市场监管部门。</w:t>
            </w:r>
          </w:p>
        </w:tc>
        <w:tc>
          <w:tcPr>
            <w:tcW w:w="1229" w:type="dxa"/>
            <w:noWrap w:val="0"/>
            <w:vAlign w:val="center"/>
          </w:tcPr>
          <w:p>
            <w:pPr>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jc w:val="center"/>
              <w:textAlignment w:val="auto"/>
              <w:rPr>
                <w:rFonts w:hint="eastAsia"/>
                <w:i w:val="0"/>
                <w:iCs w:val="0"/>
                <w:color w:val="auto"/>
                <w:sz w:val="28"/>
                <w:highlight w:val="none"/>
                <w:lang w:val="en-US" w:eastAsia="zh-CN"/>
              </w:rPr>
            </w:pPr>
            <w:r>
              <w:rPr>
                <w:rFonts w:hint="eastAsia" w:ascii="仿宋_GB2312" w:hAnsi="仿宋_GB2312" w:eastAsia="仿宋_GB2312" w:cs="仿宋_GB2312"/>
                <w:i w:val="0"/>
                <w:iCs w:val="0"/>
                <w:color w:val="auto"/>
                <w:kern w:val="2"/>
                <w:sz w:val="28"/>
                <w:szCs w:val="24"/>
                <w:highlight w:val="none"/>
                <w:lang w:val="en-US" w:eastAsia="zh-CN" w:bidi="ar-SA"/>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区水务局</w:t>
            </w:r>
          </w:p>
        </w:tc>
        <w:tc>
          <w:tcPr>
            <w:tcW w:w="2004" w:type="dxa"/>
            <w:noWrap w:val="0"/>
            <w:vAlign w:val="center"/>
          </w:tcPr>
          <w:p>
            <w:pPr>
              <w:pStyle w:val="2"/>
              <w:keepNext w:val="0"/>
              <w:keepLines w:val="0"/>
              <w:pageBreakBefore w:val="0"/>
              <w:widowControl w:val="0"/>
              <w:kinsoku/>
              <w:wordWrap/>
              <w:overflowPunct/>
              <w:topLinePunct w:val="0"/>
              <w:autoSpaceDE w:val="0"/>
              <w:autoSpaceDN/>
              <w:bidi w:val="0"/>
              <w:adjustRightInd/>
              <w:snapToGrid/>
              <w:spacing w:line="360" w:lineRule="exact"/>
              <w:ind w:left="0" w:leftChars="0" w:right="0" w:rightChars="0"/>
              <w:jc w:val="center"/>
              <w:textAlignment w:val="auto"/>
              <w:rPr>
                <w:rFonts w:hint="default" w:eastAsia="仿宋_GB2312"/>
                <w:i w:val="0"/>
                <w:iCs w:val="0"/>
                <w:color w:val="auto"/>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12</w:t>
            </w: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jc w:val="both"/>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jc w:val="center"/>
              <w:textAlignment w:val="auto"/>
              <w:outlineLvl w:val="9"/>
              <w:rPr>
                <w:rFonts w:hint="default"/>
                <w:i w:val="0"/>
                <w:iCs w:val="0"/>
                <w:color w:val="auto"/>
                <w:w w:val="100"/>
                <w:sz w:val="28"/>
                <w:highlight w:val="none"/>
                <w:lang w:val="en-US" w:eastAsia="zh-CN"/>
              </w:rPr>
            </w:pPr>
            <w:r>
              <w:rPr>
                <w:rFonts w:hint="eastAsia"/>
                <w:i w:val="0"/>
                <w:iCs w:val="0"/>
                <w:color w:val="auto"/>
                <w:w w:val="100"/>
                <w:sz w:val="28"/>
                <w:highlight w:val="none"/>
                <w:lang w:val="en-US" w:eastAsia="zh-CN"/>
              </w:rPr>
              <w:t>12</w:t>
            </w:r>
          </w:p>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r>
              <w:rPr>
                <w:rFonts w:hint="eastAsia"/>
                <w:i w:val="0"/>
                <w:iCs w:val="0"/>
                <w:color w:val="auto"/>
                <w:sz w:val="28"/>
                <w:highlight w:val="none"/>
              </w:rPr>
              <w:t>深化重点行业治理</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eastAsia"/>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r>
              <w:rPr>
                <w:rFonts w:hint="eastAsia"/>
                <w:i w:val="0"/>
                <w:iCs w:val="0"/>
                <w:color w:val="auto"/>
                <w:sz w:val="28"/>
                <w:highlight w:val="none"/>
              </w:rPr>
              <w:t>深化重点行业治理</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围绕医药制造、工业涂装、印刷、汽车制造及电子等重点行业，对照相关行业排放标准及无组织排放控制要求，常态化组织开展排查整治，提升治理设施“三率”（VOCs废气收集率、治理设施同步运行率和去除率）。</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配合市级部门，</w:t>
            </w:r>
            <w:r>
              <w:rPr>
                <w:rFonts w:hint="eastAsia"/>
                <w:i w:val="0"/>
                <w:iCs w:val="0"/>
                <w:color w:val="auto"/>
                <w:sz w:val="28"/>
                <w:highlight w:val="none"/>
              </w:rPr>
              <w:t>开展印刷行业低VOCs物料源头替代情形下末端治理设施适应性研究。</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组织实施本市《汽车维修业大气污染物排放标准》，加强汽修企业</w:t>
            </w:r>
            <w:r>
              <w:rPr>
                <w:rFonts w:hint="eastAsia"/>
                <w:i w:val="0"/>
                <w:iCs w:val="0"/>
                <w:color w:val="auto"/>
                <w:sz w:val="28"/>
                <w:highlight w:val="none"/>
                <w:lang w:val="en-US" w:eastAsia="zh-CN"/>
              </w:rPr>
              <w:t>污染物排放</w:t>
            </w:r>
            <w:r>
              <w:rPr>
                <w:rFonts w:hint="eastAsia"/>
                <w:i w:val="0"/>
                <w:iCs w:val="0"/>
                <w:color w:val="auto"/>
                <w:sz w:val="28"/>
                <w:highlight w:val="none"/>
              </w:rPr>
              <w:t>监管。</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rPr>
              <w:t>加强汽修企业全环节监管</w:t>
            </w:r>
            <w:r>
              <w:rPr>
                <w:rFonts w:hint="eastAsia"/>
                <w:i w:val="0"/>
                <w:iCs w:val="0"/>
                <w:color w:val="auto"/>
                <w:sz w:val="28"/>
                <w:highlight w:val="none"/>
                <w:lang w:eastAsia="zh-CN"/>
              </w:rPr>
              <w:t>，</w:t>
            </w:r>
            <w:r>
              <w:rPr>
                <w:rFonts w:hint="eastAsia"/>
                <w:i w:val="0"/>
                <w:iCs w:val="0"/>
                <w:color w:val="auto"/>
                <w:sz w:val="28"/>
                <w:highlight w:val="none"/>
              </w:rPr>
              <w:t>加快推进汽修行业创绿升级，绿色企业比率力争达到</w:t>
            </w:r>
            <w:r>
              <w:rPr>
                <w:rFonts w:hint="eastAsia"/>
                <w:i w:val="0"/>
                <w:iCs w:val="0"/>
                <w:color w:val="auto"/>
                <w:sz w:val="28"/>
                <w:highlight w:val="none"/>
                <w:lang w:val="en-US" w:eastAsia="zh-CN"/>
              </w:rPr>
              <w:t>3</w:t>
            </w:r>
            <w:r>
              <w:rPr>
                <w:rFonts w:hint="eastAsia"/>
                <w:i w:val="0"/>
                <w:iCs w:val="0"/>
                <w:color w:val="auto"/>
                <w:sz w:val="28"/>
                <w:highlight w:val="none"/>
              </w:rPr>
              <w:t>0%</w:t>
            </w:r>
            <w:r>
              <w:rPr>
                <w:rFonts w:hint="eastAsia"/>
                <w:i w:val="0"/>
                <w:iCs w:val="0"/>
                <w:color w:val="auto"/>
                <w:sz w:val="28"/>
                <w:highlight w:val="none"/>
                <w:lang w:val="en-US" w:eastAsia="zh-CN"/>
              </w:rPr>
              <w:t>左右</w:t>
            </w:r>
            <w:r>
              <w:rPr>
                <w:rFonts w:hint="eastAsia"/>
                <w:i w:val="0"/>
                <w:iCs w:val="0"/>
                <w:color w:val="auto"/>
                <w:sz w:val="28"/>
                <w:highlight w:val="none"/>
                <w:lang w:eastAsia="zh-CN"/>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区交通局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配合市级部门，</w:t>
            </w:r>
            <w:r>
              <w:rPr>
                <w:rFonts w:hint="eastAsia"/>
                <w:i w:val="0"/>
                <w:iCs w:val="0"/>
                <w:color w:val="auto"/>
                <w:sz w:val="28"/>
                <w:highlight w:val="none"/>
              </w:rPr>
              <w:t>推进《北京市沥青混合料搅拌站绿色生产技术指南》升级为地方标准</w:t>
            </w:r>
            <w:r>
              <w:rPr>
                <w:rFonts w:hint="eastAsia"/>
                <w:i w:val="0"/>
                <w:iCs w:val="0"/>
                <w:color w:val="auto"/>
                <w:sz w:val="28"/>
                <w:highlight w:val="none"/>
                <w:lang w:eastAsia="zh-CN"/>
              </w:rPr>
              <w:t>。</w:t>
            </w:r>
            <w:r>
              <w:rPr>
                <w:rFonts w:hint="eastAsia"/>
                <w:i w:val="0"/>
                <w:iCs w:val="0"/>
                <w:color w:val="auto"/>
                <w:sz w:val="28"/>
                <w:highlight w:val="none"/>
              </w:rPr>
              <w:t>结合新一轮绿色评级工作，组织开展一轮治理提升。在项目设计、审核、施工等环节推广使用温拌沥青，</w:t>
            </w:r>
            <w:r>
              <w:rPr>
                <w:rFonts w:hint="eastAsia"/>
                <w:i w:val="0"/>
                <w:iCs w:val="0"/>
                <w:color w:val="auto"/>
                <w:sz w:val="28"/>
                <w:highlight w:val="none"/>
                <w:lang w:val="en-US" w:eastAsia="zh-CN"/>
              </w:rPr>
              <w:t>推动新建公路和城市道路基本应用温拌沥青，道路养护</w:t>
            </w:r>
            <w:r>
              <w:rPr>
                <w:rFonts w:hint="eastAsia"/>
                <w:i w:val="0"/>
                <w:iCs w:val="0"/>
                <w:color w:val="auto"/>
                <w:sz w:val="28"/>
                <w:highlight w:val="none"/>
              </w:rPr>
              <w:t>项目</w:t>
            </w:r>
            <w:r>
              <w:rPr>
                <w:rFonts w:hint="eastAsia"/>
                <w:i w:val="0"/>
                <w:iCs w:val="0"/>
                <w:color w:val="auto"/>
                <w:sz w:val="28"/>
                <w:highlight w:val="none"/>
                <w:lang w:val="en-US" w:eastAsia="zh-CN"/>
              </w:rPr>
              <w:t>基本逐步提升</w:t>
            </w:r>
            <w:r>
              <w:rPr>
                <w:rFonts w:hint="eastAsia"/>
                <w:i w:val="0"/>
                <w:iCs w:val="0"/>
                <w:color w:val="auto"/>
                <w:sz w:val="28"/>
                <w:highlight w:val="none"/>
              </w:rPr>
              <w:t>温拌沥青</w:t>
            </w:r>
            <w:r>
              <w:rPr>
                <w:rFonts w:hint="eastAsia"/>
                <w:i w:val="0"/>
                <w:iCs w:val="0"/>
                <w:color w:val="auto"/>
                <w:sz w:val="28"/>
                <w:highlight w:val="none"/>
                <w:lang w:val="en-US" w:eastAsia="zh-CN"/>
              </w:rPr>
              <w:t>使用比例</w:t>
            </w:r>
            <w:r>
              <w:rPr>
                <w:rFonts w:hint="eastAsia"/>
                <w:i w:val="0"/>
                <w:iCs w:val="0"/>
                <w:color w:val="auto"/>
                <w:sz w:val="28"/>
                <w:highlight w:val="none"/>
              </w:rPr>
              <w:t>。推进沥青混凝土绿色运输，沥青混凝土密闭式新能源运输比例不低于</w:t>
            </w:r>
            <w:r>
              <w:rPr>
                <w:rFonts w:hint="eastAsia"/>
                <w:i w:val="0"/>
                <w:iCs w:val="0"/>
                <w:color w:val="auto"/>
                <w:sz w:val="28"/>
                <w:highlight w:val="none"/>
                <w:lang w:val="en-US" w:eastAsia="zh-CN"/>
              </w:rPr>
              <w:t>25</w:t>
            </w:r>
            <w:r>
              <w:rPr>
                <w:rFonts w:hint="eastAsia"/>
                <w:i w:val="0"/>
                <w:iCs w:val="0"/>
                <w:color w:val="auto"/>
                <w:sz w:val="28"/>
                <w:highlight w:val="none"/>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市交通委密云</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公路分局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23"/>
                <w:sz w:val="28"/>
                <w:highlight w:val="none"/>
                <w:lang w:val="en-US" w:eastAsia="zh-CN"/>
              </w:rPr>
            </w:pPr>
            <w:r>
              <w:rPr>
                <w:rFonts w:hint="eastAsia"/>
                <w:i w:val="0"/>
                <w:iCs w:val="0"/>
                <w:color w:val="auto"/>
                <w:sz w:val="28"/>
                <w:highlight w:val="none"/>
                <w:lang w:val="en-US" w:eastAsia="zh-CN"/>
              </w:rPr>
              <w:t>区城市管理委</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区农业农村局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巩固2024年接诉即办“每月一题”餐饮油烟治理工作成效，继续推行重点点位包案机制，组织开展治理提升。生态环境、商务、市场监管等部门和街乡镇协同做好餐饮油烟源头防控。</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区商务局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区市场监管局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3"/>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4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13</w:t>
            </w:r>
          </w:p>
        </w:tc>
        <w:tc>
          <w:tcPr>
            <w:tcW w:w="945"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r>
              <w:rPr>
                <w:rFonts w:hint="eastAsia"/>
                <w:i w:val="0"/>
                <w:iCs w:val="0"/>
                <w:color w:val="auto"/>
                <w:sz w:val="28"/>
                <w:highlight w:val="none"/>
              </w:rPr>
              <w:t>重点产业园区绿色升级</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加强重点产业园区VOCs精准溯源和精细化管控，重点开展无组织排放排查治理，推动VOCs高值点位得到有效整治。</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区经济和信息化局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4" w:hRule="atLeast"/>
          <w:jc w:val="center"/>
        </w:trPr>
        <w:tc>
          <w:tcPr>
            <w:tcW w:w="4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14</w:t>
            </w:r>
          </w:p>
        </w:tc>
        <w:tc>
          <w:tcPr>
            <w:tcW w:w="945"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r>
              <w:rPr>
                <w:rFonts w:hint="eastAsia"/>
                <w:i w:val="0"/>
                <w:iCs w:val="0"/>
                <w:color w:val="auto"/>
                <w:sz w:val="28"/>
                <w:highlight w:val="none"/>
              </w:rPr>
              <w:t>推进清洁燃料替代</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未实施煤改清洁能源替代地区实现清洁煤替代散煤全覆盖。已完成煤改清洁能源替代地区巩固基本“无煤化”成果。全面强化农村燃煤复烧监管，严防燃煤复烧。</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区农业农村局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区农业农村局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default"/>
                <w:i w:val="0"/>
                <w:iCs w:val="0"/>
                <w:color w:val="auto"/>
                <w:sz w:val="28"/>
                <w:highlight w:val="none"/>
                <w:lang w:val="en-US" w:eastAsia="zh-CN"/>
              </w:rPr>
            </w:pPr>
            <w:r>
              <w:rPr>
                <w:rFonts w:hint="eastAsia"/>
                <w:i w:val="0"/>
                <w:iCs w:val="0"/>
                <w:color w:val="auto"/>
                <w:sz w:val="28"/>
                <w:highlight w:val="none"/>
                <w:lang w:val="en-US" w:eastAsia="zh-CN"/>
              </w:rPr>
              <w:t>区市场监管局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区财政局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eastAsia="仿宋_GB2312"/>
                <w:color w:val="auto"/>
                <w:spacing w:val="-17"/>
                <w:sz w:val="28"/>
                <w:szCs w:val="28"/>
                <w:highlight w:val="none"/>
              </w:rPr>
              <w:t>国网密云供电公司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14940" w:type="dxa"/>
            <w:gridSpan w:val="8"/>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四、以城市精细治理为抓手，推动管理减排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6"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leftChars="0" w:right="0" w:rightChars="0"/>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15</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rPr>
              <w:t>落实扬尘管控责任</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outlineLvl w:val="9"/>
              <w:rPr>
                <w:rFonts w:ascii="Times New Roman"/>
                <w:i w:val="0"/>
                <w:iCs w:val="0"/>
                <w:color w:val="auto"/>
                <w:sz w:val="28"/>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i w:val="0"/>
                <w:iCs w:val="0"/>
                <w:color w:val="auto"/>
                <w:spacing w:val="-13"/>
                <w:sz w:val="28"/>
                <w:highlight w:val="none"/>
              </w:rPr>
              <w:t xml:space="preserve">降尘量控制在 </w:t>
            </w:r>
            <w:r>
              <w:rPr>
                <w:rFonts w:hint="eastAsia"/>
                <w:i w:val="0"/>
                <w:iCs w:val="0"/>
                <w:color w:val="auto"/>
                <w:sz w:val="28"/>
                <w:highlight w:val="none"/>
                <w:lang w:val="en-US" w:eastAsia="zh-CN"/>
              </w:rPr>
              <w:t>4.5</w:t>
            </w:r>
            <w:r>
              <w:rPr>
                <w:i w:val="0"/>
                <w:iCs w:val="0"/>
                <w:color w:val="auto"/>
                <w:spacing w:val="-35"/>
                <w:sz w:val="28"/>
                <w:highlight w:val="none"/>
              </w:rPr>
              <w:t xml:space="preserve"> 吨</w:t>
            </w:r>
            <w:r>
              <w:rPr>
                <w:i w:val="0"/>
                <w:iCs w:val="0"/>
                <w:color w:val="auto"/>
                <w:sz w:val="28"/>
                <w:highlight w:val="none"/>
              </w:rPr>
              <w:t>/</w:t>
            </w:r>
            <w:r>
              <w:rPr>
                <w:i w:val="0"/>
                <w:iCs w:val="0"/>
                <w:color w:val="auto"/>
                <w:spacing w:val="-2"/>
                <w:sz w:val="28"/>
                <w:highlight w:val="none"/>
              </w:rPr>
              <w:t>平方公里</w:t>
            </w:r>
            <w:r>
              <w:rPr>
                <w:i w:val="0"/>
                <w:iCs w:val="0"/>
                <w:color w:val="auto"/>
                <w:sz w:val="28"/>
                <w:highlight w:val="none"/>
              </w:rPr>
              <w:t>·</w:t>
            </w:r>
            <w:r>
              <w:rPr>
                <w:i w:val="0"/>
                <w:iCs w:val="0"/>
                <w:color w:val="auto"/>
                <w:spacing w:val="-2"/>
                <w:sz w:val="28"/>
                <w:highlight w:val="none"/>
              </w:rPr>
              <w:t>月左右</w:t>
            </w:r>
            <w:r>
              <w:rPr>
                <w:i w:val="0"/>
                <w:iCs w:val="0"/>
                <w:color w:val="auto"/>
                <w:sz w:val="28"/>
                <w:highlight w:val="none"/>
              </w:rPr>
              <w:t>（扣</w:t>
            </w:r>
            <w:r>
              <w:rPr>
                <w:i w:val="0"/>
                <w:iCs w:val="0"/>
                <w:color w:val="auto"/>
                <w:spacing w:val="-3"/>
                <w:sz w:val="28"/>
                <w:highlight w:val="none"/>
              </w:rPr>
              <w:t>除沙尘影响</w:t>
            </w:r>
            <w:r>
              <w:rPr>
                <w:i w:val="0"/>
                <w:iCs w:val="0"/>
                <w:color w:val="auto"/>
                <w:sz w:val="28"/>
                <w:highlight w:val="none"/>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rFonts w:hint="eastAsia"/>
                <w:i w:val="0"/>
                <w:iCs w:val="0"/>
                <w:color w:val="auto"/>
                <w:spacing w:val="-2"/>
                <w:sz w:val="28"/>
                <w:highlight w:val="none"/>
                <w:lang w:val="en-US" w:eastAsia="zh-CN"/>
              </w:rPr>
              <w:t>区城市管理委</w:t>
            </w:r>
            <w:r>
              <w:rPr>
                <w:i w:val="0"/>
                <w:iCs w:val="0"/>
                <w:color w:val="auto"/>
                <w:spacing w:val="-2"/>
                <w:sz w:val="28"/>
                <w:highlight w:val="none"/>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right="0"/>
              <w:jc w:val="center"/>
              <w:textAlignment w:val="auto"/>
              <w:outlineLvl w:val="9"/>
              <w:rPr>
                <w:rFonts w:hint="eastAsia" w:eastAsia="仿宋_GB2312"/>
                <w:i w:val="0"/>
                <w:iCs w:val="0"/>
                <w:color w:val="auto"/>
                <w:spacing w:val="-2"/>
                <w:sz w:val="28"/>
                <w:highlight w:val="none"/>
                <w:lang w:val="en-US" w:eastAsia="zh-CN"/>
              </w:rPr>
            </w:pPr>
            <w:r>
              <w:rPr>
                <w:rFonts w:hint="eastAsia"/>
                <w:i w:val="0"/>
                <w:iCs w:val="0"/>
                <w:color w:val="auto"/>
                <w:spacing w:val="-34"/>
                <w:sz w:val="28"/>
                <w:highlight w:val="none"/>
                <w:lang w:val="en-US" w:eastAsia="zh-CN"/>
              </w:rPr>
              <w:t>区住房和城乡建设委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等行业主管部门</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4"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leftChars="0" w:right="0" w:rightChars="0"/>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60" w:lineRule="exact"/>
              <w:ind w:left="12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以3-5月为重点开展扬尘专项治理百日攻坚行动，围绕施工扬尘、道路扬尘、裸地扬尘、外来沙尘等，加强“四尘”共治，提高城市精细化管理水平，</w:t>
            </w:r>
            <w:r>
              <w:rPr>
                <w:rFonts w:hint="eastAsia"/>
                <w:i w:val="0"/>
                <w:iCs w:val="0"/>
                <w:color w:val="auto"/>
                <w:sz w:val="28"/>
                <w:highlight w:val="none"/>
                <w:lang w:val="en-US" w:eastAsia="zh-CN"/>
              </w:rPr>
              <w:t>期间，</w:t>
            </w:r>
            <w:r>
              <w:rPr>
                <w:rFonts w:hint="eastAsia"/>
                <w:i w:val="0"/>
                <w:iCs w:val="0"/>
                <w:color w:val="auto"/>
                <w:sz w:val="28"/>
                <w:highlight w:val="none"/>
              </w:rPr>
              <w:t>实现各行业工地（场站）出入口道路尘负荷持续下降。</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长期实施</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农业农村局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default" w:eastAsia="仿宋_GB2312"/>
                <w:i w:val="0"/>
                <w:iCs w:val="0"/>
                <w:color w:val="auto"/>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jc w:val="center"/>
        </w:trPr>
        <w:tc>
          <w:tcPr>
            <w:tcW w:w="4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rFonts w:hint="default"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15</w:t>
            </w:r>
          </w:p>
        </w:tc>
        <w:tc>
          <w:tcPr>
            <w:tcW w:w="945"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r>
              <w:rPr>
                <w:rFonts w:hint="eastAsia"/>
                <w:i w:val="0"/>
                <w:iCs w:val="0"/>
                <w:color w:val="auto"/>
                <w:sz w:val="28"/>
                <w:highlight w:val="none"/>
              </w:rPr>
              <w:t>落实扬尘管控责任</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0"/>
                <w:sz w:val="28"/>
                <w:highlight w:val="none"/>
              </w:rPr>
              <w:t>定期通报</w:t>
            </w:r>
            <w:r>
              <w:rPr>
                <w:i w:val="0"/>
                <w:iCs w:val="0"/>
                <w:color w:val="auto"/>
                <w:sz w:val="28"/>
                <w:highlight w:val="none"/>
              </w:rPr>
              <w:t>各镇街（地区）</w:t>
            </w:r>
            <w:r>
              <w:rPr>
                <w:rFonts w:hint="eastAsia"/>
                <w:i w:val="0"/>
                <w:iCs w:val="0"/>
                <w:color w:val="auto"/>
                <w:spacing w:val="0"/>
                <w:sz w:val="28"/>
                <w:highlight w:val="none"/>
              </w:rPr>
              <w:t>粗颗粒物（TSP）浓度、道路尘负荷等情况。各行业工地（场站）出入口道路尘负荷等情况，督促落实扬尘管控措施及“门前三包”。</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长期实施</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农业农村局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400" w:lineRule="exact"/>
              <w:ind w:left="0"/>
              <w:jc w:val="center"/>
              <w:textAlignment w:val="auto"/>
              <w:outlineLvl w:val="9"/>
              <w:rPr>
                <w:i w:val="0"/>
                <w:iCs w:val="0"/>
                <w:color w:val="auto"/>
                <w:sz w:val="28"/>
                <w:highlight w:val="none"/>
              </w:rPr>
            </w:pPr>
            <w:r>
              <w:rPr>
                <w:rFonts w:hint="eastAsia"/>
                <w:i w:val="0"/>
                <w:iCs w:val="0"/>
                <w:color w:val="auto"/>
                <w:sz w:val="28"/>
                <w:highlight w:val="none"/>
              </w:rPr>
              <w:t>强化施工扬尘管控</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进一步推动施工工地创绿创优。严格落实本市建设工程施工现场扬尘治理工地管理办法和绿色施工技术规范或指导意见中关于进一步提高扬尘管控的要求。</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4" w:line="320" w:lineRule="exact"/>
              <w:ind w:left="0" w:leftChars="0" w:right="58"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z w:val="28"/>
                <w:highlight w:val="none"/>
              </w:rPr>
            </w:pPr>
            <w:r>
              <w:rPr>
                <w:rFonts w:hint="eastAsia"/>
                <w:i w:val="0"/>
                <w:iCs w:val="0"/>
                <w:color w:val="auto"/>
                <w:spacing w:val="0"/>
                <w:sz w:val="28"/>
                <w:highlight w:val="none"/>
                <w:lang w:eastAsia="zh-CN"/>
              </w:rPr>
              <w:t>区</w:t>
            </w:r>
            <w:r>
              <w:rPr>
                <w:rFonts w:hint="eastAsia"/>
                <w:i w:val="0"/>
                <w:iCs w:val="0"/>
                <w:color w:val="auto"/>
                <w:spacing w:val="0"/>
                <w:sz w:val="28"/>
                <w:highlight w:val="none"/>
              </w:rPr>
              <w:t>住房城乡建设委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城市管理委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pacing w:val="-23"/>
                <w:sz w:val="28"/>
                <w:highlight w:val="none"/>
                <w:lang w:val="en-US" w:eastAsia="zh-CN"/>
              </w:rPr>
            </w:pPr>
            <w:r>
              <w:rPr>
                <w:rFonts w:hint="eastAsia"/>
                <w:i w:val="0"/>
                <w:iCs w:val="0"/>
                <w:color w:val="auto"/>
                <w:spacing w:val="-23"/>
                <w:sz w:val="28"/>
                <w:highlight w:val="none"/>
                <w:lang w:val="en-US" w:eastAsia="zh-CN"/>
              </w:rPr>
              <w:t>市交通委密云</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pacing w:val="-23"/>
                <w:sz w:val="28"/>
                <w:highlight w:val="none"/>
                <w:lang w:val="en-US" w:eastAsia="zh-CN"/>
              </w:rPr>
              <w:t>公路分局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农业农村局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1" w:line="320" w:lineRule="exact"/>
              <w:ind w:left="0" w:leftChars="0" w:right="87"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1" w:line="320" w:lineRule="exact"/>
              <w:ind w:left="0" w:leftChars="0" w:right="87" w:rightChars="0"/>
              <w:jc w:val="center"/>
              <w:textAlignment w:val="auto"/>
              <w:outlineLvl w:val="9"/>
              <w:rPr>
                <w:i w:val="0"/>
                <w:iCs w:val="0"/>
                <w:color w:val="auto"/>
                <w:sz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60" w:lineRule="exact"/>
              <w:ind w:left="11"/>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推广基坑气膜等先进技术，原则上符合基坑气膜使用标准的新建工程，要优先使用基坑气膜。</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ascii="仿宋_GB2312" w:hAnsi="仿宋_GB2312" w:eastAsia="仿宋_GB2312" w:cs="仿宋_GB2312"/>
                <w:i w:val="0"/>
                <w:iCs w:val="0"/>
                <w:color w:val="auto"/>
                <w:kern w:val="2"/>
                <w:sz w:val="28"/>
                <w:szCs w:val="24"/>
                <w:highlight w:val="none"/>
                <w:lang w:val="en-US" w:eastAsia="zh-CN" w:bidi="ar-SA"/>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default"/>
                <w:i w:val="0"/>
                <w:iCs w:val="0"/>
                <w:color w:val="auto"/>
                <w:sz w:val="28"/>
                <w:highlight w:val="none"/>
                <w:lang w:val="en-US" w:eastAsia="zh-CN"/>
              </w:rPr>
            </w:pPr>
            <w:r>
              <w:rPr>
                <w:rFonts w:hint="eastAsia"/>
                <w:i w:val="0"/>
                <w:iCs w:val="0"/>
                <w:color w:val="auto"/>
                <w:spacing w:val="-17"/>
                <w:sz w:val="28"/>
                <w:highlight w:val="none"/>
                <w:lang w:eastAsia="zh-CN"/>
              </w:rPr>
              <w:t>区</w:t>
            </w:r>
            <w:r>
              <w:rPr>
                <w:rFonts w:hint="eastAsia"/>
                <w:i w:val="0"/>
                <w:iCs w:val="0"/>
                <w:color w:val="auto"/>
                <w:spacing w:val="-17"/>
                <w:sz w:val="28"/>
                <w:highlight w:val="none"/>
              </w:rPr>
              <w:t>住房城乡建设委</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pacing w:val="-17"/>
                <w:sz w:val="28"/>
                <w:highlight w:val="none"/>
              </w:rPr>
            </w:pPr>
            <w:r>
              <w:rPr>
                <w:rFonts w:hint="eastAsia"/>
                <w:i w:val="0"/>
                <w:iCs w:val="0"/>
                <w:color w:val="auto"/>
                <w:spacing w:val="-17"/>
                <w:sz w:val="28"/>
                <w:highlight w:val="none"/>
                <w:lang w:eastAsia="zh-CN"/>
              </w:rPr>
              <w:t>区</w:t>
            </w:r>
            <w:r>
              <w:rPr>
                <w:rFonts w:hint="eastAsia"/>
                <w:i w:val="0"/>
                <w:iCs w:val="0"/>
                <w:color w:val="auto"/>
                <w:spacing w:val="-17"/>
                <w:sz w:val="28"/>
                <w:highlight w:val="none"/>
              </w:rPr>
              <w:t>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rFonts w:hint="default"/>
                <w:i w:val="0"/>
                <w:iCs w:val="0"/>
                <w:color w:val="auto"/>
                <w:sz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eastAsia="仿宋_GB2312"/>
                <w:color w:val="auto"/>
                <w:highlight w:val="none"/>
                <w:lang w:val="en-US" w:eastAsia="zh-CN"/>
              </w:rPr>
            </w:pPr>
            <w:r>
              <w:rPr>
                <w:rFonts w:hint="eastAsia"/>
                <w:i w:val="0"/>
                <w:iCs w:val="0"/>
                <w:color w:val="auto"/>
                <w:w w:val="100"/>
                <w:sz w:val="28"/>
                <w:highlight w:val="none"/>
                <w:lang w:val="en-US" w:eastAsia="zh-CN"/>
              </w:rPr>
              <w:t>16</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color w:val="auto"/>
                <w:highlight w:val="none"/>
              </w:rPr>
            </w:pPr>
            <w:r>
              <w:rPr>
                <w:rFonts w:hint="eastAsia"/>
                <w:color w:val="auto"/>
                <w:sz w:val="28"/>
                <w:szCs w:val="28"/>
                <w:highlight w:val="none"/>
              </w:rPr>
              <w:t>强化施工扬尘管控</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优化完善施工扬尘视频监管平台、建筑垃圾运输车辆管理系统平台、交通管理等系统平台功能，并与各属地和行业主管部门共享。</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区住房城乡建设委巩固扬尘精细化管理成效，加强扬尘视频监管平台运维使用，按季度发布施工扬尘治理工作情况。</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pacing w:val="-17"/>
                <w:sz w:val="28"/>
                <w:highlight w:val="none"/>
                <w:lang w:val="en-US" w:eastAsia="zh-CN"/>
              </w:rPr>
              <w:t>区公安分局交通支队</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区交通局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区水务局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区园林绿化局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default"/>
                <w:i w:val="0"/>
                <w:iCs w:val="0"/>
                <w:color w:val="auto"/>
                <w:w w:val="100"/>
                <w:sz w:val="28"/>
                <w:highlight w:val="none"/>
                <w:lang w:val="en-US"/>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rPr>
              <w:t>开展建筑垃圾专项整治工作，建筑垃圾生产加工设备</w:t>
            </w:r>
            <w:r>
              <w:rPr>
                <w:rFonts w:hint="eastAsia"/>
                <w:i w:val="0"/>
                <w:iCs w:val="0"/>
                <w:color w:val="auto"/>
                <w:sz w:val="28"/>
                <w:highlight w:val="none"/>
                <w:lang w:val="en-US" w:eastAsia="zh-CN"/>
              </w:rPr>
              <w:t>鼓励</w:t>
            </w:r>
            <w:r>
              <w:rPr>
                <w:rFonts w:hint="eastAsia"/>
                <w:i w:val="0"/>
                <w:iCs w:val="0"/>
                <w:color w:val="auto"/>
                <w:sz w:val="28"/>
                <w:highlight w:val="none"/>
              </w:rPr>
              <w:t>实现厂房密闭或结构式密闭，建筑垃圾及再生材料堆体区鼓励采用厂房或基坑气膜等方式实现全密闭。</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区城市管理委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cs="仿宋_GB2312"/>
                <w:i w:val="0"/>
                <w:iCs w:val="0"/>
                <w:color w:val="auto"/>
                <w:sz w:val="28"/>
                <w:szCs w:val="22"/>
                <w:highlight w:val="none"/>
                <w:lang w:val="en-US" w:eastAsia="zh-CN" w:bidi="ar-SA"/>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color w:val="auto"/>
                <w:highlight w:val="none"/>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color w:val="auto"/>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城市管理部门充分发挥</w:t>
            </w:r>
            <w:r>
              <w:rPr>
                <w:rFonts w:hint="eastAsia"/>
                <w:i w:val="0"/>
                <w:iCs w:val="0"/>
                <w:color w:val="auto"/>
                <w:sz w:val="28"/>
                <w:highlight w:val="none"/>
              </w:rPr>
              <w:t>高风险运输企业名单</w:t>
            </w:r>
            <w:r>
              <w:rPr>
                <w:rFonts w:hint="eastAsia"/>
                <w:i w:val="0"/>
                <w:iCs w:val="0"/>
                <w:color w:val="auto"/>
                <w:sz w:val="28"/>
                <w:highlight w:val="none"/>
                <w:lang w:val="en-US" w:eastAsia="zh-CN"/>
              </w:rPr>
              <w:t>作用</w:t>
            </w:r>
            <w:r>
              <w:rPr>
                <w:rFonts w:hint="eastAsia"/>
                <w:i w:val="0"/>
                <w:iCs w:val="0"/>
                <w:color w:val="auto"/>
                <w:sz w:val="28"/>
                <w:highlight w:val="none"/>
              </w:rPr>
              <w:t>，住建、交通、园林、水务等工程建设主管部门协商工程建设施工单位，少使用、不使用或主动更换违法行为较多的建筑垃圾运输单位</w:t>
            </w:r>
            <w:r>
              <w:rPr>
                <w:rFonts w:hint="eastAsia"/>
                <w:i w:val="0"/>
                <w:iCs w:val="0"/>
                <w:color w:val="auto"/>
                <w:sz w:val="28"/>
                <w:highlight w:val="none"/>
                <w:lang w:eastAsia="zh-CN"/>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cs="仿宋_GB2312"/>
                <w:i w:val="0"/>
                <w:iCs w:val="0"/>
                <w:color w:val="auto"/>
                <w:sz w:val="28"/>
                <w:highlight w:val="none"/>
                <w:lang w:val="en-US" w:eastAsia="zh-CN"/>
              </w:rPr>
              <w:t>区城市管理委</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区水务局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区园林绿化局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s="仿宋_GB2312"/>
                <w:i w:val="0"/>
                <w:iCs w:val="0"/>
                <w:color w:val="auto"/>
                <w:sz w:val="28"/>
                <w:highlight w:val="none"/>
                <w:lang w:val="en-US" w:eastAsia="zh-CN"/>
              </w:rPr>
            </w:pPr>
            <w:r>
              <w:rPr>
                <w:rFonts w:hint="eastAsia" w:cs="仿宋_GB2312"/>
                <w:i w:val="0"/>
                <w:iCs w:val="0"/>
                <w:color w:val="auto"/>
                <w:sz w:val="28"/>
                <w:highlight w:val="none"/>
                <w:lang w:val="en-US" w:eastAsia="zh-CN"/>
              </w:rPr>
              <w:t>区农业农村局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rFonts w:hint="default"/>
                <w:i w:val="0"/>
                <w:iCs w:val="0"/>
                <w:color w:val="auto"/>
                <w:w w:val="100"/>
                <w:sz w:val="28"/>
                <w:highlight w:val="none"/>
                <w:lang w:val="en-US"/>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开展洗轮机规范使用专项行动。</w:t>
            </w:r>
            <w:r>
              <w:rPr>
                <w:rFonts w:hint="eastAsia"/>
                <w:i w:val="0"/>
                <w:iCs w:val="0"/>
                <w:color w:val="auto"/>
                <w:sz w:val="28"/>
                <w:highlight w:val="none"/>
                <w:lang w:val="en-US" w:eastAsia="zh-CN"/>
              </w:rPr>
              <w:t>严格落实</w:t>
            </w:r>
            <w:r>
              <w:rPr>
                <w:rFonts w:hint="eastAsia"/>
                <w:i w:val="0"/>
                <w:iCs w:val="0"/>
                <w:color w:val="auto"/>
                <w:sz w:val="28"/>
                <w:highlight w:val="none"/>
              </w:rPr>
              <w:t>洗轮机设置规范，督促各类施工企业落实绿色施工各项要求，做好工地（场站）洗轮机规范安装工作，并组织实施，把好扬尘“出口”，进一步强化洗轮设施专项检查，拒绝带泥上路行驶。</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17"/>
                <w:sz w:val="28"/>
                <w:highlight w:val="none"/>
                <w:lang w:eastAsia="zh-CN"/>
              </w:rPr>
              <w:t>区</w:t>
            </w:r>
            <w:r>
              <w:rPr>
                <w:rFonts w:hint="eastAsia"/>
                <w:i w:val="0"/>
                <w:iCs w:val="0"/>
                <w:color w:val="auto"/>
                <w:spacing w:val="-17"/>
                <w:sz w:val="28"/>
                <w:highlight w:val="none"/>
              </w:rPr>
              <w:t>住房城乡建设委</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i w:val="0"/>
                <w:iCs w:val="0"/>
                <w:color w:val="auto"/>
                <w:spacing w:val="-17"/>
                <w:sz w:val="28"/>
                <w:highlight w:val="none"/>
              </w:rPr>
            </w:pPr>
            <w:r>
              <w:rPr>
                <w:rFonts w:hint="eastAsia"/>
                <w:i w:val="0"/>
                <w:iCs w:val="0"/>
                <w:color w:val="auto"/>
                <w:spacing w:val="-17"/>
                <w:sz w:val="28"/>
                <w:highlight w:val="none"/>
                <w:lang w:eastAsia="zh-CN"/>
              </w:rPr>
              <w:t>区</w:t>
            </w:r>
            <w:r>
              <w:rPr>
                <w:rFonts w:hint="eastAsia"/>
                <w:i w:val="0"/>
                <w:iCs w:val="0"/>
                <w:color w:val="auto"/>
                <w:spacing w:val="-17"/>
                <w:sz w:val="28"/>
                <w:highlight w:val="none"/>
              </w:rPr>
              <w:t>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农业农村局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jc w:val="center"/>
        </w:trPr>
        <w:tc>
          <w:tcPr>
            <w:tcW w:w="46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eastAsia="仿宋_GB2312"/>
                <w:i w:val="0"/>
                <w:iCs w:val="0"/>
                <w:color w:val="auto"/>
                <w:w w:val="100"/>
                <w:sz w:val="28"/>
                <w:highlight w:val="none"/>
                <w:lang w:val="en-US" w:eastAsia="zh-CN"/>
              </w:rPr>
            </w:pPr>
            <w:r>
              <w:rPr>
                <w:rFonts w:hint="eastAsia" w:ascii="仿宋_GB2312" w:hAnsi="仿宋_GB2312" w:eastAsia="仿宋_GB2312" w:cs="仿宋_GB2312"/>
                <w:i w:val="0"/>
                <w:iCs w:val="0"/>
                <w:color w:val="auto"/>
                <w:kern w:val="2"/>
                <w:sz w:val="28"/>
                <w:szCs w:val="24"/>
                <w:highlight w:val="none"/>
                <w:lang w:val="en-US" w:eastAsia="zh-CN" w:bidi="ar-SA"/>
              </w:rPr>
              <w:t>17</w:t>
            </w:r>
          </w:p>
        </w:tc>
        <w:tc>
          <w:tcPr>
            <w:tcW w:w="94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kern w:val="2"/>
                <w:sz w:val="28"/>
                <w:szCs w:val="24"/>
                <w:highlight w:val="none"/>
                <w:lang w:val="en-US" w:eastAsia="zh-CN" w:bidi="ar-SA"/>
              </w:rPr>
              <w:t>严格道路扬尘监管</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加大道路清扫保洁力度，城市道路机械化作业率达到97%。</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kern w:val="2"/>
                <w:sz w:val="28"/>
                <w:szCs w:val="24"/>
                <w:highlight w:val="none"/>
                <w:lang w:val="en-US" w:eastAsia="zh-CN" w:bidi="ar-SA"/>
              </w:rPr>
            </w:pPr>
            <w:r>
              <w:rPr>
                <w:rFonts w:hint="eastAsia" w:ascii="仿宋_GB2312" w:hAnsi="仿宋_GB2312" w:eastAsia="仿宋_GB2312" w:cs="仿宋_GB2312"/>
                <w:i w:val="0"/>
                <w:iCs w:val="0"/>
                <w:color w:val="auto"/>
                <w:spacing w:val="0"/>
                <w:kern w:val="2"/>
                <w:sz w:val="28"/>
                <w:szCs w:val="24"/>
                <w:highlight w:val="none"/>
                <w:lang w:val="en-US" w:eastAsia="zh-CN" w:bidi="ar-SA"/>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城市管理委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z w:val="28"/>
                <w:highlight w:val="none"/>
                <w:lang w:val="en-US" w:eastAsia="zh-CN"/>
              </w:rPr>
              <w:t>市交通委密云公路分局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pacing w:val="-17"/>
                <w:sz w:val="28"/>
                <w:highlight w:val="none"/>
                <w:lang w:eastAsia="zh-CN"/>
              </w:rPr>
              <w:t>区</w:t>
            </w:r>
            <w:r>
              <w:rPr>
                <w:rFonts w:hint="eastAsia" w:eastAsia="仿宋_GB2312"/>
                <w:i w:val="0"/>
                <w:iCs w:val="0"/>
                <w:color w:val="auto"/>
                <w:spacing w:val="-17"/>
                <w:sz w:val="28"/>
                <w:highlight w:val="none"/>
                <w:lang w:eastAsia="zh-CN"/>
              </w:rPr>
              <w:t>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eastAsia="zh-CN"/>
              </w:rPr>
              <w:t>区</w:t>
            </w:r>
            <w:r>
              <w:rPr>
                <w:rFonts w:hint="eastAsia" w:eastAsia="仿宋_GB2312"/>
                <w:i w:val="0"/>
                <w:iCs w:val="0"/>
                <w:color w:val="auto"/>
                <w:sz w:val="28"/>
                <w:highlight w:val="none"/>
                <w:lang w:eastAsia="zh-CN"/>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eastAsia="zh-CN"/>
              </w:rPr>
              <w:t>区</w:t>
            </w:r>
            <w:r>
              <w:rPr>
                <w:rFonts w:hint="eastAsia" w:eastAsia="仿宋_GB2312"/>
                <w:i w:val="0"/>
                <w:iCs w:val="0"/>
                <w:color w:val="auto"/>
                <w:sz w:val="28"/>
                <w:highlight w:val="none"/>
                <w:lang w:eastAsia="zh-CN"/>
              </w:rPr>
              <w:t>园林绿化局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6"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default"/>
                <w:i w:val="0"/>
                <w:iCs w:val="0"/>
                <w:color w:val="auto"/>
                <w:w w:val="100"/>
                <w:sz w:val="28"/>
                <w:highlight w:val="none"/>
                <w:lang w:val="en-US"/>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持续开展道路“消劣”专项行动。</w:t>
            </w:r>
            <w:r>
              <w:rPr>
                <w:rFonts w:hint="eastAsia"/>
                <w:i w:val="0"/>
                <w:iCs w:val="0"/>
                <w:color w:val="auto"/>
                <w:spacing w:val="0"/>
                <w:sz w:val="28"/>
                <w:highlight w:val="none"/>
              </w:rPr>
              <w:t>开展平原地区道路尘负荷监测</w:t>
            </w:r>
            <w:r>
              <w:rPr>
                <w:rFonts w:hint="eastAsia"/>
                <w:i w:val="0"/>
                <w:iCs w:val="0"/>
                <w:color w:val="auto"/>
                <w:spacing w:val="0"/>
                <w:sz w:val="28"/>
                <w:highlight w:val="none"/>
                <w:lang w:eastAsia="zh-CN"/>
              </w:rPr>
              <w:t>，</w:t>
            </w:r>
            <w:r>
              <w:rPr>
                <w:rFonts w:hint="eastAsia"/>
                <w:i w:val="0"/>
                <w:iCs w:val="0"/>
                <w:color w:val="auto"/>
                <w:sz w:val="28"/>
                <w:highlight w:val="none"/>
              </w:rPr>
              <w:t>定期</w:t>
            </w:r>
            <w:r>
              <w:rPr>
                <w:rFonts w:hint="eastAsia"/>
                <w:i w:val="0"/>
                <w:iCs w:val="0"/>
                <w:color w:val="auto"/>
                <w:sz w:val="28"/>
                <w:highlight w:val="none"/>
                <w:lang w:val="en-US" w:eastAsia="zh-CN"/>
              </w:rPr>
              <w:t>通报</w:t>
            </w:r>
            <w:r>
              <w:rPr>
                <w:rFonts w:hint="eastAsia"/>
                <w:i w:val="0"/>
                <w:iCs w:val="0"/>
                <w:color w:val="auto"/>
                <w:sz w:val="28"/>
                <w:highlight w:val="none"/>
              </w:rPr>
              <w:t>平原地区道路尘负荷评价为差等级的道路，督促属地、行业主管部门整改，实现差等级道路动态消除。</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kern w:val="2"/>
                <w:sz w:val="28"/>
                <w:szCs w:val="24"/>
                <w:highlight w:val="none"/>
                <w:lang w:val="en-US" w:eastAsia="zh-CN" w:bidi="ar-SA"/>
              </w:rPr>
            </w:pPr>
            <w:r>
              <w:rPr>
                <w:rFonts w:hint="eastAsia" w:ascii="仿宋_GB2312" w:hAnsi="仿宋_GB2312" w:eastAsia="仿宋_GB2312" w:cs="仿宋_GB2312"/>
                <w:i w:val="0"/>
                <w:iCs w:val="0"/>
                <w:color w:val="auto"/>
                <w:spacing w:val="0"/>
                <w:kern w:val="2"/>
                <w:sz w:val="28"/>
                <w:szCs w:val="24"/>
                <w:highlight w:val="none"/>
                <w:lang w:val="en-US" w:eastAsia="zh-CN" w:bidi="ar-SA"/>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区委生态文明委办公室</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pacing w:val="-17"/>
                <w:sz w:val="28"/>
                <w:highlight w:val="none"/>
              </w:rPr>
            </w:pPr>
            <w:r>
              <w:rPr>
                <w:rFonts w:hint="eastAsia"/>
                <w:i w:val="0"/>
                <w:iCs w:val="0"/>
                <w:color w:val="auto"/>
                <w:spacing w:val="-17"/>
                <w:sz w:val="28"/>
                <w:highlight w:val="none"/>
                <w:lang w:eastAsia="zh-CN"/>
              </w:rPr>
              <w:t>区</w:t>
            </w:r>
            <w:r>
              <w:rPr>
                <w:rFonts w:hint="eastAsia"/>
                <w:i w:val="0"/>
                <w:iCs w:val="0"/>
                <w:color w:val="auto"/>
                <w:spacing w:val="-17"/>
                <w:sz w:val="28"/>
                <w:highlight w:val="none"/>
              </w:rPr>
              <w:t>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城市管理委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pacing w:val="-23"/>
                <w:sz w:val="28"/>
                <w:highlight w:val="none"/>
                <w:lang w:val="en-US" w:eastAsia="zh-CN"/>
              </w:rPr>
              <w:t>市交通委密云公安分局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农业农村局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default"/>
                <w:i w:val="0"/>
                <w:iCs w:val="0"/>
                <w:color w:val="auto"/>
                <w:w w:val="100"/>
                <w:sz w:val="28"/>
                <w:highlight w:val="none"/>
                <w:lang w:val="en-US"/>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各行业主管部门严厉打击施工工地（场站）进门不查车、出门不查证，车辆未密闭运输、道路遗撒、车身不整洁等违法行为。</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kern w:val="2"/>
                <w:sz w:val="28"/>
                <w:szCs w:val="24"/>
                <w:highlight w:val="none"/>
                <w:lang w:val="en-US" w:eastAsia="zh-CN" w:bidi="ar-SA"/>
              </w:rPr>
            </w:pPr>
            <w:r>
              <w:rPr>
                <w:rFonts w:hint="eastAsia" w:ascii="仿宋_GB2312" w:hAnsi="仿宋_GB2312" w:eastAsia="仿宋_GB2312" w:cs="仿宋_GB2312"/>
                <w:i w:val="0"/>
                <w:iCs w:val="0"/>
                <w:color w:val="auto"/>
                <w:spacing w:val="0"/>
                <w:kern w:val="2"/>
                <w:sz w:val="28"/>
                <w:szCs w:val="24"/>
                <w:highlight w:val="none"/>
                <w:lang w:val="en-US" w:eastAsia="zh-CN" w:bidi="ar-SA"/>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pacing w:val="-17"/>
                <w:sz w:val="28"/>
                <w:highlight w:val="none"/>
              </w:rPr>
            </w:pPr>
            <w:r>
              <w:rPr>
                <w:rFonts w:hint="eastAsia"/>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pacing w:val="-23"/>
                <w:sz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z w:val="28"/>
                <w:highlight w:val="none"/>
                <w:lang w:eastAsia="zh-CN"/>
              </w:rPr>
              <w:t>区</w:t>
            </w:r>
            <w:r>
              <w:rPr>
                <w:rFonts w:hint="eastAsia"/>
                <w:i w:val="0"/>
                <w:iCs w:val="0"/>
                <w:color w:val="auto"/>
                <w:sz w:val="28"/>
                <w:highlight w:val="none"/>
              </w:rPr>
              <w:t>农业农村局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cs="仿宋_GB2312"/>
                <w:i w:val="0"/>
                <w:iCs w:val="0"/>
                <w:color w:val="auto"/>
                <w:sz w:val="28"/>
                <w:szCs w:val="22"/>
                <w:highlight w:val="none"/>
                <w:lang w:val="en-US" w:eastAsia="zh-CN" w:bidi="ar-SA"/>
              </w:rPr>
              <w:t>区城管执法局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46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w w:val="100"/>
                <w:sz w:val="28"/>
                <w:highlight w:val="none"/>
                <w:lang w:val="en-US" w:eastAsia="zh-CN"/>
              </w:rPr>
            </w:pPr>
            <w:r>
              <w:rPr>
                <w:rFonts w:hint="eastAsia" w:ascii="仿宋_GB2312" w:hAnsi="仿宋_GB2312" w:eastAsia="仿宋_GB2312" w:cs="仿宋_GB2312"/>
                <w:i w:val="0"/>
                <w:iCs w:val="0"/>
                <w:color w:val="auto"/>
                <w:w w:val="100"/>
                <w:sz w:val="28"/>
                <w:highlight w:val="none"/>
                <w:lang w:val="en-US" w:eastAsia="zh-CN"/>
              </w:rPr>
              <w:t>18</w:t>
            </w:r>
          </w:p>
        </w:tc>
        <w:tc>
          <w:tcPr>
            <w:tcW w:w="94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i w:val="0"/>
                <w:iCs w:val="0"/>
                <w:color w:val="auto"/>
                <w:sz w:val="28"/>
                <w:highlight w:val="none"/>
              </w:rPr>
            </w:pPr>
            <w:r>
              <w:rPr>
                <w:rFonts w:hint="eastAsia" w:ascii="仿宋_GB2312" w:hAnsi="仿宋_GB2312" w:eastAsia="仿宋_GB2312" w:cs="仿宋_GB2312"/>
                <w:i w:val="0"/>
                <w:iCs w:val="0"/>
                <w:color w:val="auto"/>
                <w:sz w:val="28"/>
                <w:highlight w:val="none"/>
              </w:rPr>
              <w:t>优化裸地扬尘监管</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深入推进“揭网见绿”专项行动，有序推进分类揭网、多元见绿。</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kern w:val="2"/>
                <w:sz w:val="28"/>
                <w:szCs w:val="24"/>
                <w:highlight w:val="none"/>
                <w:lang w:val="en-US" w:eastAsia="zh-CN" w:bidi="ar-SA"/>
              </w:rPr>
            </w:pPr>
            <w:r>
              <w:rPr>
                <w:rFonts w:hint="eastAsia" w:ascii="仿宋_GB2312" w:hAnsi="仿宋_GB2312" w:eastAsia="仿宋_GB2312" w:cs="仿宋_GB2312"/>
                <w:i w:val="0"/>
                <w:iCs w:val="0"/>
                <w:color w:val="auto"/>
                <w:spacing w:val="0"/>
                <w:kern w:val="2"/>
                <w:sz w:val="28"/>
                <w:szCs w:val="24"/>
                <w:highlight w:val="none"/>
                <w:lang w:val="en-US" w:eastAsia="zh-CN" w:bidi="ar-SA"/>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区园林绿化中心</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default"/>
                <w:i w:val="0"/>
                <w:iCs w:val="0"/>
                <w:color w:val="auto"/>
                <w:w w:val="100"/>
                <w:sz w:val="28"/>
                <w:highlight w:val="none"/>
                <w:lang w:val="en-US"/>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rPr>
              <w:t>因地制宜、分类施策，实现裸地动态整治</w:t>
            </w:r>
            <w:r>
              <w:rPr>
                <w:rFonts w:hint="eastAsia"/>
                <w:i w:val="0"/>
                <w:iCs w:val="0"/>
                <w:color w:val="auto"/>
                <w:sz w:val="28"/>
                <w:highlight w:val="none"/>
                <w:lang w:eastAsia="zh-CN"/>
              </w:rPr>
              <w:t>。</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0"/>
                <w:kern w:val="2"/>
                <w:sz w:val="28"/>
                <w:szCs w:val="24"/>
                <w:highlight w:val="none"/>
                <w:lang w:val="en-US" w:eastAsia="zh-CN" w:bidi="ar-SA"/>
              </w:rPr>
            </w:pPr>
            <w:r>
              <w:rPr>
                <w:rFonts w:hint="eastAsia" w:ascii="仿宋_GB2312" w:hAnsi="仿宋_GB2312" w:eastAsia="仿宋_GB2312" w:cs="仿宋_GB2312"/>
                <w:i w:val="0"/>
                <w:iCs w:val="0"/>
                <w:color w:val="auto"/>
                <w:spacing w:val="0"/>
                <w:kern w:val="2"/>
                <w:sz w:val="28"/>
                <w:szCs w:val="24"/>
                <w:highlight w:val="none"/>
                <w:lang w:val="en-US" w:eastAsia="zh-CN" w:bidi="ar-SA"/>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46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19</w:t>
            </w:r>
          </w:p>
        </w:tc>
        <w:tc>
          <w:tcPr>
            <w:tcW w:w="94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加强面源污染管控</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完成</w:t>
            </w:r>
            <w:r>
              <w:rPr>
                <w:rFonts w:hint="eastAsia"/>
                <w:i w:val="0"/>
                <w:iCs w:val="0"/>
                <w:color w:val="auto"/>
                <w:sz w:val="28"/>
                <w:highlight w:val="none"/>
                <w:lang w:val="en-US" w:eastAsia="zh-CN"/>
              </w:rPr>
              <w:t>2</w:t>
            </w:r>
            <w:r>
              <w:rPr>
                <w:rFonts w:hint="eastAsia"/>
                <w:i w:val="0"/>
                <w:iCs w:val="0"/>
                <w:color w:val="auto"/>
                <w:sz w:val="28"/>
                <w:highlight w:val="none"/>
              </w:rPr>
              <w:t>个畜禽养殖业氨排放控制试点项目。</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区农业农村局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东邵渠镇</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市规划自然资源委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pacing w:val="-17"/>
                <w:sz w:val="28"/>
                <w:highlight w:val="none"/>
                <w:lang w:val="en-US" w:eastAsia="zh-CN"/>
              </w:rPr>
              <w:t>密云分局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default"/>
                <w:i w:val="0"/>
                <w:iCs w:val="0"/>
                <w:color w:val="auto"/>
                <w:w w:val="100"/>
                <w:sz w:val="28"/>
                <w:highlight w:val="none"/>
                <w:lang w:val="en-US"/>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农业农村部门</w:t>
            </w:r>
            <w:r>
              <w:rPr>
                <w:rFonts w:hint="eastAsia"/>
                <w:i w:val="0"/>
                <w:iCs w:val="0"/>
                <w:color w:val="auto"/>
                <w:sz w:val="28"/>
                <w:highlight w:val="none"/>
              </w:rPr>
              <w:t>加强秸秆综合利用，</w:t>
            </w:r>
            <w:r>
              <w:rPr>
                <w:rFonts w:hint="eastAsia"/>
                <w:i w:val="0"/>
                <w:iCs w:val="0"/>
                <w:color w:val="auto"/>
                <w:sz w:val="28"/>
                <w:highlight w:val="none"/>
                <w:lang w:val="en-US" w:eastAsia="zh-CN"/>
              </w:rPr>
              <w:t>城管执法系统</w:t>
            </w:r>
            <w:r>
              <w:rPr>
                <w:rFonts w:hint="eastAsia"/>
                <w:i w:val="0"/>
                <w:iCs w:val="0"/>
                <w:color w:val="auto"/>
                <w:sz w:val="28"/>
                <w:highlight w:val="none"/>
              </w:rPr>
              <w:t>严格秸秆露天焚烧监管。</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区农业农村局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cs="仿宋_GB2312"/>
                <w:i w:val="0"/>
                <w:iCs w:val="0"/>
                <w:color w:val="auto"/>
                <w:sz w:val="28"/>
                <w:szCs w:val="22"/>
                <w:highlight w:val="none"/>
                <w:lang w:val="en-US" w:eastAsia="zh-CN" w:bidi="ar-SA"/>
              </w:rPr>
              <w:t>区城管执法局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default"/>
                <w:i w:val="0"/>
                <w:iCs w:val="0"/>
                <w:color w:val="auto"/>
                <w:w w:val="100"/>
                <w:sz w:val="28"/>
                <w:highlight w:val="none"/>
                <w:lang w:val="en-US"/>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eastAsia="仿宋_GB2312"/>
                <w:i w:val="0"/>
                <w:iCs w:val="0"/>
                <w:color w:val="auto"/>
                <w:sz w:val="28"/>
                <w:highlight w:val="none"/>
                <w:lang w:eastAsia="zh-CN"/>
              </w:rPr>
            </w:pPr>
            <w:r>
              <w:rPr>
                <w:rFonts w:hint="eastAsia"/>
                <w:i w:val="0"/>
                <w:iCs w:val="0"/>
                <w:color w:val="auto"/>
                <w:spacing w:val="-11"/>
                <w:sz w:val="28"/>
                <w:highlight w:val="none"/>
                <w:lang w:val="en-US" w:eastAsia="zh-CN"/>
              </w:rPr>
              <w:t>落实</w:t>
            </w:r>
            <w:r>
              <w:rPr>
                <w:i w:val="0"/>
                <w:iCs w:val="0"/>
                <w:color w:val="auto"/>
                <w:spacing w:val="-11"/>
                <w:sz w:val="28"/>
                <w:highlight w:val="none"/>
              </w:rPr>
              <w:t>《北京市密云区人民政府关于行政区域内禁止燃放烟花爆竹的通告》（密政发〔2021〕18号）规定</w:t>
            </w:r>
            <w:r>
              <w:rPr>
                <w:rFonts w:hint="eastAsia"/>
                <w:i w:val="0"/>
                <w:iCs w:val="0"/>
                <w:color w:val="auto"/>
                <w:spacing w:val="-11"/>
                <w:sz w:val="28"/>
                <w:highlight w:val="none"/>
                <w:lang w:eastAsia="zh-CN"/>
              </w:rPr>
              <w:t>。</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长期实施</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区公安分局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ascii="仿宋_GB2312" w:hAnsi="仿宋_GB2312" w:eastAsia="仿宋_GB2312" w:cs="仿宋_GB2312"/>
                <w:i w:val="0"/>
                <w:iCs w:val="0"/>
                <w:color w:val="auto"/>
                <w:sz w:val="28"/>
                <w:szCs w:val="22"/>
                <w:highlight w:val="none"/>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eastAsia="仿宋_GB2312"/>
                <w:i w:val="0"/>
                <w:iCs w:val="0"/>
                <w:color w:val="auto"/>
                <w:w w:val="100"/>
                <w:sz w:val="28"/>
                <w:highlight w:val="none"/>
                <w:lang w:val="en-US" w:eastAsia="zh-CN"/>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i w:val="0"/>
                <w:iCs w:val="0"/>
                <w:color w:val="auto"/>
                <w:sz w:val="28"/>
                <w:highlight w:val="none"/>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持续做好本市消耗臭氧层物质企业备案管理，加强对未备案及使用淘汰物质违法行为的执法检查。加强恶臭、有毒有害大气污染物防控。</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长期实施</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z w:val="28"/>
                <w:szCs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jc w:val="center"/>
        </w:trPr>
        <w:tc>
          <w:tcPr>
            <w:tcW w:w="46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20</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加强噪声污染治理</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国控站点功能区声环境质量夜间达标率平均值达到</w:t>
            </w:r>
            <w:r>
              <w:rPr>
                <w:rFonts w:hint="eastAsia"/>
                <w:i w:val="0"/>
                <w:iCs w:val="0"/>
                <w:color w:val="auto"/>
                <w:sz w:val="28"/>
                <w:highlight w:val="none"/>
                <w:lang w:val="en-US" w:eastAsia="zh-CN"/>
              </w:rPr>
              <w:t>市级要求</w:t>
            </w:r>
            <w:r>
              <w:rPr>
                <w:rFonts w:hint="eastAsia"/>
                <w:i w:val="0"/>
                <w:iCs w:val="0"/>
                <w:color w:val="auto"/>
                <w:sz w:val="28"/>
                <w:highlight w:val="none"/>
              </w:rPr>
              <w:t>。</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i w:val="0"/>
                <w:iCs w:val="0"/>
                <w:color w:val="auto"/>
                <w:sz w:val="28"/>
                <w:szCs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0" w:hRule="atLeast"/>
          <w:jc w:val="center"/>
        </w:trPr>
        <w:tc>
          <w:tcPr>
            <w:tcW w:w="46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21</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kern w:val="2"/>
                <w:sz w:val="28"/>
                <w:szCs w:val="24"/>
                <w:highlight w:val="none"/>
                <w:lang w:val="en-US" w:eastAsia="zh-CN" w:bidi="ar-SA"/>
              </w:rPr>
            </w:pPr>
            <w:r>
              <w:rPr>
                <w:rFonts w:hint="eastAsia" w:ascii="仿宋_GB2312" w:hAnsi="仿宋_GB2312" w:eastAsia="仿宋_GB2312" w:cs="仿宋_GB2312"/>
                <w:i w:val="0"/>
                <w:iCs w:val="0"/>
                <w:color w:val="auto"/>
                <w:kern w:val="2"/>
                <w:sz w:val="28"/>
                <w:szCs w:val="24"/>
                <w:highlight w:val="none"/>
                <w:lang w:val="en-US" w:eastAsia="zh-CN" w:bidi="ar-SA"/>
              </w:rPr>
              <w:t>提升生态环境类接诉即办工作成效和能力</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11"/>
                <w:sz w:val="28"/>
                <w:highlight w:val="none"/>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1229"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highlight w:val="none"/>
                <w:lang w:val="en-US" w:eastAsia="zh-CN"/>
              </w:rPr>
            </w:pPr>
            <w:r>
              <w:rPr>
                <w:rFonts w:hint="eastAsia" w:ascii="仿宋_GB2312" w:hAnsi="仿宋_GB2312" w:eastAsia="仿宋_GB2312" w:cs="仿宋_GB2312"/>
                <w:i w:val="0"/>
                <w:iCs w:val="0"/>
                <w:color w:val="auto"/>
                <w:sz w:val="28"/>
                <w:highlight w:val="none"/>
                <w:lang w:val="en-US" w:eastAsia="zh-CN"/>
              </w:rPr>
              <w:t>长期实施</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区生态环境局</w:t>
            </w:r>
          </w:p>
        </w:tc>
        <w:tc>
          <w:tcPr>
            <w:tcW w:w="236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ascii="仿宋_GB2312" w:eastAsia="仿宋_GB2312"/>
                <w:color w:val="auto"/>
                <w:sz w:val="28"/>
                <w:szCs w:val="28"/>
                <w:highlight w:val="none"/>
              </w:rPr>
              <w:t>中关村密云园</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区城指中心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4940" w:type="dxa"/>
            <w:gridSpan w:val="8"/>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五、开展“含绿量”提升区级示范，推动创新引领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jc w:val="center"/>
        </w:trPr>
        <w:tc>
          <w:tcPr>
            <w:tcW w:w="46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22</w:t>
            </w:r>
          </w:p>
        </w:tc>
        <w:tc>
          <w:tcPr>
            <w:tcW w:w="94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机动车（械）“含绿量”提升示范项目</w:t>
            </w: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因地制宜加快推动轻型商超配送车辆更新为纯电动或氢燃料电池汽车。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区商务局</w:t>
            </w:r>
          </w:p>
        </w:tc>
        <w:tc>
          <w:tcPr>
            <w:tcW w:w="20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鼓励重点企业等用车单位通过与运输企业（个人）签订合作协议等方式实现绿色运输。</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tc>
        <w:tc>
          <w:tcPr>
            <w:tcW w:w="20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eastAsia="仿宋_GB2312"/>
                <w:color w:val="auto"/>
                <w:sz w:val="28"/>
                <w:szCs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zh-CN" w:bidi="ar-SA"/>
              </w:rPr>
              <w:t>根据市级部门权限要求，</w:t>
            </w:r>
            <w:r>
              <w:rPr>
                <w:rFonts w:hint="eastAsia" w:ascii="仿宋_GB2312" w:hAnsi="仿宋_GB2312" w:eastAsia="仿宋_GB2312" w:cs="仿宋_GB2312"/>
                <w:i w:val="0"/>
                <w:iCs w:val="0"/>
                <w:color w:val="auto"/>
                <w:sz w:val="28"/>
                <w:szCs w:val="22"/>
                <w:highlight w:val="none"/>
                <w:lang w:val="en-US" w:eastAsia="en-US" w:bidi="ar-SA"/>
              </w:rPr>
              <w:t>政府投资类项目以及国有企业</w:t>
            </w:r>
            <w:r>
              <w:rPr>
                <w:rFonts w:hint="eastAsia" w:ascii="仿宋_GB2312" w:hAnsi="仿宋_GB2312" w:eastAsia="仿宋_GB2312" w:cs="仿宋_GB2312"/>
                <w:i w:val="0"/>
                <w:iCs w:val="0"/>
                <w:color w:val="auto"/>
                <w:sz w:val="28"/>
                <w:szCs w:val="22"/>
                <w:highlight w:val="none"/>
                <w:lang w:val="en-US" w:eastAsia="zh-CN" w:bidi="ar-SA"/>
              </w:rPr>
              <w:t>自有资金</w:t>
            </w:r>
            <w:r>
              <w:rPr>
                <w:rFonts w:hint="eastAsia" w:ascii="仿宋_GB2312" w:hAnsi="仿宋_GB2312" w:eastAsia="仿宋_GB2312" w:cs="仿宋_GB2312"/>
                <w:i w:val="0"/>
                <w:iCs w:val="0"/>
                <w:color w:val="auto"/>
                <w:sz w:val="28"/>
                <w:szCs w:val="22"/>
                <w:highlight w:val="none"/>
                <w:lang w:val="en-US" w:eastAsia="en-US" w:bidi="ar-SA"/>
              </w:rPr>
              <w:t>项目，研究提出招标人应将施工过程中新能源机械使用情况作为加分项。</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0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eastAsia="仿宋_GB2312"/>
                <w:color w:val="auto"/>
                <w:sz w:val="28"/>
                <w:szCs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23</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企业“含绿量”提升示范项目</w:t>
            </w: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实施印刷行业治理设施智慧化监控试点。</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pacing w:val="-17"/>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24</w:t>
            </w:r>
          </w:p>
        </w:tc>
        <w:tc>
          <w:tcPr>
            <w:tcW w:w="94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清洁能源示范项目</w:t>
            </w: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en-US" w:bidi="ar-SA"/>
              </w:rPr>
              <w:t>推进燃气壁挂炉供热绿色转型。结合城市更新进度，继续支持老旧燃气壁挂炉用户开展消费品以旧换新，鼓励更换为一级能效设备</w:t>
            </w:r>
            <w:r>
              <w:rPr>
                <w:rFonts w:hint="eastAsia" w:ascii="仿宋_GB2312" w:hAnsi="仿宋_GB2312" w:eastAsia="仿宋_GB2312" w:cs="仿宋_GB2312"/>
                <w:i w:val="0"/>
                <w:iCs w:val="0"/>
                <w:color w:val="auto"/>
                <w:sz w:val="28"/>
                <w:szCs w:val="22"/>
                <w:highlight w:val="none"/>
                <w:lang w:val="en-US" w:eastAsia="zh-CN" w:bidi="ar-SA"/>
              </w:rPr>
              <w:t>。</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区住房城乡建设委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区发展改革委</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区商务局</w:t>
            </w: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pacing w:val="-17"/>
                <w:sz w:val="28"/>
                <w:highlight w:val="none"/>
                <w:lang w:val="en-US" w:eastAsia="zh-CN"/>
              </w:rPr>
              <w:t>北京燃气密云公司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jc w:val="center"/>
        </w:trPr>
        <w:tc>
          <w:tcPr>
            <w:tcW w:w="46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bidi="ar-SA"/>
              </w:rPr>
            </w:pPr>
            <w:r>
              <w:rPr>
                <w:rFonts w:hint="eastAsia" w:ascii="仿宋_GB2312" w:hAnsi="仿宋_GB2312" w:eastAsia="仿宋_GB2312" w:cs="仿宋_GB2312"/>
                <w:i w:val="0"/>
                <w:iCs w:val="0"/>
                <w:color w:val="auto"/>
                <w:sz w:val="28"/>
                <w:szCs w:val="28"/>
                <w:highlight w:val="none"/>
                <w:lang w:val="en-US" w:eastAsia="zh-CN" w:bidi="ar-SA"/>
              </w:rPr>
              <w:t>25</w:t>
            </w:r>
          </w:p>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bidi="ar-SA"/>
              </w:rPr>
            </w:pPr>
          </w:p>
        </w:tc>
        <w:tc>
          <w:tcPr>
            <w:tcW w:w="94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r>
              <w:rPr>
                <w:rFonts w:hint="eastAsia" w:ascii="仿宋_GB2312" w:hAnsi="仿宋_GB2312" w:eastAsia="仿宋_GB2312" w:cs="仿宋_GB2312"/>
                <w:i w:val="0"/>
                <w:iCs w:val="0"/>
                <w:color w:val="auto"/>
                <w:sz w:val="28"/>
                <w:szCs w:val="28"/>
                <w:highlight w:val="none"/>
                <w:lang w:val="en-US" w:eastAsia="en-US" w:bidi="ar-SA"/>
              </w:rPr>
              <w:t>城市精细化治理示范项目</w:t>
            </w:r>
          </w:p>
          <w:p>
            <w:pPr>
              <w:keepNext w:val="0"/>
              <w:keepLines w:val="0"/>
              <w:pageBreakBefore w:val="0"/>
              <w:widowControl w:val="0"/>
              <w:kinsoku/>
              <w:wordWrap/>
              <w:overflowPunct/>
              <w:topLinePunct w:val="0"/>
              <w:autoSpaceDE w:val="0"/>
              <w:autoSpaceDN w:val="0"/>
              <w:bidi w:val="0"/>
              <w:adjustRightInd/>
              <w:snapToGrid/>
              <w:spacing w:line="30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8"/>
                <w:highlight w:val="none"/>
                <w:lang w:val="en-US" w:eastAsia="zh-CN" w:bidi="ar-SA"/>
              </w:rPr>
            </w:pPr>
            <w:r>
              <w:rPr>
                <w:rFonts w:hint="eastAsia" w:ascii="仿宋_GB2312" w:hAnsi="仿宋_GB2312" w:eastAsia="仿宋_GB2312" w:cs="仿宋_GB2312"/>
                <w:i w:val="0"/>
                <w:iCs w:val="0"/>
                <w:color w:val="auto"/>
                <w:sz w:val="28"/>
                <w:szCs w:val="28"/>
                <w:highlight w:val="none"/>
                <w:lang w:val="en-US" w:eastAsia="zh-CN" w:bidi="ar-SA"/>
              </w:rPr>
              <w:t>建设工程在地基与基础、主体结构工程施工中倡导使用气膜技术。</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年底前</w:t>
            </w:r>
          </w:p>
        </w:tc>
        <w:tc>
          <w:tcPr>
            <w:tcW w:w="2050" w:type="dxa"/>
            <w:gridSpan w:val="2"/>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pacing w:val="-17"/>
                <w:sz w:val="28"/>
                <w:szCs w:val="28"/>
                <w:highlight w:val="none"/>
                <w:lang w:val="en-US" w:eastAsia="zh-CN"/>
              </w:rPr>
              <w:t>区住房城乡建设委</w:t>
            </w:r>
          </w:p>
        </w:tc>
        <w:tc>
          <w:tcPr>
            <w:tcW w:w="23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ascii="仿宋_GB2312" w:hAnsi="仿宋_GB2312" w:eastAsia="仿宋_GB2312" w:cs="仿宋_GB2312"/>
                <w:i w:val="0"/>
                <w:iCs w:val="0"/>
                <w:color w:val="auto"/>
                <w:spacing w:val="-17"/>
                <w:sz w:val="28"/>
                <w:szCs w:val="28"/>
                <w:highlight w:val="none"/>
              </w:rPr>
            </w:pPr>
            <w:r>
              <w:rPr>
                <w:rFonts w:hint="eastAsia" w:ascii="仿宋_GB2312" w:hAnsi="仿宋_GB2312" w:eastAsia="仿宋_GB2312" w:cs="仿宋_GB2312"/>
                <w:i w:val="0"/>
                <w:iCs w:val="0"/>
                <w:color w:val="auto"/>
                <w:sz w:val="28"/>
                <w:szCs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ascii="仿宋_GB2312" w:hAnsi="仿宋_GB2312" w:eastAsia="仿宋_GB2312" w:cs="仿宋_GB2312"/>
                <w:i w:val="0"/>
                <w:iCs w:val="0"/>
                <w:color w:val="auto"/>
                <w:sz w:val="28"/>
                <w:szCs w:val="28"/>
                <w:highlight w:val="none"/>
              </w:rPr>
            </w:pPr>
            <w:r>
              <w:rPr>
                <w:rFonts w:hint="eastAsia" w:ascii="仿宋_GB2312" w:hAnsi="仿宋_GB2312" w:eastAsia="仿宋_GB2312" w:cs="仿宋_GB2312"/>
                <w:i w:val="0"/>
                <w:iCs w:val="0"/>
                <w:color w:val="auto"/>
                <w:sz w:val="28"/>
                <w:szCs w:val="28"/>
                <w:highlight w:val="none"/>
                <w:lang w:val="en-US" w:eastAsia="zh-CN"/>
              </w:rPr>
              <w:t>区城市管理委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pacing w:val="-23"/>
                <w:sz w:val="28"/>
                <w:szCs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ascii="仿宋_GB2312" w:hAnsi="仿宋_GB2312" w:eastAsia="仿宋_GB2312" w:cs="仿宋_GB2312"/>
                <w:i w:val="0"/>
                <w:iCs w:val="0"/>
                <w:color w:val="auto"/>
                <w:sz w:val="28"/>
                <w:szCs w:val="28"/>
                <w:highlight w:val="none"/>
              </w:rPr>
            </w:pPr>
            <w:r>
              <w:rPr>
                <w:rFonts w:hint="eastAsia" w:ascii="仿宋_GB2312" w:hAnsi="仿宋_GB2312" w:eastAsia="仿宋_GB2312" w:cs="仿宋_GB2312"/>
                <w:i w:val="0"/>
                <w:iCs w:val="0"/>
                <w:color w:val="auto"/>
                <w:sz w:val="28"/>
                <w:szCs w:val="28"/>
                <w:highlight w:val="none"/>
                <w:lang w:eastAsia="zh-CN"/>
              </w:rPr>
              <w:t>区</w:t>
            </w:r>
            <w:r>
              <w:rPr>
                <w:rFonts w:hint="eastAsia" w:ascii="仿宋_GB2312" w:hAnsi="仿宋_GB2312" w:eastAsia="仿宋_GB2312" w:cs="仿宋_GB2312"/>
                <w:i w:val="0"/>
                <w:iCs w:val="0"/>
                <w:color w:val="auto"/>
                <w:sz w:val="28"/>
                <w:szCs w:val="28"/>
                <w:highlight w:val="none"/>
              </w:rPr>
              <w:t>水务局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firstLine="0"/>
              <w:jc w:val="center"/>
              <w:textAlignment w:val="auto"/>
              <w:outlineLvl w:val="9"/>
              <w:rPr>
                <w:rFonts w:hint="eastAsia" w:ascii="仿宋_GB2312" w:hAnsi="仿宋_GB2312" w:eastAsia="仿宋_GB2312" w:cs="仿宋_GB2312"/>
                <w:i w:val="0"/>
                <w:iCs w:val="0"/>
                <w:color w:val="auto"/>
                <w:sz w:val="28"/>
                <w:szCs w:val="28"/>
                <w:highlight w:val="none"/>
              </w:rPr>
            </w:pPr>
            <w:r>
              <w:rPr>
                <w:rFonts w:hint="eastAsia" w:ascii="仿宋_GB2312" w:hAnsi="仿宋_GB2312" w:eastAsia="仿宋_GB2312" w:cs="仿宋_GB2312"/>
                <w:i w:val="0"/>
                <w:iCs w:val="0"/>
                <w:color w:val="auto"/>
                <w:sz w:val="28"/>
                <w:szCs w:val="28"/>
                <w:highlight w:val="none"/>
                <w:lang w:eastAsia="zh-CN"/>
              </w:rPr>
              <w:t>区</w:t>
            </w:r>
            <w:r>
              <w:rPr>
                <w:rFonts w:hint="eastAsia" w:ascii="仿宋_GB2312" w:hAnsi="仿宋_GB2312" w:eastAsia="仿宋_GB2312" w:cs="仿宋_GB2312"/>
                <w:i w:val="0"/>
                <w:iCs w:val="0"/>
                <w:color w:val="auto"/>
                <w:sz w:val="28"/>
                <w:szCs w:val="28"/>
                <w:highlight w:val="none"/>
              </w:rPr>
              <w:t>园林绿化局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eastAsia="zh-CN"/>
              </w:rPr>
              <w:t>区</w:t>
            </w:r>
            <w:r>
              <w:rPr>
                <w:rFonts w:hint="eastAsia" w:ascii="仿宋_GB2312" w:hAnsi="仿宋_GB2312" w:eastAsia="仿宋_GB2312" w:cs="仿宋_GB2312"/>
                <w:i w:val="0"/>
                <w:iCs w:val="0"/>
                <w:color w:val="auto"/>
                <w:sz w:val="28"/>
                <w:szCs w:val="28"/>
                <w:highlight w:val="none"/>
              </w:rPr>
              <w:t>农业农村局</w:t>
            </w:r>
          </w:p>
        </w:tc>
        <w:tc>
          <w:tcPr>
            <w:tcW w:w="2004"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szCs w:val="28"/>
                <w:highlight w:val="none"/>
                <w:lang w:val="en-US" w:eastAsia="zh-CN"/>
              </w:rPr>
            </w:pPr>
            <w:r>
              <w:rPr>
                <w:rFonts w:hint="eastAsia" w:ascii="仿宋_GB2312" w:hAnsi="仿宋_GB2312" w:eastAsia="仿宋_GB2312" w:cs="仿宋_GB2312"/>
                <w:i w:val="0"/>
                <w:iCs w:val="0"/>
                <w:color w:val="auto"/>
                <w:spacing w:val="-11"/>
                <w:sz w:val="28"/>
                <w:szCs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pacing w:val="-11"/>
                <w:sz w:val="28"/>
                <w:szCs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bidi="ar-SA"/>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r>
              <w:rPr>
                <w:rFonts w:hint="eastAsia" w:ascii="仿宋_GB2312" w:hAnsi="仿宋_GB2312" w:eastAsia="仿宋_GB2312" w:cs="仿宋_GB2312"/>
                <w:i w:val="0"/>
                <w:iCs w:val="0"/>
                <w:color w:val="auto"/>
                <w:spacing w:val="-11"/>
                <w:sz w:val="28"/>
                <w:szCs w:val="28"/>
                <w:highlight w:val="none"/>
                <w:lang w:val="en-US" w:eastAsia="en-US" w:bidi="ar-SA"/>
              </w:rPr>
              <w:t>加大夜间施工证明服务指导力度</w:t>
            </w:r>
            <w:r>
              <w:rPr>
                <w:rFonts w:hint="eastAsia" w:ascii="仿宋_GB2312" w:hAnsi="仿宋_GB2312" w:eastAsia="仿宋_GB2312" w:cs="仿宋_GB2312"/>
                <w:i w:val="0"/>
                <w:iCs w:val="0"/>
                <w:color w:val="auto"/>
                <w:spacing w:val="-11"/>
                <w:sz w:val="28"/>
                <w:szCs w:val="28"/>
                <w:highlight w:val="none"/>
                <w:lang w:val="en-US" w:eastAsia="zh-CN" w:bidi="ar-SA"/>
              </w:rPr>
              <w:t>，</w:t>
            </w:r>
            <w:r>
              <w:rPr>
                <w:rFonts w:hint="eastAsia" w:ascii="仿宋_GB2312" w:hAnsi="仿宋_GB2312" w:eastAsia="仿宋_GB2312" w:cs="仿宋_GB2312"/>
                <w:i w:val="0"/>
                <w:iCs w:val="0"/>
                <w:color w:val="auto"/>
                <w:spacing w:val="-11"/>
                <w:sz w:val="28"/>
                <w:szCs w:val="28"/>
                <w:highlight w:val="none"/>
                <w:lang w:val="en-US" w:eastAsia="en-US" w:bidi="ar-SA"/>
              </w:rPr>
              <w:t>加大违法夜间施工查处力度。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年底前</w:t>
            </w:r>
          </w:p>
        </w:tc>
        <w:tc>
          <w:tcPr>
            <w:tcW w:w="2050" w:type="dxa"/>
            <w:gridSpan w:val="2"/>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p>
        </w:tc>
        <w:tc>
          <w:tcPr>
            <w:tcW w:w="23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p>
        </w:tc>
        <w:tc>
          <w:tcPr>
            <w:tcW w:w="200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6"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bidi="ar-SA"/>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r>
              <w:rPr>
                <w:rFonts w:hint="eastAsia" w:ascii="仿宋_GB2312" w:hAnsi="仿宋_GB2312" w:eastAsia="仿宋_GB2312" w:cs="仿宋_GB2312"/>
                <w:i w:val="0"/>
                <w:iCs w:val="0"/>
                <w:color w:val="auto"/>
                <w:sz w:val="28"/>
                <w:szCs w:val="28"/>
                <w:highlight w:val="none"/>
                <w:lang w:val="en-US" w:eastAsia="en-US" w:bidi="ar-SA"/>
              </w:rPr>
              <w:t>按照本市交通运输专项补助资金、轨道交通噪声治理资金等管理办法要求，强化统筹全区交通噪声治理工作，相关镇街结合市民诉求情况会同区生态环境部门开展重点路段的噪声监测工作，并进行摸底调查，捋清本辖区受交通噪声影响的敏感建筑物、人口、群众意愿等情况，路权单位根据属地调查情况制定治理计划报区交通综治办公室，由区交通综治办公室汇总编制全区治理计划；区交通综治办公室应加强研究，积极争取多方政策资金支持，组织路权单位开展交通噪声治理工作</w:t>
            </w:r>
            <w:r>
              <w:rPr>
                <w:rFonts w:hint="eastAsia" w:ascii="仿宋_GB2312" w:hAnsi="仿宋_GB2312" w:eastAsia="仿宋_GB2312" w:cs="仿宋_GB2312"/>
                <w:i w:val="0"/>
                <w:iCs w:val="0"/>
                <w:color w:val="auto"/>
                <w:sz w:val="28"/>
                <w:szCs w:val="28"/>
                <w:highlight w:val="none"/>
                <w:lang w:val="en-US" w:eastAsia="zh-CN" w:bidi="ar-SA"/>
              </w:rPr>
              <w:t>，完成1</w:t>
            </w:r>
            <w:r>
              <w:rPr>
                <w:rFonts w:hint="eastAsia" w:ascii="仿宋_GB2312" w:hAnsi="仿宋_GB2312" w:eastAsia="仿宋_GB2312" w:cs="仿宋_GB2312"/>
                <w:i w:val="0"/>
                <w:iCs w:val="0"/>
                <w:color w:val="auto"/>
                <w:sz w:val="28"/>
                <w:szCs w:val="28"/>
                <w:highlight w:val="none"/>
                <w:lang w:val="en-US" w:eastAsia="en-US" w:bidi="ar-SA"/>
              </w:rPr>
              <w:t>项交通噪声治理。</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区交通综合治理领导小组办公室</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区交通综合治理领导小组成员单位</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bidi="ar-SA"/>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r>
              <w:rPr>
                <w:rFonts w:hint="eastAsia" w:ascii="仿宋_GB2312" w:hAnsi="仿宋_GB2312" w:eastAsia="仿宋_GB2312" w:cs="仿宋_GB2312"/>
                <w:i w:val="0"/>
                <w:iCs w:val="0"/>
                <w:color w:val="auto"/>
                <w:sz w:val="28"/>
                <w:szCs w:val="28"/>
                <w:highlight w:val="none"/>
                <w:lang w:val="en-US" w:eastAsia="en-US" w:bidi="ar-SA"/>
              </w:rPr>
              <w:t>组织实施</w:t>
            </w:r>
            <w:r>
              <w:rPr>
                <w:rFonts w:hint="eastAsia" w:ascii="仿宋_GB2312" w:hAnsi="仿宋_GB2312" w:eastAsia="仿宋_GB2312" w:cs="仿宋_GB2312"/>
                <w:i w:val="0"/>
                <w:iCs w:val="0"/>
                <w:color w:val="auto"/>
                <w:sz w:val="28"/>
                <w:szCs w:val="28"/>
                <w:highlight w:val="none"/>
                <w:lang w:val="en-US" w:eastAsia="zh-CN" w:bidi="ar-SA"/>
              </w:rPr>
              <w:t>1</w:t>
            </w:r>
            <w:r>
              <w:rPr>
                <w:rFonts w:hint="eastAsia" w:ascii="仿宋_GB2312" w:hAnsi="仿宋_GB2312" w:eastAsia="仿宋_GB2312" w:cs="仿宋_GB2312"/>
                <w:i w:val="0"/>
                <w:iCs w:val="0"/>
                <w:color w:val="auto"/>
                <w:sz w:val="28"/>
                <w:szCs w:val="28"/>
                <w:highlight w:val="none"/>
                <w:lang w:val="en-US" w:eastAsia="en-US" w:bidi="ar-SA"/>
              </w:rPr>
              <w:t>项商业固定设备噪声治理。</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区商务局</w:t>
            </w:r>
          </w:p>
        </w:tc>
        <w:tc>
          <w:tcPr>
            <w:tcW w:w="200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szCs w:val="28"/>
                <w:highlight w:val="none"/>
                <w:lang w:val="en-US" w:eastAsia="zh-CN"/>
              </w:rPr>
            </w:pPr>
            <w:r>
              <w:rPr>
                <w:rFonts w:hint="eastAsia" w:ascii="仿宋_GB2312" w:hAnsi="仿宋_GB2312" w:eastAsia="仿宋_GB2312" w:cs="仿宋_GB2312"/>
                <w:i w:val="0"/>
                <w:iCs w:val="0"/>
                <w:color w:val="auto"/>
                <w:spacing w:val="-11"/>
                <w:sz w:val="28"/>
                <w:szCs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pacing w:val="-11"/>
                <w:sz w:val="28"/>
                <w:szCs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464"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bidi="ar-SA"/>
              </w:rPr>
            </w:pPr>
          </w:p>
        </w:tc>
        <w:tc>
          <w:tcPr>
            <w:tcW w:w="94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38" w:leftChars="18" w:right="0" w:rightChars="0"/>
              <w:jc w:val="center"/>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p>
        </w:tc>
        <w:tc>
          <w:tcPr>
            <w:tcW w:w="5884"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108" w:leftChars="0" w:right="0" w:rightChars="0"/>
              <w:jc w:val="both"/>
              <w:textAlignment w:val="auto"/>
              <w:outlineLvl w:val="9"/>
              <w:rPr>
                <w:rFonts w:hint="eastAsia" w:ascii="仿宋_GB2312" w:hAnsi="仿宋_GB2312" w:eastAsia="仿宋_GB2312" w:cs="仿宋_GB2312"/>
                <w:i w:val="0"/>
                <w:iCs w:val="0"/>
                <w:color w:val="auto"/>
                <w:sz w:val="28"/>
                <w:szCs w:val="28"/>
                <w:highlight w:val="none"/>
                <w:lang w:val="en-US" w:eastAsia="en-US" w:bidi="ar-SA"/>
              </w:rPr>
            </w:pPr>
            <w:r>
              <w:rPr>
                <w:rFonts w:hint="eastAsia" w:ascii="仿宋_GB2312" w:hAnsi="仿宋_GB2312" w:eastAsia="仿宋_GB2312" w:cs="仿宋_GB2312"/>
                <w:i w:val="0"/>
                <w:iCs w:val="0"/>
                <w:color w:val="auto"/>
                <w:sz w:val="28"/>
                <w:szCs w:val="28"/>
                <w:highlight w:val="none"/>
                <w:lang w:val="en-US" w:eastAsia="en-US" w:bidi="ar-SA"/>
              </w:rPr>
              <w:t>组织实施</w:t>
            </w:r>
            <w:r>
              <w:rPr>
                <w:rFonts w:hint="eastAsia" w:ascii="仿宋_GB2312" w:hAnsi="仿宋_GB2312" w:eastAsia="仿宋_GB2312" w:cs="仿宋_GB2312"/>
                <w:i w:val="0"/>
                <w:iCs w:val="0"/>
                <w:color w:val="auto"/>
                <w:sz w:val="28"/>
                <w:szCs w:val="28"/>
                <w:highlight w:val="none"/>
                <w:lang w:val="en-US" w:eastAsia="zh-CN" w:bidi="ar-SA"/>
              </w:rPr>
              <w:t>1</w:t>
            </w:r>
            <w:r>
              <w:rPr>
                <w:rFonts w:hint="eastAsia" w:ascii="仿宋_GB2312" w:hAnsi="仿宋_GB2312" w:eastAsia="仿宋_GB2312" w:cs="仿宋_GB2312"/>
                <w:i w:val="0"/>
                <w:iCs w:val="0"/>
                <w:color w:val="auto"/>
                <w:sz w:val="28"/>
                <w:szCs w:val="28"/>
                <w:highlight w:val="none"/>
                <w:lang w:val="en-US" w:eastAsia="en-US" w:bidi="ar-SA"/>
              </w:rPr>
              <w:t>项公共场所文体娱乐活动噪声治理。</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区公安分局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pacing w:val="-23"/>
                <w:sz w:val="28"/>
                <w:szCs w:val="28"/>
                <w:highlight w:val="none"/>
                <w:lang w:val="en-US" w:eastAsia="zh-CN"/>
              </w:rPr>
              <w:t>市交通委密云公路分局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区住房城乡建设委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lang w:val="en-US" w:eastAsia="zh-CN"/>
              </w:rPr>
              <w:t>区园林绿化中心</w:t>
            </w:r>
          </w:p>
        </w:tc>
        <w:tc>
          <w:tcPr>
            <w:tcW w:w="2004" w:type="dxa"/>
            <w:noWrap w:val="0"/>
            <w:vAlign w:val="center"/>
          </w:tcPr>
          <w:p>
            <w:pPr>
              <w:keepNext w:val="0"/>
              <w:keepLines w:val="0"/>
              <w:pageBreakBefore w:val="0"/>
              <w:widowControl w:val="0"/>
              <w:kinsoku/>
              <w:wordWrap/>
              <w:overflowPunct/>
              <w:topLinePunct w:val="0"/>
              <w:autoSpaceDE w:val="0"/>
              <w:autoSpaceDN w:val="0"/>
              <w:bidi w:val="0"/>
              <w:adjustRightInd/>
              <w:snapToGrid w:val="0"/>
              <w:spacing w:line="30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11"/>
                <w:sz w:val="28"/>
                <w:szCs w:val="28"/>
                <w:highlight w:val="none"/>
                <w:lang w:val="en-US" w:eastAsia="zh-CN"/>
              </w:rPr>
            </w:pPr>
            <w:r>
              <w:rPr>
                <w:rFonts w:hint="eastAsia" w:ascii="仿宋_GB2312" w:hAnsi="仿宋_GB2312" w:eastAsia="仿宋_GB2312" w:cs="仿宋_GB2312"/>
                <w:i w:val="0"/>
                <w:iCs w:val="0"/>
                <w:color w:val="auto"/>
                <w:spacing w:val="-11"/>
                <w:sz w:val="28"/>
                <w:szCs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z w:val="28"/>
                <w:szCs w:val="28"/>
                <w:highlight w:val="none"/>
                <w:lang w:val="en-US" w:eastAsia="zh-CN"/>
              </w:rPr>
            </w:pPr>
            <w:r>
              <w:rPr>
                <w:rFonts w:hint="eastAsia" w:ascii="仿宋_GB2312" w:hAnsi="仿宋_GB2312" w:eastAsia="仿宋_GB2312" w:cs="仿宋_GB2312"/>
                <w:i w:val="0"/>
                <w:iCs w:val="0"/>
                <w:color w:val="auto"/>
                <w:spacing w:val="-11"/>
                <w:sz w:val="28"/>
                <w:szCs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4940" w:type="dxa"/>
            <w:gridSpan w:val="8"/>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六、加强大气环境治理保障支撑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20" w:lineRule="exact"/>
              <w:ind w:left="11"/>
              <w:jc w:val="center"/>
              <w:textAlignment w:val="auto"/>
              <w:outlineLvl w:val="9"/>
              <w:rPr>
                <w:rFonts w:hint="default"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26</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加强区域联防</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联控</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区域协同落实京津冀大气污染防治联防联控工作，强化协调沟通、信息共享、定期会商、联动执法等机制，共同开展秋冬季大气污染综合治理攻坚行动，开展重大活动空气质量保障。</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outlineLvl w:val="9"/>
              <w:rPr>
                <w:i w:val="0"/>
                <w:iCs w:val="0"/>
                <w:color w:val="auto"/>
                <w:sz w:val="28"/>
                <w:highlight w:val="none"/>
              </w:rPr>
            </w:pPr>
            <w:r>
              <w:rPr>
                <w:i w:val="0"/>
                <w:iCs w:val="0"/>
                <w:color w:val="auto"/>
                <w:spacing w:val="-1"/>
                <w:sz w:val="28"/>
                <w:highlight w:val="none"/>
              </w:rPr>
              <w:t>长期实施</w:t>
            </w:r>
          </w:p>
        </w:tc>
        <w:tc>
          <w:tcPr>
            <w:tcW w:w="2050" w:type="dxa"/>
            <w:gridSpan w:val="2"/>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3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eastAsia="zh-CN"/>
              </w:rPr>
              <w:t>区</w:t>
            </w:r>
            <w:r>
              <w:rPr>
                <w:rFonts w:hint="eastAsia"/>
                <w:i w:val="0"/>
                <w:iCs w:val="0"/>
                <w:color w:val="auto"/>
                <w:sz w:val="28"/>
                <w:highlight w:val="none"/>
                <w:lang w:val="en-US" w:eastAsia="zh-CN"/>
              </w:rPr>
              <w:t>空气重污染应急指挥部成员单位</w:t>
            </w:r>
          </w:p>
        </w:tc>
        <w:tc>
          <w:tcPr>
            <w:tcW w:w="200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2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落实</w:t>
            </w:r>
            <w:r>
              <w:rPr>
                <w:rFonts w:hint="eastAsia"/>
                <w:i w:val="0"/>
                <w:iCs w:val="0"/>
                <w:color w:val="auto"/>
                <w:sz w:val="28"/>
                <w:highlight w:val="none"/>
              </w:rPr>
              <w:t>京津冀三地区域联合会商机制，污染应对期间，各成员单位组织落实各项减排措施，并加强监督检查执法。</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eastAsia="仿宋_GB2312"/>
                <w:i w:val="0"/>
                <w:iCs w:val="0"/>
                <w:color w:val="auto"/>
                <w:spacing w:val="-1"/>
                <w:sz w:val="28"/>
                <w:highlight w:val="none"/>
                <w:lang w:val="en-US" w:eastAsia="zh-CN"/>
              </w:rPr>
            </w:pPr>
            <w:r>
              <w:rPr>
                <w:rFonts w:hint="eastAsia"/>
                <w:i w:val="0"/>
                <w:iCs w:val="0"/>
                <w:color w:val="auto"/>
                <w:spacing w:val="-1"/>
                <w:sz w:val="28"/>
                <w:highlight w:val="none"/>
                <w:lang w:val="en-US" w:eastAsia="zh-CN"/>
              </w:rPr>
              <w:t>长期实施</w:t>
            </w:r>
          </w:p>
        </w:tc>
        <w:tc>
          <w:tcPr>
            <w:tcW w:w="2050" w:type="dxa"/>
            <w:gridSpan w:val="2"/>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p>
        </w:tc>
        <w:tc>
          <w:tcPr>
            <w:tcW w:w="23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p>
        </w:tc>
        <w:tc>
          <w:tcPr>
            <w:tcW w:w="200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2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rPr>
              <w:t>夯实空气重污染应急基础，动态更新涉气企业全清单、应急减排清单。</w:t>
            </w:r>
            <w:r>
              <w:rPr>
                <w:rFonts w:hint="eastAsia"/>
                <w:i w:val="0"/>
                <w:iCs w:val="0"/>
                <w:color w:val="auto"/>
                <w:sz w:val="28"/>
                <w:highlight w:val="none"/>
                <w:lang w:val="en-US" w:eastAsia="zh-CN"/>
              </w:rPr>
              <w:t>配合市级部门</w:t>
            </w:r>
            <w:r>
              <w:rPr>
                <w:rFonts w:hint="eastAsia"/>
                <w:i w:val="0"/>
                <w:iCs w:val="0"/>
                <w:color w:val="auto"/>
                <w:sz w:val="28"/>
                <w:highlight w:val="none"/>
              </w:rPr>
              <w:t>研究修订绩效评级办法，推动企业绿色化水平持续提升。</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长期实施</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区经济和信息化局</w:t>
            </w:r>
          </w:p>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i w:val="0"/>
                <w:iCs w:val="0"/>
                <w:color w:val="auto"/>
                <w:spacing w:val="-17"/>
                <w:sz w:val="28"/>
                <w:highlight w:val="none"/>
                <w:lang w:val="en-US" w:eastAsia="zh-CN"/>
              </w:rPr>
            </w:pPr>
            <w:r>
              <w:rPr>
                <w:rFonts w:hint="eastAsia"/>
                <w:i w:val="0"/>
                <w:iCs w:val="0"/>
                <w:color w:val="auto"/>
                <w:sz w:val="28"/>
                <w:highlight w:val="none"/>
                <w:lang w:eastAsia="zh-CN"/>
              </w:rPr>
              <w:t>区</w:t>
            </w:r>
            <w:r>
              <w:rPr>
                <w:rFonts w:hint="eastAsia"/>
                <w:i w:val="0"/>
                <w:iCs w:val="0"/>
                <w:color w:val="auto"/>
                <w:sz w:val="28"/>
                <w:highlight w:val="none"/>
                <w:lang w:val="en-US" w:eastAsia="zh-CN"/>
              </w:rPr>
              <w:t>空气重污染应急指挥部成员单位</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2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按照全市统一部署，</w:t>
            </w:r>
            <w:r>
              <w:rPr>
                <w:rFonts w:hint="eastAsia"/>
                <w:i w:val="0"/>
                <w:iCs w:val="0"/>
                <w:color w:val="auto"/>
                <w:sz w:val="28"/>
                <w:highlight w:val="none"/>
              </w:rPr>
              <w:t>对京津冀三地交界地区两侧20公里以内的涉气重点行业新建项目开展环评一致性会商。</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长期实施</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相关镇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6"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27</w:t>
            </w: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i w:val="0"/>
                <w:iCs w:val="0"/>
                <w:color w:val="auto"/>
                <w:w w:val="100"/>
                <w:sz w:val="28"/>
                <w:highlight w:val="none"/>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default"/>
                <w:i w:val="0"/>
                <w:iCs w:val="0"/>
                <w:color w:val="auto"/>
                <w:w w:val="100"/>
                <w:sz w:val="28"/>
                <w:highlight w:val="none"/>
                <w:lang w:val="en-US" w:eastAsia="zh-CN"/>
              </w:rPr>
            </w:pPr>
            <w:r>
              <w:rPr>
                <w:rFonts w:hint="eastAsia"/>
                <w:i w:val="0"/>
                <w:iCs w:val="0"/>
                <w:color w:val="auto"/>
                <w:w w:val="100"/>
                <w:sz w:val="28"/>
                <w:highlight w:val="none"/>
                <w:lang w:val="en-US" w:eastAsia="zh-CN"/>
              </w:rPr>
              <w:t>27</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301" w:line="300" w:lineRule="exact"/>
              <w:ind w:left="11"/>
              <w:jc w:val="center"/>
              <w:textAlignment w:val="auto"/>
              <w:outlineLvl w:val="9"/>
              <w:rPr>
                <w:rFonts w:hint="eastAsia" w:ascii="仿宋_GB2312" w:hAnsi="仿宋_GB2312" w:eastAsia="仿宋_GB2312" w:cs="仿宋_GB2312"/>
                <w:i w:val="0"/>
                <w:iCs w:val="0"/>
                <w:color w:val="auto"/>
                <w:sz w:val="44"/>
                <w:szCs w:val="44"/>
                <w:highlight w:val="none"/>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301" w:line="300" w:lineRule="exact"/>
              <w:ind w:left="11"/>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加强科技标准支撑</w:t>
            </w: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ind w:left="11"/>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181" w:line="300" w:lineRule="exact"/>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61" w:line="300" w:lineRule="exact"/>
              <w:jc w:val="both"/>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p>
            <w:pPr>
              <w:pStyle w:val="7"/>
              <w:keepNext w:val="0"/>
              <w:keepLines w:val="0"/>
              <w:pageBreakBefore w:val="0"/>
              <w:widowControl w:val="0"/>
              <w:kinsoku/>
              <w:wordWrap/>
              <w:overflowPunct/>
              <w:topLinePunct w:val="0"/>
              <w:autoSpaceDE w:val="0"/>
              <w:autoSpaceDN w:val="0"/>
              <w:bidi w:val="0"/>
              <w:adjustRightInd/>
              <w:snapToGrid/>
              <w:spacing w:before="61" w:line="300" w:lineRule="exact"/>
              <w:ind w:left="11"/>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加强科技标准支撑</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配合市级部门，启动京津冀环境综合治理国家科技重大专项项目“超大城市大气污染精准防治与智慧决策支撑研究与示范”研究；探索区域内含VOCs生产生活类产品溯源管理机制；探索开展本市电厂夏季余热资源“夏储冬用”研究；积极推进非道路移动机械清洁化关键技术、超大城市沥青路面建材烟气污染物全过程减排及资源化等领域的试点项目。</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区市场监管局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配合市级部门，加强大气环境智慧感知能力，提升空气质量预测预报水平，强化大数据手段在空气重污染应对过程中的应用。在固定源监管、移动源监管、精准治理、区域联防联控等业务场景，探索开展多源数据价值挖掘、数智化模型研发、智能化决策支撑等科技创新工作。</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8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充分应用“一微克”精细化管理平台，形成问题快速发现、快速处置、快速督办、快速解决的工作闭环。</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长期实施</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36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pacing w:val="-11"/>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相关行业</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28</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强化监测能力建设</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8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提升生态环境监测基础站监测能力，大力推进特色站监测能力建设。全面推进用电在线监控技术应用，加强对产治污设施运行状况的分析诊断。</w:t>
            </w:r>
          </w:p>
        </w:tc>
        <w:tc>
          <w:tcPr>
            <w:tcW w:w="1229"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8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健全智能化大气监测网络，更新监测基础设施，完善基于现代感知技术和大数据技术的大气环境监测网络，强化PM2.5、TSP监测站网管理。</w:t>
            </w:r>
          </w:p>
        </w:tc>
        <w:tc>
          <w:tcPr>
            <w:tcW w:w="1229"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p>
        </w:tc>
        <w:tc>
          <w:tcPr>
            <w:tcW w:w="4414" w:type="dxa"/>
            <w:gridSpan w:val="3"/>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p>
        </w:tc>
        <w:tc>
          <w:tcPr>
            <w:tcW w:w="200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29</w:t>
            </w: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发挥经济政策激励引导作用</w:t>
            </w: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8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在建筑、交通、新能源、技术创新等重点领域，对符合条件的企业，引导辖区内金融机构加大信贷、保险等支持力度。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区发展改革委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28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配合市级部门，结合碳中和目标下清洁低碳供热技术应用，研究完善更加有利于促进供热领域减污降碳的价格体系。</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区发展改革委</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区城市管理委</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加强市级资金统筹，按照污染防治专项转移支付资金管理办法，向环境质量改善情况好或月度点评排名靠前、污染防治任务重的街道(乡镇)予以倾斜。加强项目储备与资金使用管理，并结合辖区实际，相应加大区级财政投入力度。</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区财政局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leftChars="0" w:right="0" w:rightChars="0"/>
              <w:jc w:val="center"/>
              <w:textAlignment w:val="auto"/>
              <w:outlineLvl w:val="9"/>
              <w:rPr>
                <w:rFonts w:hint="eastAsia"/>
                <w:i w:val="0"/>
                <w:iCs w:val="0"/>
                <w:color w:val="auto"/>
                <w:w w:val="100"/>
                <w:sz w:val="28"/>
                <w:highlight w:val="none"/>
                <w:lang w:val="en-US" w:eastAsia="zh-CN"/>
              </w:rPr>
            </w:pPr>
            <w:r>
              <w:rPr>
                <w:rFonts w:hint="eastAsia"/>
                <w:i w:val="0"/>
                <w:iCs w:val="0"/>
                <w:color w:val="auto"/>
                <w:w w:val="100"/>
                <w:sz w:val="28"/>
                <w:highlight w:val="none"/>
                <w:lang w:val="en-US" w:eastAsia="zh-CN"/>
              </w:rPr>
              <w:t>30</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restart"/>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仿宋_GB2312" w:hAnsi="仿宋_GB2312" w:eastAsia="仿宋_GB2312" w:cs="仿宋_GB2312"/>
                <w:i w:val="0"/>
                <w:iCs w:val="0"/>
                <w:color w:val="auto"/>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强化督导和监管执法</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加强对大气污染防治工作的统筹调度，聚焦空气质量和“含绿量”提升，强化排名、通报、帮扶等机制，压紧压实各相关部门和属地大气污染防治责任。</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50" w:type="dxa"/>
            <w:gridSpan w:val="2"/>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36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各行业主管部门</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pacing w:val="-17"/>
                <w:sz w:val="28"/>
                <w:highlight w:val="none"/>
                <w:lang w:val="en-US" w:eastAsia="zh-CN"/>
              </w:rPr>
              <w:t>中关村密云园管委会</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全面实行排污许可制。重点审核空气重污染应急减排要求等内容是否按规定记载；对重点行业排污许可证质量、2024年度排污许可证执行报告开展常态化审核，审核总数分别不少于持证单位总数的三分之一；2024年度排污许可执行报告按时提交率达到98%以上；按时完成重点行业排污许可与生态环境统计衔接融合工作。督促排污单位依法披露环境信息。</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pacing w:val="-11"/>
                <w:sz w:val="28"/>
                <w:highlight w:val="none"/>
                <w:lang w:val="en-US" w:eastAsia="zh-CN"/>
              </w:rPr>
              <w:t>各行业主管部门</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pacing w:val="-17"/>
                <w:sz w:val="28"/>
                <w:highlight w:val="none"/>
                <w:lang w:val="en-US" w:eastAsia="zh-CN"/>
              </w:rPr>
            </w:pPr>
            <w:r>
              <w:rPr>
                <w:rFonts w:hint="eastAsia"/>
                <w:i w:val="0"/>
                <w:iCs w:val="0"/>
                <w:color w:val="auto"/>
                <w:spacing w:val="-17"/>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pacing w:val="-17"/>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leftChars="0" w:right="0" w:rightChars="0"/>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生态环境部门结合季节特点，以VOCs和NOx为重点，加强对涉气固定源的执法检查。</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按照市级统一部署，开展市区两级“点穴式”执法工作，以空气质量排名靠后区域为重点，开展市级交叉执法，帮扶属地提高管理能力和水平。强化非现场执法检查和科技执法手段应用，年底前非现场检查量占比达到市级目标要求。针对采暖季锅炉、柴油车（械）等重点领域可以开展专项执法。</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004" w:type="dxa"/>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1"/>
                <w:sz w:val="28"/>
                <w:highlight w:val="none"/>
                <w:lang w:val="en-US" w:eastAsia="zh-CN"/>
              </w:rPr>
            </w:pPr>
            <w:r>
              <w:rPr>
                <w:rFonts w:hint="eastAsia"/>
                <w:i w:val="0"/>
                <w:iCs w:val="0"/>
                <w:color w:val="auto"/>
                <w:spacing w:val="-11"/>
                <w:sz w:val="28"/>
                <w:highlight w:val="none"/>
                <w:lang w:val="en-US" w:eastAsia="zh-CN"/>
              </w:rPr>
              <w:t>中关村密云园</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ascii="仿宋_GB2312" w:eastAsia="仿宋_GB2312"/>
                <w:color w:val="auto"/>
                <w:sz w:val="28"/>
                <w:szCs w:val="28"/>
                <w:highlight w:val="none"/>
              </w:rPr>
            </w:pPr>
            <w:r>
              <w:rPr>
                <w:rFonts w:hint="eastAsia"/>
                <w:i w:val="0"/>
                <w:iCs w:val="0"/>
                <w:color w:val="auto"/>
                <w:spacing w:val="-11"/>
                <w:sz w:val="28"/>
                <w:highlight w:val="none"/>
                <w:lang w:val="en-US" w:eastAsia="zh-CN"/>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64"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1"/>
              <w:jc w:val="center"/>
              <w:textAlignment w:val="auto"/>
              <w:outlineLvl w:val="9"/>
              <w:rPr>
                <w:rFonts w:hint="eastAsia"/>
                <w:i w:val="0"/>
                <w:iCs w:val="0"/>
                <w:color w:val="auto"/>
                <w:w w:val="100"/>
                <w:sz w:val="28"/>
                <w:highlight w:val="none"/>
                <w:lang w:val="en-US" w:eastAsia="zh-CN"/>
              </w:rPr>
            </w:pPr>
          </w:p>
        </w:tc>
        <w:tc>
          <w:tcPr>
            <w:tcW w:w="945" w:type="dxa"/>
            <w:vMerge w:val="continue"/>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right="0"/>
              <w:jc w:val="center"/>
              <w:textAlignment w:val="auto"/>
              <w:rPr>
                <w:rFonts w:hint="eastAsia" w:ascii="仿宋_GB2312" w:hAnsi="仿宋_GB2312" w:eastAsia="仿宋_GB2312" w:cs="仿宋_GB2312"/>
                <w:i w:val="0"/>
                <w:iCs w:val="0"/>
                <w:color w:val="auto"/>
                <w:sz w:val="28"/>
                <w:szCs w:val="22"/>
                <w:highlight w:val="none"/>
                <w:lang w:val="en-US" w:eastAsia="zh-CN" w:bidi="ar-SA"/>
              </w:rPr>
            </w:pPr>
          </w:p>
        </w:tc>
        <w:tc>
          <w:tcPr>
            <w:tcW w:w="588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镇街（地区）和公安交管、城管执法等部门，组织开展贯穿全年的环境问题专项执法检查，加强对移动源、施工工地和露天焚烧等问题的执法检查。</w:t>
            </w:r>
          </w:p>
        </w:tc>
        <w:tc>
          <w:tcPr>
            <w:tcW w:w="1229"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i w:val="0"/>
                <w:iCs w:val="0"/>
                <w:color w:val="auto"/>
                <w:spacing w:val="-1"/>
                <w:sz w:val="28"/>
                <w:highlight w:val="none"/>
                <w:lang w:val="en-US" w:eastAsia="zh-CN"/>
              </w:rPr>
            </w:pPr>
            <w:r>
              <w:rPr>
                <w:rFonts w:hint="eastAsia"/>
                <w:i w:val="0"/>
                <w:iCs w:val="0"/>
                <w:color w:val="auto"/>
                <w:spacing w:val="-1"/>
                <w:sz w:val="28"/>
                <w:highlight w:val="none"/>
                <w:lang w:val="en-US" w:eastAsia="zh-CN"/>
              </w:rPr>
              <w:t>年底前</w:t>
            </w:r>
          </w:p>
        </w:tc>
        <w:tc>
          <w:tcPr>
            <w:tcW w:w="4414"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spacing w:before="0" w:line="3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ascii="仿宋_GB2312" w:eastAsia="仿宋_GB2312"/>
                <w:color w:val="auto"/>
                <w:sz w:val="28"/>
                <w:szCs w:val="28"/>
                <w:highlight w:val="none"/>
              </w:rPr>
            </w:pPr>
            <w:r>
              <w:rPr>
                <w:rFonts w:hint="eastAsia"/>
                <w:i w:val="0"/>
                <w:iCs w:val="0"/>
                <w:color w:val="auto"/>
                <w:spacing w:val="-11"/>
                <w:sz w:val="28"/>
                <w:highlight w:val="none"/>
                <w:lang w:val="en-US" w:eastAsia="zh-CN"/>
              </w:rPr>
              <w:t>中关村密云园管委会</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区城管执法局</w:t>
            </w:r>
          </w:p>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color w:val="auto"/>
                <w:sz w:val="28"/>
                <w:szCs w:val="28"/>
                <w:highlight w:val="none"/>
                <w:lang w:val="en-US" w:eastAsia="zh-CN"/>
              </w:rPr>
            </w:pPr>
            <w:r>
              <w:rPr>
                <w:rFonts w:hint="eastAsia" w:cs="仿宋_GB2312"/>
                <w:i w:val="0"/>
                <w:iCs w:val="0"/>
                <w:color w:val="auto"/>
                <w:spacing w:val="-17"/>
                <w:sz w:val="28"/>
                <w:highlight w:val="none"/>
                <w:lang w:val="en-US" w:eastAsia="zh-CN"/>
              </w:rPr>
              <w:t>区公安分局交通支队</w:t>
            </w:r>
          </w:p>
        </w:tc>
        <w:tc>
          <w:tcPr>
            <w:tcW w:w="2004" w:type="dxa"/>
            <w:noWrap w:val="0"/>
            <w:vAlign w:val="center"/>
          </w:tcPr>
          <w:p>
            <w:pPr>
              <w:pStyle w:val="7"/>
              <w:keepNext w:val="0"/>
              <w:keepLines w:val="0"/>
              <w:pageBreakBefore w:val="0"/>
              <w:widowControl w:val="0"/>
              <w:kinsoku/>
              <w:wordWrap/>
              <w:overflowPunct/>
              <w:topLinePunct w:val="0"/>
              <w:autoSpaceDE w:val="0"/>
              <w:autoSpaceDN w:val="0"/>
              <w:bidi w:val="0"/>
              <w:adjustRightInd/>
              <w:snapToGrid/>
              <w:spacing w:before="0" w:line="300" w:lineRule="exact"/>
              <w:ind w:left="0" w:leftChars="0" w:right="0" w:rightChars="0"/>
              <w:jc w:val="center"/>
              <w:textAlignment w:val="auto"/>
              <w:outlineLvl w:val="9"/>
              <w:rPr>
                <w:rFonts w:hint="eastAsia" w:ascii="仿宋_GB2312" w:eastAsia="仿宋_GB2312"/>
                <w:color w:val="auto"/>
                <w:sz w:val="28"/>
                <w:szCs w:val="28"/>
                <w:highlight w:val="none"/>
              </w:rPr>
            </w:pPr>
            <w:r>
              <w:rPr>
                <w:i w:val="0"/>
                <w:iCs w:val="0"/>
                <w:color w:val="auto"/>
                <w:sz w:val="28"/>
                <w:highlight w:val="none"/>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17C2C"/>
    <w:rsid w:val="70F17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toc 2"/>
    <w:basedOn w:val="1"/>
    <w:next w:val="1"/>
    <w:qFormat/>
    <w:uiPriority w:val="99"/>
    <w:pPr>
      <w:ind w:left="420" w:leftChars="200"/>
    </w:pPr>
    <w:rPr>
      <w:szCs w:val="21"/>
    </w:rPr>
  </w:style>
  <w:style w:type="paragraph" w:styleId="4">
    <w:name w:val="footer"/>
    <w:basedOn w:val="1"/>
    <w:uiPriority w:val="0"/>
    <w:pPr>
      <w:tabs>
        <w:tab w:val="center" w:pos="4153"/>
        <w:tab w:val="right" w:pos="8306"/>
      </w:tabs>
      <w:snapToGrid w:val="0"/>
      <w:jc w:val="left"/>
    </w:pPr>
    <w:rPr>
      <w:sz w:val="18"/>
      <w:szCs w:val="18"/>
    </w:rPr>
  </w:style>
  <w:style w:type="paragraph" w:customStyle="1" w:styleId="7">
    <w:name w:val="Table Paragraph"/>
    <w:basedOn w:val="1"/>
    <w:qFormat/>
    <w:uiPriority w:val="1"/>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2025-03-07T02:08:00Z</dcterms:created>
  <dc:creator>Administrator</dc:creator>
  <cp:lastModifiedBy>Administrator</cp:lastModifiedBy>
  <dcterms:modified xsi:type="dcterms:W3CDTF">2025-03-07T02:08:41Z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