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方正黑体_GBK"/>
          <w:sz w:val="32"/>
          <w:szCs w:val="32"/>
          <w:lang w:eastAsia="zh-CN"/>
        </w:rPr>
      </w:pP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相关附属物及地埋管道补偿标准</w:t>
      </w:r>
    </w:p>
    <w:p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718"/>
        <w:gridCol w:w="2107"/>
        <w:gridCol w:w="3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880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</w:rPr>
              <w:t>附属物补偿标准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名称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单价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水泥柱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30元/根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(带铁丝)拆移费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压水井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1000元/座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含水管、压水机头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3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军绿网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15元/平方米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迁移费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4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木杆篱笆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5元/米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5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柏油路面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150元/平方米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6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普通摄像头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700元/个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包含线路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173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7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广角摄像头</w:t>
            </w:r>
          </w:p>
        </w:tc>
        <w:tc>
          <w:tcPr>
            <w:tcW w:w="210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850元/个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包含线路</w:t>
            </w:r>
          </w:p>
        </w:tc>
      </w:tr>
    </w:tbl>
    <w:p>
      <w:pPr>
        <w:pStyle w:val="8"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8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9"/>
        <w:gridCol w:w="38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786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水井补偿标准（含水泵补偿）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4959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</w:rPr>
              <w:t>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4959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取得《凿井许可证》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1500元/米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959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eastAsia="zh-CN"/>
              </w:rPr>
              <w:t>未取得《凿井许可证》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1500元/眼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8786" w:type="dxa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：根据《北京市水资源管理条例》要求，市城市规划管理部门应对1990年1月底以前的机井核发《凿井许可证》，因特殊原因未核发但具备使用功能的，水泵、管道等设备齐全的机井，经认定组认定并公示无异议后，按照《北京市房屋重置成新价评估技术标准》（北估秘〔2016〕001号）评估作价。</w:t>
            </w:r>
          </w:p>
        </w:tc>
      </w:tr>
    </w:tbl>
    <w:p>
      <w:pPr>
        <w:spacing w:before="75"/>
        <w:rPr>
          <w:rFonts w:hint="eastAsia" w:ascii="仿宋_GB2312" w:hAnsi="仿宋_GB2312" w:eastAsia="仿宋_GB2312" w:cs="仿宋_GB2312"/>
        </w:rPr>
      </w:pPr>
    </w:p>
    <w:tbl>
      <w:tblPr>
        <w:tblStyle w:val="6"/>
        <w:tblpPr w:leftFromText="180" w:rightFromText="180" w:vertAnchor="text" w:horzAnchor="page" w:tblpX="1717" w:tblpY="5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578"/>
        <w:gridCol w:w="2111"/>
        <w:gridCol w:w="2219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880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pStyle w:val="5"/>
              <w:ind w:left="336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bookmarkStart w:id="0" w:name="_Hlk140612391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kern w:val="0"/>
                <w:sz w:val="32"/>
                <w:szCs w:val="32"/>
                <w:lang w:val="en-US" w:eastAsia="zh-CN" w:bidi="ar-SA"/>
              </w:rPr>
              <w:t>地埋管道补偿标准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管材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直径（寸）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单价（元/米）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兰盘铁管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104.00</w:t>
            </w:r>
          </w:p>
        </w:tc>
        <w:tc>
          <w:tcPr>
            <w:tcW w:w="2054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包括挖沟、安装、回填费用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镀锌铁管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铁管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6分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2.5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3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塑料管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14.00</w:t>
            </w:r>
          </w:p>
        </w:tc>
        <w:tc>
          <w:tcPr>
            <w:tcW w:w="2054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default" w:ascii="黑体" w:hAnsi="黑体" w:eastAsia="黑体" w:cs="方正黑体_GBK"/>
          <w:sz w:val="32"/>
          <w:szCs w:val="32"/>
          <w:lang w:val="en-US" w:eastAsia="zh-CN"/>
        </w:rPr>
      </w:pPr>
      <w:r>
        <w:rPr>
          <w:rFonts w:hint="eastAsia"/>
        </w:rPr>
        <w:br w:type="page"/>
      </w:r>
      <w:r>
        <w:rPr>
          <w:rFonts w:hint="eastAsia" w:ascii="黑体" w:hAnsi="黑体" w:eastAsia="黑体" w:cs="方正黑体_GBK"/>
          <w:sz w:val="32"/>
          <w:szCs w:val="32"/>
        </w:rPr>
        <w:t>附件</w:t>
      </w:r>
      <w:r>
        <w:rPr>
          <w:rFonts w:hint="eastAsia" w:ascii="黑体" w:hAnsi="黑体" w:eastAsia="黑体" w:cs="方正黑体_GBK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2024年3月至2025年2月猪、牛、羊、禽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等动物强制扑杀补偿基准指导价格表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2722"/>
        <w:gridCol w:w="3289"/>
        <w:gridCol w:w="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tblHeader/>
          <w:jc w:val="center"/>
        </w:trPr>
        <w:tc>
          <w:tcPr>
            <w:tcW w:w="2065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动物种类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生长阶段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补偿基准指导价格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（元/头、只）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原种猪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 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36至70日龄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71至115日龄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1230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116至160日龄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4250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3400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残值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祖代猪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 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36至70日龄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71至115日龄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1190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116至160日龄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残值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二元猪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二元猪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残值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商品猪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乳猪出生价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乳猪35日龄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36至70日龄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71至115日龄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奶牛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母犊牛出生价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犊牛6月龄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犊牛12个月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后备牛24个月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经产牛1胎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经产牛2胎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经产牛3胎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经产牛4胎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经产牛5胎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经产牛6胎及以上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公牛犊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肉牛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肉牛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落地犊牛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6月龄以下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6月-15月龄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15至24月龄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国产商品肉羊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羔羊出生价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肉羊30公斤以下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肉羊30-60公斤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国产肉种羊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羔羊出生价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种羊30公斤以下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种羊30-60公斤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国外纯种羊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纯种羔羊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重量30公斤以上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国产马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1年及以下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l至3年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3至16年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16年以上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787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观赏马和比赛用马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补偿价格原则上不超过现行同类国产马补贴价格的2-3倍，具体另议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驴、骡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1年及以下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1至8年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8年以上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商品肉鸡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商品肉鸡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11-20日龄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21-40日龄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父母代肉种鸡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21-42日龄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43-300日龄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祖代及以上代次肉种鸡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21-42日龄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43-300日龄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商品蛋鸡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11至42日龄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101至350日龄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787" w:type="dxa"/>
            <w:gridSpan w:val="2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柴鸡（林下、生态养殖等模式）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补偿价格原则上不超过现行101至350日龄商品蛋鸡补贴价格的1.5-2倍，具体另议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父母代蛋种鸡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父母代蛋种鸡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11至42日龄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101-140日龄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141至350日龄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祖代及以上代次蛋种鸡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鸡苗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11至42日龄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101-140日龄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141至350日龄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商品鸭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11-30日龄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31-45日龄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种鸭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鸭苗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11-42日龄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43-100日左右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101-182日龄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183-300日龄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每增加5天减少1%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restart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鹅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30日龄及以下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31至180日龄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065" w:type="dxa"/>
            <w:vMerge w:val="continue"/>
            <w:noWrap w:val="0"/>
            <w:vAlign w:val="center"/>
          </w:tcPr>
          <w:p>
            <w:pPr>
              <w:pStyle w:val="8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</w:pPr>
          </w:p>
        </w:tc>
        <w:tc>
          <w:tcPr>
            <w:tcW w:w="272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180日龄以上</w:t>
            </w:r>
          </w:p>
        </w:tc>
        <w:tc>
          <w:tcPr>
            <w:tcW w:w="3289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</w:rPr>
      </w:pP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5" w:left="1588" w:header="851" w:footer="144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3255" cy="3162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.9pt;width:50.65pt;mso-position-horizontal:outside;mso-position-horizontal-relative:margin;z-index:251659264;mso-width-relative:page;mso-height-relative:page;" filled="f" stroked="f" coordsize="21600,21600" o:gfxdata="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MSyzB9QAAAAEAQAADwAAAAAAAAABACAA&#10;AAAiAAAAZHJzL2Rvd25yZXYueG1sUEsBAhQAFAAAAAgAh07iQP3A0m+fAQAAIwMAAA4AAAAAAAAA&#10;AQAgAAAAIwEAAGRycy9lMm9Eb2MueG1sUEsFBgAAAAAGAAYAWQEAADQ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181610</wp:posOffset>
              </wp:positionH>
              <wp:positionV relativeFrom="paragraph">
                <wp:posOffset>-172720</wp:posOffset>
              </wp:positionV>
              <wp:extent cx="524510" cy="2508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.3pt;margin-top:-13.6pt;height:19.75pt;width:41.3pt;mso-position-horizontal-relative:margin;z-index:251660288;mso-width-relative:page;mso-height-relative:page;" filled="f" stroked="f" coordsize="21600,21600" o:gfxdata="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UIbEzXAAAACQEAAA8AAAAAAAAAAQAg&#10;AAAAIgAAAGRycy9kb3ducmV2LnhtbFBLAQIUABQAAAAIAIdO4kAu3J+LnQEAACMDAAAOAAAAAAAA&#10;AAEAIAAAACYBAABkcnMvZTJvRG9jLnhtbFBLBQYAAAAABgAGAFkBAAA1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18"/>
    <w:rsid w:val="001B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40" w:lineRule="exact"/>
    </w:pPr>
    <w:rPr>
      <w:rFonts w:ascii="仿宋_GB2312" w:hAnsi="宋体" w:eastAsia="仿宋_GB2312"/>
      <w:sz w:val="30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9"/>
    <w:basedOn w:val="1"/>
    <w:next w:val="1"/>
    <w:unhideWhenUsed/>
    <w:qFormat/>
    <w:uiPriority w:val="0"/>
    <w:pPr>
      <w:ind w:left="1600" w:leftChars="1600"/>
    </w:pPr>
    <w:rPr>
      <w:rFonts w:hint="eastAsia" w:ascii="Times New Roman" w:hAnsi="Times New Roman" w:cs="Times New Roman"/>
      <w:szCs w:val="20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2024-11-18T06:54:00Z</dcterms:created>
  <dc:creator>Administrator</dc:creator>
  <cp:lastModifiedBy>Administrator</cp:lastModifiedBy>
  <dcterms:modified xsi:type="dcterms:W3CDTF">2024-11-18T06:54:55Z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