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620" w:lineRule="exact"/>
        <w:ind w:left="0" w:right="0"/>
        <w:jc w:val="center"/>
        <w:textAlignment w:val="auto"/>
        <w:rPr>
          <w:rFonts w:hint="eastAsia" w:ascii="仿宋_GB2312" w:hAnsi="Times New Roman" w:eastAsia="仿宋_GB2312" w:cs="仿宋_GB2312"/>
          <w:color w:val="auto"/>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620" w:lineRule="exact"/>
        <w:ind w:left="0" w:right="0"/>
        <w:jc w:val="center"/>
        <w:textAlignment w:val="auto"/>
        <w:rPr>
          <w:rFonts w:hint="eastAsia" w:ascii="仿宋_GB2312" w:hAnsi="Times New Roman" w:eastAsia="仿宋_GB2312" w:cs="仿宋_GB2312"/>
          <w:color w:val="auto"/>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620" w:lineRule="exact"/>
        <w:ind w:left="0" w:right="0"/>
        <w:jc w:val="center"/>
        <w:textAlignment w:val="auto"/>
        <w:rPr>
          <w:rFonts w:hint="eastAsia" w:ascii="仿宋_GB2312" w:hAnsi="Times New Roman" w:eastAsia="仿宋_GB2312" w:cs="仿宋_GB2312"/>
          <w:color w:val="auto"/>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620" w:lineRule="exact"/>
        <w:ind w:left="0" w:right="0"/>
        <w:jc w:val="center"/>
        <w:textAlignment w:val="auto"/>
        <w:rPr>
          <w:rFonts w:hint="eastAsia" w:ascii="仿宋_GB2312" w:hAnsi="Times New Roman" w:eastAsia="仿宋_GB2312" w:cs="仿宋_GB2312"/>
          <w:color w:val="auto"/>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620" w:lineRule="exact"/>
        <w:ind w:left="0" w:right="0"/>
        <w:jc w:val="center"/>
        <w:textAlignment w:val="auto"/>
        <w:rPr>
          <w:rFonts w:hint="eastAsia" w:ascii="仿宋_GB2312" w:hAnsi="Times New Roman" w:eastAsia="仿宋_GB2312" w:cs="仿宋_GB2312"/>
          <w:color w:val="auto"/>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620" w:lineRule="exact"/>
        <w:ind w:left="0" w:right="0"/>
        <w:jc w:val="center"/>
        <w:textAlignment w:val="auto"/>
        <w:rPr>
          <w:rFonts w:hint="eastAsia" w:ascii="仿宋_GB2312" w:hAnsi="Times New Roman" w:eastAsia="仿宋_GB2312" w:cs="仿宋_GB2312"/>
          <w:color w:val="auto"/>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620" w:lineRule="exact"/>
        <w:ind w:left="0" w:right="0"/>
        <w:jc w:val="center"/>
        <w:textAlignment w:val="auto"/>
        <w:rPr>
          <w:rFonts w:hint="eastAsia" w:ascii="仿宋_GB2312" w:hAnsi="Times New Roman" w:eastAsia="仿宋_GB2312" w:cs="仿宋_GB2312"/>
          <w:color w:val="auto"/>
          <w:kern w:val="2"/>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520" w:lineRule="exact"/>
        <w:ind w:left="0" w:right="0"/>
        <w:jc w:val="center"/>
        <w:textAlignment w:val="auto"/>
        <w:rPr>
          <w:rFonts w:ascii="仿宋_GB2312" w:hAnsi="Times New Roman" w:eastAsia="仿宋_GB2312" w:cs="Times New Roman"/>
          <w:color w:val="auto"/>
          <w:kern w:val="2"/>
          <w:sz w:val="32"/>
          <w:szCs w:val="32"/>
          <w:lang w:eastAsia="zh-CN"/>
        </w:rPr>
      </w:pPr>
      <w:r>
        <w:rPr>
          <w:rFonts w:hint="eastAsia" w:ascii="仿宋_GB2312" w:hAnsi="Times New Roman" w:eastAsia="仿宋_GB2312" w:cs="仿宋_GB2312"/>
          <w:color w:val="auto"/>
          <w:kern w:val="2"/>
          <w:sz w:val="32"/>
          <w:szCs w:val="32"/>
          <w:lang w:eastAsia="zh-CN"/>
        </w:rPr>
        <w:t>密政办字〔</w:t>
      </w:r>
      <w:r>
        <w:rPr>
          <w:rFonts w:hint="eastAsia" w:ascii="仿宋_GB2312" w:hAnsi="Times New Roman" w:eastAsia="仿宋_GB2312" w:cs="仿宋_GB2312"/>
          <w:color w:val="auto"/>
          <w:kern w:val="2"/>
          <w:sz w:val="32"/>
          <w:szCs w:val="32"/>
          <w:lang w:val="en-US" w:eastAsia="zh-CN"/>
        </w:rPr>
        <w:t>2023</w:t>
      </w:r>
      <w:r>
        <w:rPr>
          <w:rFonts w:hint="eastAsia" w:ascii="仿宋_GB2312" w:hAnsi="Times New Roman" w:eastAsia="仿宋_GB2312" w:cs="仿宋_GB2312"/>
          <w:color w:val="auto"/>
          <w:kern w:val="2"/>
          <w:sz w:val="32"/>
          <w:szCs w:val="32"/>
          <w:lang w:eastAsia="zh-CN"/>
        </w:rPr>
        <w:t>〕</w:t>
      </w:r>
      <w:r>
        <w:rPr>
          <w:rFonts w:hint="eastAsia" w:hAnsi="Times New Roman" w:cs="仿宋_GB2312"/>
          <w:color w:val="auto"/>
          <w:kern w:val="2"/>
          <w:sz w:val="32"/>
          <w:szCs w:val="32"/>
          <w:lang w:val="en-US" w:eastAsia="zh-CN"/>
        </w:rPr>
        <w:t>4</w:t>
      </w:r>
      <w:r>
        <w:rPr>
          <w:rFonts w:hint="eastAsia" w:ascii="仿宋_GB2312" w:hAnsi="Times New Roman" w:eastAsia="仿宋_GB2312" w:cs="仿宋_GB2312"/>
          <w:color w:val="auto"/>
          <w:kern w:val="2"/>
          <w:sz w:val="32"/>
          <w:szCs w:val="32"/>
          <w:lang w:eastAsia="zh-CN"/>
        </w:rPr>
        <w:t>号</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right="0"/>
        <w:jc w:val="both"/>
        <w:textAlignment w:val="auto"/>
        <w:outlineLvl w:val="9"/>
        <w:rPr>
          <w:rFonts w:ascii="仿宋_GB2312" w:hAnsi="Times New Roman" w:eastAsia="楷体_GB2312" w:cs="Times New Roman"/>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0" w:firstLineChars="0"/>
        <w:jc w:val="both"/>
        <w:textAlignment w:val="auto"/>
        <w:outlineLvl w:val="9"/>
        <w:rPr>
          <w:rFonts w:ascii="Times New Roman" w:hAnsi="Times New Roman" w:eastAsia="宋体" w:cs="Times New Roman"/>
          <w:kern w:val="2"/>
          <w:sz w:val="21"/>
          <w:szCs w:val="24"/>
          <w:lang w:eastAsia="zh-CN"/>
        </w:rPr>
      </w:pP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kern w:val="2"/>
          <w:sz w:val="44"/>
          <w:szCs w:val="44"/>
          <w:lang w:val="en-US" w:eastAsia="zh-CN"/>
        </w:rPr>
      </w:pPr>
      <w:r>
        <w:rPr>
          <w:rFonts w:hint="eastAsia" w:ascii="方正小标宋简体" w:hAnsi="方正小标宋简体" w:eastAsia="方正小标宋简体" w:cs="方正小标宋简体"/>
          <w:color w:val="auto"/>
          <w:kern w:val="2"/>
          <w:sz w:val="44"/>
          <w:szCs w:val="44"/>
          <w:lang w:val="en-US" w:eastAsia="zh-CN"/>
        </w:rPr>
        <w:t xml:space="preserve"> </w:t>
      </w:r>
      <w:r>
        <w:rPr>
          <w:rFonts w:hint="eastAsia" w:ascii="方正小标宋简体" w:hAnsi="方正小标宋简体" w:eastAsia="方正小标宋简体" w:cs="方正小标宋简体"/>
          <w:color w:val="auto"/>
          <w:kern w:val="2"/>
          <w:sz w:val="44"/>
          <w:szCs w:val="44"/>
          <w:lang w:eastAsia="zh-CN"/>
        </w:rPr>
        <w:t>北京市密云区人民政府</w:t>
      </w:r>
      <w:r>
        <w:rPr>
          <w:rFonts w:hint="eastAsia" w:ascii="方正小标宋简体" w:hAnsi="方正小标宋简体" w:eastAsia="方正小标宋简体" w:cs="方正小标宋简体"/>
          <w:color w:val="auto"/>
          <w:kern w:val="2"/>
          <w:sz w:val="44"/>
          <w:szCs w:val="44"/>
          <w:lang w:val="en-US" w:eastAsia="zh-CN"/>
        </w:rPr>
        <w:t>办公室</w:t>
      </w:r>
      <w:r>
        <w:rPr>
          <w:rFonts w:hint="eastAsia" w:ascii="方正小标宋简体" w:hAnsi="方正小标宋简体" w:eastAsia="方正小标宋简体" w:cs="方正小标宋简体"/>
          <w:color w:val="auto"/>
          <w:kern w:val="2"/>
          <w:sz w:val="44"/>
          <w:szCs w:val="44"/>
          <w:lang w:eastAsia="zh-CN"/>
        </w:rPr>
        <w:t>关于印发</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pacing w:val="-6"/>
          <w:kern w:val="2"/>
          <w:sz w:val="44"/>
          <w:szCs w:val="44"/>
          <w:lang w:val="en-US" w:eastAsia="zh-CN"/>
        </w:rPr>
      </w:pPr>
      <w:r>
        <w:rPr>
          <w:rFonts w:hint="eastAsia" w:ascii="方正小标宋简体" w:hAnsi="方正小标宋简体" w:eastAsia="方正小标宋简体" w:cs="方正小标宋简体"/>
          <w:color w:val="auto"/>
          <w:spacing w:val="-6"/>
          <w:kern w:val="2"/>
          <w:sz w:val="44"/>
          <w:szCs w:val="44"/>
          <w:lang w:eastAsia="zh-CN"/>
        </w:rPr>
        <w:t>《</w:t>
      </w:r>
      <w:r>
        <w:rPr>
          <w:rFonts w:hint="eastAsia" w:ascii="方正小标宋简体" w:hAnsi="方正小标宋简体" w:eastAsia="方正小标宋简体" w:cs="方正小标宋简体"/>
          <w:color w:val="auto"/>
          <w:spacing w:val="-6"/>
          <w:kern w:val="2"/>
          <w:sz w:val="44"/>
          <w:szCs w:val="44"/>
          <w:lang w:val="en-US" w:eastAsia="en-US"/>
        </w:rPr>
        <w:t>北京市密云区深入打好污染防治攻坚</w:t>
      </w:r>
      <w:r>
        <w:rPr>
          <w:rFonts w:hint="eastAsia" w:ascii="方正小标宋简体" w:hAnsi="方正小标宋简体" w:eastAsia="方正小标宋简体" w:cs="方正小标宋简体"/>
          <w:color w:val="auto"/>
          <w:spacing w:val="-6"/>
          <w:kern w:val="2"/>
          <w:sz w:val="44"/>
          <w:szCs w:val="44"/>
          <w:lang w:val="en-US" w:eastAsia="zh-CN"/>
        </w:rPr>
        <w:t>战</w:t>
      </w:r>
    </w:p>
    <w:p>
      <w:pPr>
        <w:keepNext w:val="0"/>
        <w:keepLines w:val="0"/>
        <w:pageBreakBefore w:val="0"/>
        <w:widowControl w:val="0"/>
        <w:kinsoku/>
        <w:wordWrap/>
        <w:overflowPunct/>
        <w:topLinePunct w:val="0"/>
        <w:autoSpaceDE/>
        <w:autoSpaceDN/>
        <w:bidi w:val="0"/>
        <w:adjustRightInd w:val="0"/>
        <w:snapToGrid w:val="0"/>
        <w:spacing w:before="0" w:after="0" w:line="560" w:lineRule="exact"/>
        <w:ind w:left="0" w:leftChars="0" w:right="0" w:firstLine="0" w:firstLineChars="0"/>
        <w:jc w:val="center"/>
        <w:textAlignment w:val="auto"/>
        <w:outlineLvl w:val="9"/>
        <w:rPr>
          <w:rFonts w:hint="eastAsia" w:ascii="方正小标宋简体" w:hAnsi="方正小标宋简体" w:eastAsia="方正小标宋简体" w:cs="方正小标宋简体"/>
          <w:color w:val="auto"/>
          <w:spacing w:val="-6"/>
          <w:kern w:val="2"/>
          <w:sz w:val="44"/>
          <w:szCs w:val="44"/>
          <w:lang w:val="en-US" w:eastAsia="zh-CN"/>
        </w:rPr>
      </w:pPr>
      <w:r>
        <w:rPr>
          <w:rFonts w:hint="eastAsia" w:ascii="方正小标宋简体" w:hAnsi="方正小标宋简体" w:eastAsia="方正小标宋简体" w:cs="方正小标宋简体"/>
          <w:color w:val="auto"/>
          <w:spacing w:val="-6"/>
          <w:kern w:val="2"/>
          <w:sz w:val="44"/>
          <w:szCs w:val="44"/>
          <w:lang w:val="en-US" w:eastAsia="en-US"/>
        </w:rPr>
        <w:t>202</w:t>
      </w:r>
      <w:r>
        <w:rPr>
          <w:rFonts w:hint="eastAsia" w:ascii="方正小标宋简体" w:hAnsi="方正小标宋简体" w:eastAsia="方正小标宋简体" w:cs="方正小标宋简体"/>
          <w:color w:val="auto"/>
          <w:spacing w:val="-6"/>
          <w:kern w:val="2"/>
          <w:sz w:val="44"/>
          <w:szCs w:val="44"/>
          <w:lang w:val="en-US" w:eastAsia="zh-CN"/>
        </w:rPr>
        <w:t>3</w:t>
      </w:r>
      <w:r>
        <w:rPr>
          <w:rFonts w:hint="eastAsia" w:ascii="方正小标宋简体" w:hAnsi="方正小标宋简体" w:eastAsia="方正小标宋简体" w:cs="方正小标宋简体"/>
          <w:color w:val="auto"/>
          <w:spacing w:val="-6"/>
          <w:kern w:val="2"/>
          <w:sz w:val="44"/>
          <w:szCs w:val="44"/>
          <w:lang w:val="en-US" w:eastAsia="en-US"/>
        </w:rPr>
        <w:t>年</w:t>
      </w:r>
      <w:r>
        <w:rPr>
          <w:rFonts w:hint="eastAsia" w:ascii="方正小标宋简体" w:hAnsi="方正小标宋简体" w:eastAsia="方正小标宋简体" w:cs="方正小标宋简体"/>
          <w:color w:val="auto"/>
          <w:spacing w:val="-6"/>
          <w:kern w:val="2"/>
          <w:sz w:val="44"/>
          <w:szCs w:val="44"/>
          <w:lang w:val="en-US" w:eastAsia="zh-CN"/>
        </w:rPr>
        <w:t>系列行动计划》的通知</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eastAsia="仿宋_GB2312"/>
          <w:color w:val="auto"/>
          <w:sz w:val="32"/>
          <w:szCs w:val="32"/>
          <w:highlight w:val="none"/>
          <w:lang w:val="en-US" w:eastAsia="zh-CN"/>
        </w:rPr>
      </w:pPr>
    </w:p>
    <w:p>
      <w:pPr>
        <w:keepNext w:val="0"/>
        <w:keepLines w:val="0"/>
        <w:pageBreakBefore w:val="0"/>
        <w:widowControl w:val="0"/>
        <w:kinsoku/>
        <w:topLinePunct w:val="0"/>
        <w:autoSpaceDE/>
        <w:autoSpaceDN/>
        <w:bidi w:val="0"/>
        <w:spacing w:before="0" w:after="0" w:line="480" w:lineRule="exact"/>
        <w:ind w:left="0" w:leftChars="0" w:right="0" w:firstLine="0" w:firstLineChars="0"/>
        <w:jc w:val="both"/>
        <w:textAlignment w:val="auto"/>
        <w:outlineLvl w:val="9"/>
        <w:rPr>
          <w:rFonts w:hint="eastAsia" w:ascii="楷体_GB2312" w:hAnsi="Calibri" w:eastAsia="楷体_GB2312" w:cs="Times New Roman"/>
          <w:color w:val="auto"/>
          <w:kern w:val="2"/>
          <w:sz w:val="32"/>
          <w:szCs w:val="32"/>
          <w:lang w:eastAsia="zh-CN"/>
        </w:rPr>
      </w:pPr>
      <w:r>
        <w:rPr>
          <w:rFonts w:hint="eastAsia" w:ascii="楷体_GB2312" w:hAnsi="Calibri" w:eastAsia="楷体_GB2312" w:cs="Times New Roman"/>
          <w:color w:val="auto"/>
          <w:kern w:val="2"/>
          <w:sz w:val="32"/>
          <w:szCs w:val="32"/>
          <w:lang w:eastAsia="zh-CN"/>
        </w:rPr>
        <w:t>各乡镇人民政府，地区、街道办事处，区政府各委、办、局，各区属机构：</w:t>
      </w:r>
    </w:p>
    <w:p>
      <w:pPr>
        <w:keepNext w:val="0"/>
        <w:keepLines w:val="0"/>
        <w:pageBreakBefore w:val="0"/>
        <w:widowControl w:val="0"/>
        <w:kinsoku/>
        <w:topLinePunct w:val="0"/>
        <w:autoSpaceDE/>
        <w:autoSpaceDN/>
        <w:bidi w:val="0"/>
        <w:spacing w:before="0" w:after="0" w:line="480" w:lineRule="exact"/>
        <w:ind w:left="0" w:leftChars="0" w:right="0" w:firstLine="640" w:firstLineChars="200"/>
        <w:jc w:val="both"/>
        <w:textAlignment w:val="auto"/>
        <w:outlineLvl w:val="9"/>
        <w:rPr>
          <w:rFonts w:hint="eastAsia" w:ascii="楷体_GB2312" w:hAnsi="Calibri" w:eastAsia="楷体_GB2312" w:cs="Times New Roman"/>
          <w:color w:val="auto"/>
          <w:kern w:val="2"/>
          <w:sz w:val="32"/>
          <w:szCs w:val="32"/>
          <w:lang w:val="en-US" w:eastAsia="zh-CN"/>
        </w:rPr>
      </w:pPr>
      <w:r>
        <w:rPr>
          <w:rFonts w:hint="eastAsia" w:ascii="楷体_GB2312" w:hAnsi="Times New Roman" w:eastAsia="楷体_GB2312" w:cs="Times New Roman"/>
          <w:color w:val="auto"/>
          <w:kern w:val="2"/>
          <w:sz w:val="32"/>
          <w:szCs w:val="32"/>
          <w:lang w:val="en-US" w:eastAsia="zh-CN"/>
        </w:rPr>
        <w:t>经区政府同意，现将《北京市密云区深入打好污染防治攻坚战2023年系列行动计划》印发给你们，请结合实际，认真贯彻落实。</w:t>
      </w:r>
    </w:p>
    <w:p>
      <w:pPr>
        <w:keepNext w:val="0"/>
        <w:keepLines w:val="0"/>
        <w:pageBreakBefore w:val="0"/>
        <w:widowControl w:val="0"/>
        <w:kinsoku/>
        <w:wordWrap w:val="0"/>
        <w:overflowPunct w:val="0"/>
        <w:topLinePunct w:val="0"/>
        <w:autoSpaceDE/>
        <w:autoSpaceDN/>
        <w:bidi w:val="0"/>
        <w:adjustRightInd w:val="0"/>
        <w:snapToGrid w:val="0"/>
        <w:spacing w:before="0" w:after="0" w:line="480" w:lineRule="exact"/>
        <w:ind w:left="0" w:right="320" w:firstLine="3840" w:firstLineChars="1200"/>
        <w:jc w:val="both"/>
        <w:textAlignment w:val="auto"/>
        <w:outlineLvl w:val="9"/>
        <w:rPr>
          <w:rFonts w:hint="eastAsia" w:ascii="楷体_GB2312" w:hAnsi="华文中宋" w:eastAsia="楷体_GB2312" w:cs="Times New Roman"/>
          <w:color w:val="auto"/>
          <w:kern w:val="0"/>
          <w:sz w:val="32"/>
          <w:szCs w:val="32"/>
          <w:lang w:eastAsia="zh-CN"/>
        </w:rPr>
      </w:pPr>
    </w:p>
    <w:p>
      <w:pPr>
        <w:keepNext w:val="0"/>
        <w:keepLines w:val="0"/>
        <w:pageBreakBefore w:val="0"/>
        <w:widowControl w:val="0"/>
        <w:kinsoku/>
        <w:wordWrap w:val="0"/>
        <w:overflowPunct w:val="0"/>
        <w:topLinePunct w:val="0"/>
        <w:autoSpaceDE/>
        <w:autoSpaceDN/>
        <w:bidi w:val="0"/>
        <w:adjustRightInd w:val="0"/>
        <w:snapToGrid w:val="0"/>
        <w:spacing w:before="0" w:after="0" w:line="480" w:lineRule="exact"/>
        <w:ind w:left="0" w:right="320" w:firstLine="3840" w:firstLineChars="1200"/>
        <w:jc w:val="both"/>
        <w:textAlignment w:val="auto"/>
        <w:outlineLvl w:val="9"/>
        <w:rPr>
          <w:rFonts w:ascii="楷体_GB2312" w:hAnsi="华文中宋" w:eastAsia="楷体_GB2312" w:cs="Times New Roman"/>
          <w:color w:val="auto"/>
          <w:kern w:val="0"/>
          <w:sz w:val="32"/>
          <w:szCs w:val="32"/>
          <w:lang w:eastAsia="zh-CN"/>
        </w:rPr>
      </w:pPr>
      <w:r>
        <w:rPr>
          <w:rFonts w:hint="eastAsia" w:ascii="楷体_GB2312" w:hAnsi="华文中宋" w:eastAsia="楷体_GB2312" w:cs="Times New Roman"/>
          <w:color w:val="auto"/>
          <w:kern w:val="0"/>
          <w:sz w:val="32"/>
          <w:szCs w:val="32"/>
          <w:lang w:eastAsia="zh-CN"/>
        </w:rPr>
        <w:t xml:space="preserve">北京市密云区人民政府办公室 </w:t>
      </w:r>
    </w:p>
    <w:p>
      <w:pPr>
        <w:keepNext w:val="0"/>
        <w:keepLines w:val="0"/>
        <w:pageBreakBefore w:val="0"/>
        <w:widowControl w:val="0"/>
        <w:kinsoku/>
        <w:wordWrap w:val="0"/>
        <w:overflowPunct w:val="0"/>
        <w:topLinePunct w:val="0"/>
        <w:autoSpaceDE/>
        <w:autoSpaceDN/>
        <w:bidi w:val="0"/>
        <w:adjustRightInd w:val="0"/>
        <w:snapToGrid w:val="0"/>
        <w:spacing w:before="0" w:after="0" w:line="480" w:lineRule="exact"/>
        <w:ind w:left="0" w:leftChars="0" w:right="0"/>
        <w:jc w:val="center"/>
        <w:textAlignment w:val="auto"/>
        <w:outlineLvl w:val="9"/>
        <w:rPr>
          <w:rFonts w:hint="eastAsia" w:ascii="楷体_GB2312" w:hAnsi="华文中宋" w:eastAsia="楷体_GB2312" w:cs="Times New Roman"/>
          <w:bCs/>
          <w:color w:val="auto"/>
          <w:kern w:val="0"/>
          <w:sz w:val="32"/>
          <w:szCs w:val="32"/>
          <w:lang w:eastAsia="zh-CN"/>
        </w:rPr>
      </w:pPr>
      <w:r>
        <w:rPr>
          <w:rFonts w:hint="eastAsia" w:ascii="楷体_GB2312" w:hAnsi="华文中宋" w:eastAsia="楷体_GB2312" w:cs="Times New Roman"/>
          <w:bCs/>
          <w:color w:val="auto"/>
          <w:kern w:val="0"/>
          <w:sz w:val="32"/>
          <w:szCs w:val="32"/>
          <w:lang w:val="en-US" w:eastAsia="zh-CN"/>
        </w:rPr>
        <w:t xml:space="preserve">                       </w:t>
      </w:r>
      <w:r>
        <w:rPr>
          <w:rFonts w:ascii="楷体_GB2312" w:hAnsi="华文中宋" w:eastAsia="楷体_GB2312" w:cs="Times New Roman"/>
          <w:bCs/>
          <w:color w:val="auto"/>
          <w:kern w:val="0"/>
          <w:sz w:val="32"/>
          <w:szCs w:val="32"/>
          <w:lang w:eastAsia="zh-CN"/>
        </w:rPr>
        <w:t>20</w:t>
      </w:r>
      <w:r>
        <w:rPr>
          <w:rFonts w:hint="eastAsia" w:ascii="楷体_GB2312" w:hAnsi="华文中宋" w:eastAsia="楷体_GB2312" w:cs="Times New Roman"/>
          <w:bCs/>
          <w:color w:val="auto"/>
          <w:kern w:val="0"/>
          <w:sz w:val="32"/>
          <w:szCs w:val="32"/>
          <w:lang w:val="en-US" w:eastAsia="zh-CN"/>
        </w:rPr>
        <w:t>23</w:t>
      </w:r>
      <w:r>
        <w:rPr>
          <w:rFonts w:hint="eastAsia" w:ascii="楷体_GB2312" w:hAnsi="华文中宋" w:eastAsia="楷体_GB2312" w:cs="Times New Roman"/>
          <w:bCs/>
          <w:color w:val="auto"/>
          <w:kern w:val="0"/>
          <w:sz w:val="32"/>
          <w:szCs w:val="32"/>
          <w:lang w:eastAsia="zh-CN"/>
        </w:rPr>
        <w:t>年</w:t>
      </w:r>
      <w:r>
        <w:rPr>
          <w:rFonts w:hint="eastAsia" w:ascii="楷体_GB2312" w:hAnsi="华文中宋" w:eastAsia="楷体_GB2312" w:cs="Times New Roman"/>
          <w:bCs/>
          <w:color w:val="auto"/>
          <w:kern w:val="0"/>
          <w:sz w:val="32"/>
          <w:szCs w:val="32"/>
          <w:lang w:val="en-US" w:eastAsia="zh-CN"/>
        </w:rPr>
        <w:t>2</w:t>
      </w:r>
      <w:r>
        <w:rPr>
          <w:rFonts w:hint="eastAsia" w:ascii="楷体_GB2312" w:hAnsi="华文中宋" w:eastAsia="楷体_GB2312" w:cs="Times New Roman"/>
          <w:bCs/>
          <w:color w:val="auto"/>
          <w:kern w:val="0"/>
          <w:sz w:val="32"/>
          <w:szCs w:val="32"/>
          <w:lang w:eastAsia="zh-CN"/>
        </w:rPr>
        <w:t>月</w:t>
      </w:r>
      <w:r>
        <w:rPr>
          <w:rFonts w:hint="eastAsia" w:ascii="楷体_GB2312" w:hAnsi="华文中宋" w:eastAsia="楷体_GB2312" w:cs="Times New Roman"/>
          <w:bCs/>
          <w:color w:val="auto"/>
          <w:kern w:val="0"/>
          <w:sz w:val="32"/>
          <w:szCs w:val="32"/>
          <w:lang w:val="en-US" w:eastAsia="zh-CN"/>
        </w:rPr>
        <w:t>28</w:t>
      </w:r>
      <w:r>
        <w:rPr>
          <w:rFonts w:hint="eastAsia" w:ascii="楷体_GB2312" w:hAnsi="华文中宋" w:eastAsia="楷体_GB2312" w:cs="Times New Roman"/>
          <w:bCs/>
          <w:color w:val="auto"/>
          <w:kern w:val="0"/>
          <w:sz w:val="32"/>
          <w:szCs w:val="32"/>
          <w:lang w:eastAsia="zh-CN"/>
        </w:rPr>
        <w:t xml:space="preserve">日   </w:t>
      </w:r>
    </w:p>
    <w:p>
      <w:pPr>
        <w:keepNext w:val="0"/>
        <w:keepLines w:val="0"/>
        <w:pageBreakBefore w:val="0"/>
        <w:widowControl w:val="0"/>
        <w:kinsoku/>
        <w:topLinePunct w:val="0"/>
        <w:autoSpaceDE/>
        <w:autoSpaceDN/>
        <w:bidi w:val="0"/>
        <w:spacing w:before="0" w:after="0" w:line="480" w:lineRule="exact"/>
        <w:ind w:left="0" w:right="0"/>
        <w:jc w:val="left"/>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eastAsia="zh-CN"/>
        </w:rPr>
        <w:t>（此件公开</w:t>
      </w:r>
      <w:r>
        <w:rPr>
          <w:rFonts w:hint="eastAsia" w:ascii="仿宋_GB2312" w:hAnsi="仿宋_GB2312" w:eastAsia="仿宋_GB2312" w:cs="仿宋_GB2312"/>
          <w:color w:val="auto"/>
          <w:kern w:val="2"/>
          <w:sz w:val="32"/>
          <w:szCs w:val="32"/>
          <w:lang w:val="en-US" w:eastAsia="zh-CN"/>
        </w:rPr>
        <w:t>发布）</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val="en-US" w:eastAsia="en-US"/>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方正小标宋_GBK" w:hAnsi="方正小标宋_GBK" w:eastAsia="方正小标宋_GBK" w:cs="方正小标宋_GBK"/>
          <w:color w:val="auto"/>
          <w:sz w:val="44"/>
          <w:szCs w:val="44"/>
          <w:highlight w:val="none"/>
          <w:lang w:val="en-US" w:eastAsia="en-US"/>
        </w:rPr>
      </w:pPr>
      <w:r>
        <w:rPr>
          <w:rFonts w:hint="eastAsia" w:ascii="方正小标宋_GBK" w:hAnsi="方正小标宋_GBK" w:eastAsia="方正小标宋_GBK" w:cs="方正小标宋_GBK"/>
          <w:color w:val="auto"/>
          <w:sz w:val="44"/>
          <w:szCs w:val="44"/>
          <w:highlight w:val="none"/>
          <w:lang w:val="en-US" w:eastAsia="en-US"/>
        </w:rPr>
        <w:t>北京市密云区深入打好污染防治</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color w:val="auto"/>
          <w:sz w:val="32"/>
          <w:szCs w:val="32"/>
          <w:highlight w:val="none"/>
          <w:lang w:val="en-US" w:eastAsia="zh-CN"/>
        </w:rPr>
      </w:pPr>
      <w:r>
        <w:rPr>
          <w:rFonts w:hint="eastAsia" w:ascii="方正小标宋_GBK" w:hAnsi="方正小标宋_GBK" w:eastAsia="方正小标宋_GBK" w:cs="方正小标宋_GBK"/>
          <w:color w:val="auto"/>
          <w:sz w:val="44"/>
          <w:szCs w:val="44"/>
          <w:highlight w:val="none"/>
          <w:lang w:val="en-US" w:eastAsia="en-US"/>
        </w:rPr>
        <w:t>攻坚战202</w:t>
      </w:r>
      <w:r>
        <w:rPr>
          <w:rFonts w:hint="eastAsia" w:ascii="方正小标宋_GBK" w:hAnsi="方正小标宋_GBK" w:eastAsia="方正小标宋_GBK" w:cs="方正小标宋_GBK"/>
          <w:color w:val="auto"/>
          <w:sz w:val="44"/>
          <w:szCs w:val="44"/>
          <w:highlight w:val="none"/>
          <w:lang w:val="en-US" w:eastAsia="zh-CN"/>
        </w:rPr>
        <w:t>3</w:t>
      </w:r>
      <w:r>
        <w:rPr>
          <w:rFonts w:hint="eastAsia" w:ascii="方正小标宋_GBK" w:hAnsi="方正小标宋_GBK" w:eastAsia="方正小标宋_GBK" w:cs="方正小标宋_GBK"/>
          <w:color w:val="auto"/>
          <w:sz w:val="44"/>
          <w:szCs w:val="44"/>
          <w:highlight w:val="none"/>
          <w:lang w:val="en-US" w:eastAsia="en-US"/>
        </w:rPr>
        <w:t>年</w:t>
      </w:r>
      <w:r>
        <w:rPr>
          <w:rFonts w:hint="eastAsia" w:ascii="方正小标宋_GBK" w:hAnsi="方正小标宋_GBK" w:eastAsia="方正小标宋_GBK" w:cs="方正小标宋_GBK"/>
          <w:color w:val="auto"/>
          <w:sz w:val="44"/>
          <w:szCs w:val="44"/>
          <w:highlight w:val="none"/>
          <w:lang w:val="en-US" w:eastAsia="zh-CN"/>
        </w:rPr>
        <w:t>系列行动计划</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eastAsia="仿宋_GB2312"/>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为全面贯彻落实《北京市深入打好污染防治攻坚战202</w:t>
      </w:r>
      <w:r>
        <w:rPr>
          <w:rFonts w:hint="eastAsia"/>
          <w:color w:val="auto"/>
          <w:sz w:val="32"/>
          <w:szCs w:val="32"/>
          <w:highlight w:val="none"/>
          <w:lang w:val="en-US" w:eastAsia="zh-CN"/>
        </w:rPr>
        <w:t>3</w:t>
      </w:r>
      <w:r>
        <w:rPr>
          <w:color w:val="auto"/>
          <w:sz w:val="32"/>
          <w:szCs w:val="32"/>
          <w:highlight w:val="none"/>
        </w:rPr>
        <w:t>年行动计划》和《密云区十四五生态环境保护规划》有关要求，进一步巩固提升密云区生态环境质量，现制定《北京市密云区深入打好污染防治攻坚战202</w:t>
      </w:r>
      <w:r>
        <w:rPr>
          <w:rFonts w:hint="eastAsia"/>
          <w:color w:val="auto"/>
          <w:sz w:val="32"/>
          <w:szCs w:val="32"/>
          <w:highlight w:val="none"/>
          <w:lang w:val="en-US" w:eastAsia="zh-CN"/>
        </w:rPr>
        <w:t>3</w:t>
      </w:r>
      <w:r>
        <w:rPr>
          <w:color w:val="auto"/>
          <w:sz w:val="32"/>
          <w:szCs w:val="32"/>
          <w:highlight w:val="none"/>
        </w:rPr>
        <w:t>年系列行动计划》。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一、指导思想</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以习近平新时代中国特色社会主义思想为指导，全面贯彻</w:t>
      </w:r>
      <w:r>
        <w:rPr>
          <w:rFonts w:hint="eastAsia"/>
          <w:color w:val="auto"/>
          <w:sz w:val="32"/>
          <w:szCs w:val="32"/>
          <w:highlight w:val="none"/>
          <w:lang w:val="en-US" w:eastAsia="zh-CN"/>
        </w:rPr>
        <w:t>落实</w:t>
      </w:r>
      <w:r>
        <w:rPr>
          <w:color w:val="auto"/>
          <w:sz w:val="32"/>
          <w:szCs w:val="32"/>
          <w:highlight w:val="none"/>
        </w:rPr>
        <w:t>党的</w:t>
      </w:r>
      <w:r>
        <w:rPr>
          <w:rFonts w:hint="eastAsia"/>
          <w:color w:val="auto"/>
          <w:sz w:val="32"/>
          <w:szCs w:val="32"/>
          <w:highlight w:val="none"/>
          <w:lang w:val="en-US" w:eastAsia="zh-CN"/>
        </w:rPr>
        <w:t>二十大</w:t>
      </w:r>
      <w:r>
        <w:rPr>
          <w:color w:val="auto"/>
          <w:sz w:val="32"/>
          <w:szCs w:val="32"/>
          <w:highlight w:val="none"/>
        </w:rPr>
        <w:t>精神，深入贯彻习近平生态文明思想和习近平总书记对北京重要讲话精神，以习近平总书记关于保护好密云水库指示精神和重要回信精神为统领，全面落实“保水、护山、守规、兴城”总体要求，把握新发展阶段、贯彻新发展理念、融入新发展格局，推动绿色高质量发展，坚持生态优先、保水富民、绿色发展、特色一流，有序推进环境治理体系和环境治理能力现代化，为建设美丽北京、谱写现代化建设密云篇章而努力奋斗。</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二、工作目标</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按照巩固成效、科学可达的原则，确定202</w:t>
      </w:r>
      <w:r>
        <w:rPr>
          <w:rFonts w:hint="eastAsia"/>
          <w:color w:val="auto"/>
          <w:sz w:val="32"/>
          <w:szCs w:val="32"/>
          <w:highlight w:val="none"/>
          <w:lang w:val="en-US" w:eastAsia="zh-CN"/>
        </w:rPr>
        <w:t>3</w:t>
      </w:r>
      <w:r>
        <w:rPr>
          <w:color w:val="auto"/>
          <w:sz w:val="32"/>
          <w:szCs w:val="32"/>
          <w:highlight w:val="none"/>
        </w:rPr>
        <w:t>年主要目标为: 碳排放强度下降</w:t>
      </w:r>
      <w:r>
        <w:rPr>
          <w:rFonts w:hint="eastAsia"/>
          <w:color w:val="auto"/>
          <w:sz w:val="32"/>
          <w:szCs w:val="32"/>
          <w:highlight w:val="none"/>
          <w:lang w:val="en-US" w:eastAsia="zh-CN"/>
        </w:rPr>
        <w:t>完成市级任务目标</w:t>
      </w:r>
      <w:r>
        <w:rPr>
          <w:color w:val="auto"/>
          <w:sz w:val="32"/>
          <w:szCs w:val="32"/>
          <w:highlight w:val="none"/>
        </w:rPr>
        <w:t>，碳排放总量</w:t>
      </w:r>
      <w:r>
        <w:rPr>
          <w:rFonts w:hint="eastAsia"/>
          <w:color w:val="auto"/>
          <w:sz w:val="32"/>
          <w:szCs w:val="32"/>
          <w:highlight w:val="none"/>
          <w:lang w:val="en-US" w:eastAsia="zh-CN"/>
        </w:rPr>
        <w:t>得到有效控制</w:t>
      </w:r>
      <w:r>
        <w:rPr>
          <w:color w:val="auto"/>
          <w:sz w:val="32"/>
          <w:szCs w:val="32"/>
          <w:highlight w:val="none"/>
        </w:rPr>
        <w:t>；全区及各镇街（地区）、中关村密云园尽最大努力巩固空气质量改善成效，区级细颗粒物浓度控制在</w:t>
      </w:r>
      <w:r>
        <w:rPr>
          <w:rFonts w:hint="eastAsia"/>
          <w:color w:val="auto"/>
          <w:sz w:val="32"/>
          <w:szCs w:val="32"/>
          <w:highlight w:val="none"/>
          <w:lang w:val="en-US" w:eastAsia="zh-CN"/>
        </w:rPr>
        <w:t>27</w:t>
      </w:r>
      <w:r>
        <w:rPr>
          <w:color w:val="auto"/>
          <w:sz w:val="32"/>
          <w:szCs w:val="32"/>
          <w:highlight w:val="none"/>
        </w:rPr>
        <w:t>微克每立方米，优良天数比率达到7</w:t>
      </w:r>
      <w:r>
        <w:rPr>
          <w:rFonts w:hint="eastAsia"/>
          <w:color w:val="auto"/>
          <w:sz w:val="32"/>
          <w:szCs w:val="32"/>
          <w:highlight w:val="none"/>
          <w:lang w:val="en-US" w:eastAsia="zh-CN"/>
        </w:rPr>
        <w:t>6</w:t>
      </w:r>
      <w:r>
        <w:rPr>
          <w:color w:val="auto"/>
          <w:sz w:val="32"/>
          <w:szCs w:val="32"/>
          <w:highlight w:val="none"/>
        </w:rPr>
        <w:t>%以上，重污染天数控制在</w:t>
      </w:r>
      <w:r>
        <w:rPr>
          <w:rFonts w:hint="eastAsia"/>
          <w:color w:val="auto"/>
          <w:sz w:val="32"/>
          <w:szCs w:val="32"/>
          <w:highlight w:val="none"/>
          <w:lang w:val="en-US" w:eastAsia="zh-CN"/>
        </w:rPr>
        <w:t>6</w:t>
      </w:r>
      <w:r>
        <w:rPr>
          <w:color w:val="auto"/>
          <w:sz w:val="32"/>
          <w:szCs w:val="32"/>
          <w:highlight w:val="none"/>
        </w:rPr>
        <w:t>天以内；地表水国考断面达到或优于Ⅲ类水体比例不低于83.3%,消除劣Ⅴ类水体断面；农用地及重点建设用地安全利用得到有效</w:t>
      </w:r>
      <w:r>
        <w:rPr>
          <w:rFonts w:hint="eastAsia"/>
          <w:color w:val="auto"/>
          <w:sz w:val="32"/>
          <w:szCs w:val="32"/>
          <w:highlight w:val="none"/>
          <w:lang w:val="en-US" w:eastAsia="zh-CN"/>
        </w:rPr>
        <w:t>管控</w:t>
      </w:r>
      <w:r>
        <w:rPr>
          <w:color w:val="auto"/>
          <w:sz w:val="32"/>
          <w:szCs w:val="32"/>
          <w:highlight w:val="none"/>
        </w:rPr>
        <w:t>；生态环境质量状况指数（EI）力争稳</w:t>
      </w:r>
      <w:r>
        <w:rPr>
          <w:rFonts w:hint="eastAsia"/>
          <w:color w:val="auto"/>
          <w:sz w:val="32"/>
          <w:szCs w:val="32"/>
          <w:highlight w:val="none"/>
          <w:lang w:val="en-US" w:eastAsia="zh-CN"/>
        </w:rPr>
        <w:t>中</w:t>
      </w:r>
      <w:r>
        <w:rPr>
          <w:color w:val="auto"/>
          <w:sz w:val="32"/>
          <w:szCs w:val="32"/>
          <w:highlight w:val="none"/>
        </w:rPr>
        <w:t>向好。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黑体" w:hAnsi="黑体" w:eastAsia="黑体" w:cs="黑体"/>
          <w:color w:val="auto"/>
          <w:sz w:val="32"/>
          <w:szCs w:val="32"/>
          <w:highlight w:val="none"/>
        </w:rPr>
        <w:t>三、主要措施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eastAsia="仿宋_GB2312"/>
          <w:color w:val="auto"/>
          <w:sz w:val="32"/>
          <w:szCs w:val="32"/>
          <w:highlight w:val="none"/>
          <w:lang w:val="en-US" w:eastAsia="zh-CN"/>
        </w:rPr>
      </w:pPr>
      <w:r>
        <w:rPr>
          <w:color w:val="auto"/>
          <w:sz w:val="32"/>
          <w:szCs w:val="32"/>
          <w:highlight w:val="none"/>
        </w:rPr>
        <w:t>包括五部分</w:t>
      </w:r>
      <w:r>
        <w:rPr>
          <w:rFonts w:hint="eastAsia"/>
          <w:color w:val="auto"/>
          <w:sz w:val="32"/>
          <w:szCs w:val="32"/>
          <w:highlight w:val="none"/>
          <w:lang w:val="en-US" w:eastAsia="zh-CN"/>
        </w:rPr>
        <w:t>106</w:t>
      </w:r>
      <w:r>
        <w:rPr>
          <w:color w:val="auto"/>
          <w:sz w:val="32"/>
          <w:szCs w:val="32"/>
          <w:highlight w:val="none"/>
        </w:rPr>
        <w:t>项重点任务</w:t>
      </w:r>
      <w:r>
        <w:rPr>
          <w:rFonts w:hint="eastAsia"/>
          <w:color w:val="auto"/>
          <w:sz w:val="32"/>
          <w:szCs w:val="32"/>
          <w:highlight w:val="none"/>
          <w:lang w:eastAsia="zh-CN"/>
        </w:rPr>
        <w:t>，</w:t>
      </w:r>
      <w:r>
        <w:rPr>
          <w:rFonts w:hint="eastAsia"/>
          <w:color w:val="auto"/>
          <w:sz w:val="32"/>
          <w:szCs w:val="32"/>
          <w:highlight w:val="none"/>
          <w:lang w:val="en-US" w:eastAsia="zh-CN"/>
        </w:rPr>
        <w:t>各项工作纳入全区党建统领综合考核评价体系。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（一）应对气候变化202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color w:val="auto"/>
          <w:sz w:val="32"/>
          <w:szCs w:val="32"/>
          <w:highlight w:val="none"/>
        </w:rPr>
        <w:t>应对气候变化共2</w:t>
      </w:r>
      <w:r>
        <w:rPr>
          <w:rFonts w:hint="eastAsia"/>
          <w:color w:val="auto"/>
          <w:sz w:val="32"/>
          <w:szCs w:val="32"/>
          <w:highlight w:val="none"/>
          <w:lang w:val="en-US" w:eastAsia="zh-CN"/>
        </w:rPr>
        <w:t>5</w:t>
      </w:r>
      <w:r>
        <w:rPr>
          <w:rFonts w:hint="eastAsia"/>
          <w:color w:val="auto"/>
          <w:sz w:val="32"/>
          <w:szCs w:val="32"/>
          <w:highlight w:val="none"/>
        </w:rPr>
        <w:t>项重点任务，</w:t>
      </w:r>
      <w:r>
        <w:rPr>
          <w:rFonts w:hint="eastAsia" w:ascii="仿宋_GB2312" w:eastAsia="仿宋_GB2312"/>
          <w:b w:val="0"/>
          <w:bCs/>
          <w:color w:val="auto"/>
          <w:sz w:val="32"/>
          <w:szCs w:val="32"/>
          <w:highlight w:val="none"/>
          <w:shd w:val="clear" w:color="auto" w:fill="auto"/>
          <w:lang w:val="en-US" w:eastAsia="zh-CN"/>
        </w:rPr>
        <w:t>以推动经济社会全面绿色转型发展为引领，开展应对气候变化工作。一是完善应对气候变化综合管理制度。编制印发区级碳达峰1+N系列文件，明确各重点领域减碳目标。二是推动重点领域实施减碳行动。推进国家气候投融资试点建设，引导更多资金投入应对气候变化领域。优化能源结构，大力开展能源节约和能效提升，开展数据中心低碳改造，推动可再生能源在各领域应用；大力发展循环经济，推广超低能耗建筑，实施既有建筑绿色改造长效机制；创建绿色智能供热体系，推进既有燃气供热系统“零碳”改造示范；推进运输结构调整，大力推进机动车“油换电”和氢燃料汽车规模化应用；控制农业和其他温室气体排放。三是加强气候适应建设。坚持全域多层次增绿固碳，推进海绵城市建设，配合开展气候脆弱性风险识别与灾害评估，提升城市极端气候应急处置能力。四是强化应对气候变化能力建设。加强区级统筹调度，扎实推动重点任务落实；加大科技支撑，加强宣传交流，强化资金政策支持，营造良好政策环境。</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eastAsia="楷体_GB2312"/>
          <w:color w:val="auto"/>
          <w:sz w:val="32"/>
          <w:szCs w:val="32"/>
          <w:highlight w:val="none"/>
          <w:lang w:eastAsia="zh-CN"/>
        </w:rPr>
        <w:t>（</w:t>
      </w:r>
      <w:r>
        <w:rPr>
          <w:rFonts w:hint="eastAsia" w:eastAsia="楷体_GB2312"/>
          <w:color w:val="auto"/>
          <w:sz w:val="32"/>
          <w:szCs w:val="32"/>
          <w:highlight w:val="none"/>
          <w:lang w:val="en-US" w:eastAsia="zh-CN"/>
        </w:rPr>
        <w:t>二</w:t>
      </w:r>
      <w:r>
        <w:rPr>
          <w:rFonts w:hint="eastAsia" w:eastAsia="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大气污染防治202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大气污染防治共</w:t>
      </w:r>
      <w:r>
        <w:rPr>
          <w:rFonts w:hint="eastAsia"/>
          <w:color w:val="auto"/>
          <w:sz w:val="32"/>
          <w:szCs w:val="32"/>
          <w:highlight w:val="none"/>
          <w:lang w:val="en-US" w:eastAsia="zh-CN"/>
        </w:rPr>
        <w:t>29</w:t>
      </w:r>
      <w:r>
        <w:rPr>
          <w:color w:val="auto"/>
          <w:sz w:val="32"/>
          <w:szCs w:val="32"/>
          <w:highlight w:val="none"/>
        </w:rPr>
        <w:t>项重点任务，</w:t>
      </w:r>
      <w:r>
        <w:rPr>
          <w:rFonts w:hint="eastAsia" w:ascii="仿宋_GB2312" w:eastAsia="仿宋_GB2312"/>
          <w:b w:val="0"/>
          <w:bCs/>
          <w:color w:val="auto"/>
          <w:sz w:val="32"/>
          <w:szCs w:val="32"/>
          <w:highlight w:val="none"/>
          <w:shd w:val="clear" w:color="auto" w:fill="auto"/>
          <w:lang w:val="en-US" w:eastAsia="zh-CN"/>
        </w:rPr>
        <w:t>按照PM</w:t>
      </w:r>
      <w:r>
        <w:rPr>
          <w:rFonts w:hint="eastAsia" w:ascii="仿宋_GB2312" w:eastAsia="仿宋_GB2312"/>
          <w:b w:val="0"/>
          <w:bCs/>
          <w:color w:val="auto"/>
          <w:sz w:val="32"/>
          <w:szCs w:val="32"/>
          <w:highlight w:val="none"/>
          <w:shd w:val="clear" w:color="auto" w:fill="auto"/>
          <w:vertAlign w:val="subscript"/>
          <w:lang w:val="en-US" w:eastAsia="zh-CN"/>
        </w:rPr>
        <w:t>2.5</w:t>
      </w:r>
      <w:r>
        <w:rPr>
          <w:rFonts w:hint="eastAsia" w:ascii="仿宋_GB2312" w:eastAsia="仿宋_GB2312"/>
          <w:b w:val="0"/>
          <w:bCs/>
          <w:color w:val="auto"/>
          <w:sz w:val="32"/>
          <w:szCs w:val="32"/>
          <w:highlight w:val="none"/>
          <w:shd w:val="clear" w:color="auto" w:fill="auto"/>
          <w:lang w:val="en-US" w:eastAsia="zh-CN"/>
        </w:rPr>
        <w:t>和O</w:t>
      </w:r>
      <w:r>
        <w:rPr>
          <w:rFonts w:hint="eastAsia" w:ascii="仿宋_GB2312" w:eastAsia="仿宋_GB2312"/>
          <w:b w:val="0"/>
          <w:bCs/>
          <w:color w:val="auto"/>
          <w:sz w:val="32"/>
          <w:szCs w:val="32"/>
          <w:highlight w:val="none"/>
          <w:shd w:val="clear" w:color="auto" w:fill="auto"/>
          <w:vertAlign w:val="subscript"/>
          <w:lang w:val="en-US" w:eastAsia="zh-CN"/>
        </w:rPr>
        <w:t>3</w:t>
      </w:r>
      <w:r>
        <w:rPr>
          <w:rFonts w:hint="eastAsia" w:ascii="仿宋_GB2312" w:eastAsia="仿宋_GB2312"/>
          <w:b w:val="0"/>
          <w:bCs/>
          <w:color w:val="auto"/>
          <w:sz w:val="32"/>
          <w:szCs w:val="32"/>
          <w:highlight w:val="none"/>
          <w:shd w:val="clear" w:color="auto" w:fill="auto"/>
          <w:lang w:val="en-US" w:eastAsia="zh-CN"/>
        </w:rPr>
        <w:t>协同控制的思路，持续深化大气污染防治“一微克”行动。</w:t>
      </w:r>
      <w:r>
        <w:rPr>
          <w:rFonts w:hint="eastAsia"/>
          <w:color w:val="auto"/>
          <w:sz w:val="32"/>
          <w:szCs w:val="32"/>
          <w:highlight w:val="none"/>
          <w:lang w:val="en-US" w:eastAsia="zh-CN"/>
        </w:rPr>
        <w:t>一是坚持源头替代、过程控制“双向发力”，深化挥发性有机物综合治理。积极推广新能源车使用，加强重点行业VOCs全流程管控。二是坚持移动源、固定源“两手抓”，实施氮氧化物减排行动。优化车辆结构，强化车辆排放监管，全年在进京路口和区内主要道路至少完成24.5万辆次重型柴油车检查任务；推进无煤区建设，有序推进40个山区村庄煤改清洁能源工作。三是坚持提升裸地、道路、施工等领域扬尘分类管控。持续推进“基本无裸露区”建设，提升精细化管理水平，全年降尘量控制在5吨/平方公里·月左右（扣除沙尘影响）。四是坚持关键时段、重点领域“双管齐下”，加强联防联控。强化污染应对，落实应急预案，更新完善应急减排清单，实施分类、分级差异化管理。五是坚持提升科技水平，推进大气环境治理体系治理能力现代化。组织开展贯穿全年的环境问题专项执法检查，充分应用“一微克”精细化管理平台，形成问题快速发现、快速处置、快速督办、快速解决的工作闭环。六是坚持噪声综合整治，提升防治能力。完成声环境功能区划分情况评估；加大工业、商业、服务业、交通等领域噪声综合整治。</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rPr>
        <w:t>）水污染防治202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color w:val="auto"/>
          <w:sz w:val="32"/>
          <w:szCs w:val="32"/>
          <w:highlight w:val="none"/>
        </w:rPr>
      </w:pPr>
      <w:r>
        <w:rPr>
          <w:color w:val="auto"/>
          <w:sz w:val="32"/>
          <w:szCs w:val="32"/>
          <w:highlight w:val="none"/>
        </w:rPr>
        <w:t>水污染防治共</w:t>
      </w:r>
      <w:r>
        <w:rPr>
          <w:rFonts w:hint="eastAsia"/>
          <w:color w:val="auto"/>
          <w:sz w:val="32"/>
          <w:szCs w:val="32"/>
          <w:highlight w:val="none"/>
          <w:lang w:val="en-US" w:eastAsia="zh-CN"/>
        </w:rPr>
        <w:t>19</w:t>
      </w:r>
      <w:r>
        <w:rPr>
          <w:color w:val="auto"/>
          <w:sz w:val="32"/>
          <w:szCs w:val="32"/>
          <w:highlight w:val="none"/>
        </w:rPr>
        <w:t>项重点任务，</w:t>
      </w:r>
      <w:r>
        <w:rPr>
          <w:rFonts w:hint="eastAsia" w:ascii="仿宋_GB2312" w:eastAsia="仿宋_GB2312"/>
          <w:b w:val="0"/>
          <w:bCs/>
          <w:color w:val="auto"/>
          <w:sz w:val="32"/>
          <w:szCs w:val="32"/>
          <w:highlight w:val="none"/>
          <w:shd w:val="clear" w:color="auto" w:fill="auto"/>
          <w:lang w:val="en-US" w:eastAsia="zh-CN"/>
        </w:rPr>
        <w:t>按照“三水统筹”思路，全面推进水污染防治工作。一是加强区域协同治理。落实《北京市密云水库流域水生态保护与发展规划（2020年-2035年）》《北京市密云水库上游地区空间保护规划（2021-2035年）》《密云水库上游流域“两市三区”生态环境联建联防联治合作协议》要求，推进生态保护和绿色发展、生态空间管控等重点工作，持续深化联建联防联治合作机制；继续实施潮河流域生态环境综合规划，加快编制实施白河流域综合规划；落实《密云区密云水库总氮治理工作方案（2022年-2025年）》，科学、精准管控总氮；实施全市最严的水环境跨界断面考核补偿，促进水环境质量持续改善。二是加强水资源保护。开展全区饮用水水源地环境状况调查评估，组织水源地专项执法和日常监管，落实地下水水质保持方案，定期开展环境质量监测和监督性监测，实施用水总量管控。三是加强水环境治理。实施第四个城市水环境治理三年行动方案，加大雨污混接错接排查整治力度，持续开展“清管行动”“清河行动”，推进农村环境整治，防止工业污染，监管入河排污口，落实医疗机构污水监管，加强污染减排与生态扩容。四是加强水生态修复。逐步恢复河道生态基流，继续实施潮白河流域生态补水；推进区域再生水循环利用，鼓励再生水用于河湖生态补水；提升水生态系统健康，推进白马关河等生态修复项目建设；开展水生态监测评估，完善水生态监测及综合评价体系，开展水生态环境状况监测评价</w:t>
      </w:r>
      <w:r>
        <w:rPr>
          <w:rFonts w:hint="eastAsia"/>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rPr>
        <w:t>）土壤污染防治202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color w:val="auto"/>
          <w:sz w:val="32"/>
          <w:szCs w:val="32"/>
          <w:highlight w:val="none"/>
        </w:rPr>
        <w:t>土壤污染防治共17项重点任务，</w:t>
      </w:r>
      <w:r>
        <w:rPr>
          <w:rFonts w:hint="eastAsia" w:ascii="仿宋_GB2312" w:eastAsia="仿宋_GB2312"/>
          <w:b w:val="0"/>
          <w:bCs/>
          <w:color w:val="auto"/>
          <w:sz w:val="32"/>
          <w:szCs w:val="32"/>
          <w:highlight w:val="none"/>
          <w:shd w:val="clear" w:color="auto" w:fill="auto"/>
          <w:lang w:val="en-US" w:eastAsia="zh-CN"/>
        </w:rPr>
        <w:t>按照“严预防、控风险、强基础”的思路，加强“三地”管控。</w:t>
      </w:r>
      <w:r>
        <w:rPr>
          <w:rFonts w:hint="eastAsia"/>
          <w:color w:val="auto"/>
          <w:sz w:val="32"/>
          <w:szCs w:val="32"/>
          <w:highlight w:val="none"/>
          <w:lang w:val="en-US" w:eastAsia="zh-CN"/>
        </w:rPr>
        <w:t>一是持续加强建设用地风险防控。预防新建工业企业土壤污染，规范土壤重点监管单位管理，防控涉重金属重点行业污染，开展关停企业原址用地筛查，推进“无废城市”建设，依法督促“一住两公”用地开展土壤污染状况调查，确保重点建设用地安全利用率达到100%。二是持续推进农用地安全利用。强化种养殖业土壤污染源头防控，开展化肥农药减量行动，调查监测农膜及农药包装废弃物回收情况，完善畜禽粪污还田利用管理机制。细化农用地分类管理，食用农产品“产出一季，检测一季”，确保受污染耕地安全利用率达到95%以上。三是持续强化未利用地保护。防控未利用地土壤污染，加强巡查检查。强化尾矿库和尾矿砂堆安全管理，按照“一库一策”落实安全管理措施。四是持续提升现代化治理能力。落实疫情防控要求，加强重点生活垃圾管控，健全小微医疗机构医废收运体系。开展工业污染源头及农业面源监测。强化执法监管，加强土壤污染防治执法检查</w:t>
      </w:r>
      <w:r>
        <w:rPr>
          <w:rFonts w:hint="eastAsia"/>
          <w:color w:val="auto"/>
          <w:sz w:val="32"/>
          <w:szCs w:val="32"/>
          <w:highlight w:val="none"/>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rPr>
      </w:pPr>
      <w:r>
        <w:rPr>
          <w:rFonts w:hint="eastAsia" w:ascii="楷体_GB2312" w:hAnsi="楷体_GB2312" w:eastAsia="楷体_GB2312" w:cs="楷体_GB2312"/>
          <w:color w:val="auto"/>
          <w:sz w:val="32"/>
          <w:szCs w:val="32"/>
          <w:highlight w:val="none"/>
        </w:rPr>
        <w:t>（五）生态保护202</w:t>
      </w:r>
      <w:r>
        <w:rPr>
          <w:rFonts w:hint="eastAsia" w:ascii="楷体_GB2312" w:hAnsi="楷体_GB2312" w:eastAsia="楷体_GB2312" w:cs="楷体_GB2312"/>
          <w:color w:val="auto"/>
          <w:sz w:val="32"/>
          <w:szCs w:val="32"/>
          <w:highlight w:val="none"/>
          <w:lang w:val="en-US" w:eastAsia="zh-CN"/>
        </w:rPr>
        <w:t>3</w:t>
      </w:r>
      <w:r>
        <w:rPr>
          <w:rFonts w:hint="eastAsia" w:ascii="楷体_GB2312" w:hAnsi="楷体_GB2312" w:eastAsia="楷体_GB2312" w:cs="楷体_GB2312"/>
          <w:color w:val="auto"/>
          <w:sz w:val="32"/>
          <w:szCs w:val="32"/>
          <w:highlight w:val="none"/>
        </w:rPr>
        <w:t>年工作措施</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outlineLvl w:val="9"/>
        <w:rPr>
          <w:rFonts w:hint="eastAsia"/>
          <w:color w:val="auto"/>
          <w:sz w:val="32"/>
          <w:szCs w:val="32"/>
          <w:highlight w:val="none"/>
          <w:lang w:val="en-US" w:eastAsia="zh-CN"/>
        </w:rPr>
      </w:pPr>
      <w:r>
        <w:rPr>
          <w:rFonts w:hint="eastAsia"/>
          <w:color w:val="auto"/>
          <w:sz w:val="32"/>
          <w:szCs w:val="32"/>
          <w:highlight w:val="none"/>
          <w:lang w:val="en-US" w:eastAsia="zh-CN"/>
        </w:rPr>
        <w:t>生态保护共16项重点任务，以提升生态系统多样性、稳定性、持续性为目标，全面加强生态保护。一是强化生物多样性保护。建立部门会商和信息共享等工作机制；编制密云区生物多样性保护规划，构建生态廊道；强化外来入侵物种防控，保护重点生物遗传资源；加强监测评估和执法检查，开展生物多样性本底调查。二是维护生态空间格局稳定性。深化生态保护红线划定成果应用；提升自然保护地监督管理水平，推进我区风景名胜区整合优化，加强自然保护地监督管理；加强资源开发利用活动监督；统筹推进实施生态保护修复。三是促进生态保护可持续发展。探索开展生态产品总值核算；巩固“国家生态文明建设示范区”和“两山”实践创新基地创建成果；加强国家重点生态功能区县域生态环境质量监测与评价工作；持续深化和巩固国家森林城市建设成果；持续推进“国家环境保护模范城市”创建工作。</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color w:val="auto"/>
          <w:sz w:val="32"/>
          <w:szCs w:val="32"/>
          <w:highlight w:val="none"/>
        </w:rPr>
      </w:pPr>
    </w:p>
    <w:p>
      <w:pPr>
        <w:spacing w:line="560" w:lineRule="exact"/>
        <w:ind w:firstLine="640" w:firstLineChars="200"/>
        <w:rPr>
          <w:rFonts w:hint="eastAsia" w:eastAsia="仿宋_GB2312"/>
          <w:color w:val="auto"/>
          <w:w w:val="90"/>
          <w:sz w:val="32"/>
          <w:szCs w:val="32"/>
          <w:highlight w:val="none"/>
          <w:lang w:eastAsia="zh-CN"/>
        </w:rPr>
      </w:pPr>
      <w:r>
        <w:rPr>
          <w:color w:val="auto"/>
          <w:sz w:val="32"/>
          <w:szCs w:val="32"/>
          <w:highlight w:val="none"/>
        </w:rPr>
        <w:t>附件</w:t>
      </w:r>
      <w:r>
        <w:rPr>
          <w:rFonts w:hint="eastAsia"/>
          <w:color w:val="auto"/>
          <w:w w:val="90"/>
          <w:sz w:val="32"/>
          <w:szCs w:val="32"/>
          <w:highlight w:val="none"/>
          <w:lang w:eastAsia="zh-CN"/>
        </w:rPr>
        <w:t>：</w:t>
      </w:r>
      <w:r>
        <w:rPr>
          <w:rFonts w:hint="eastAsia"/>
          <w:color w:val="auto"/>
          <w:spacing w:val="0"/>
          <w:w w:val="100"/>
          <w:sz w:val="32"/>
          <w:szCs w:val="32"/>
          <w:highlight w:val="none"/>
          <w:lang w:val="en-US" w:eastAsia="zh-CN"/>
        </w:rPr>
        <w:t>1.</w:t>
      </w:r>
      <w:r>
        <w:rPr>
          <w:color w:val="auto"/>
          <w:spacing w:val="0"/>
          <w:w w:val="100"/>
          <w:sz w:val="32"/>
          <w:szCs w:val="32"/>
          <w:highlight w:val="none"/>
        </w:rPr>
        <w:t>北京市密云区应对气候变化202</w:t>
      </w:r>
      <w:r>
        <w:rPr>
          <w:rFonts w:hint="eastAsia"/>
          <w:color w:val="auto"/>
          <w:spacing w:val="0"/>
          <w:w w:val="100"/>
          <w:sz w:val="32"/>
          <w:szCs w:val="32"/>
          <w:highlight w:val="none"/>
          <w:lang w:val="en-US" w:eastAsia="zh-CN"/>
        </w:rPr>
        <w:t>3</w:t>
      </w:r>
      <w:r>
        <w:rPr>
          <w:color w:val="auto"/>
          <w:spacing w:val="0"/>
          <w:w w:val="100"/>
          <w:sz w:val="32"/>
          <w:szCs w:val="32"/>
          <w:highlight w:val="none"/>
        </w:rPr>
        <w:t>年</w:t>
      </w:r>
      <w:r>
        <w:rPr>
          <w:rFonts w:hint="eastAsia"/>
          <w:color w:val="auto"/>
          <w:spacing w:val="0"/>
          <w:w w:val="100"/>
          <w:sz w:val="32"/>
          <w:szCs w:val="32"/>
          <w:highlight w:val="none"/>
          <w:lang w:val="en-US" w:eastAsia="zh-CN"/>
        </w:rPr>
        <w:t>行动计划</w:t>
      </w:r>
    </w:p>
    <w:p>
      <w:pPr>
        <w:spacing w:line="560" w:lineRule="exact"/>
        <w:ind w:firstLine="1600" w:firstLineChars="500"/>
        <w:rPr>
          <w:color w:val="auto"/>
          <w:spacing w:val="0"/>
          <w:w w:val="100"/>
          <w:sz w:val="32"/>
          <w:szCs w:val="32"/>
          <w:highlight w:val="none"/>
        </w:rPr>
      </w:pPr>
      <w:r>
        <w:rPr>
          <w:rFonts w:hint="eastAsia"/>
          <w:color w:val="auto"/>
          <w:spacing w:val="0"/>
          <w:w w:val="100"/>
          <w:sz w:val="32"/>
          <w:szCs w:val="32"/>
          <w:highlight w:val="none"/>
          <w:lang w:val="en-US" w:eastAsia="zh-CN"/>
        </w:rPr>
        <w:t>2.</w:t>
      </w:r>
      <w:r>
        <w:rPr>
          <w:color w:val="auto"/>
          <w:spacing w:val="0"/>
          <w:w w:val="100"/>
          <w:sz w:val="32"/>
          <w:szCs w:val="32"/>
          <w:highlight w:val="none"/>
        </w:rPr>
        <w:t>北京市密云区大气污染防治202</w:t>
      </w:r>
      <w:r>
        <w:rPr>
          <w:rFonts w:hint="eastAsia"/>
          <w:color w:val="auto"/>
          <w:spacing w:val="0"/>
          <w:w w:val="100"/>
          <w:sz w:val="32"/>
          <w:szCs w:val="32"/>
          <w:highlight w:val="none"/>
          <w:lang w:val="en-US" w:eastAsia="zh-CN"/>
        </w:rPr>
        <w:t>3</w:t>
      </w:r>
      <w:r>
        <w:rPr>
          <w:color w:val="auto"/>
          <w:spacing w:val="0"/>
          <w:w w:val="100"/>
          <w:sz w:val="32"/>
          <w:szCs w:val="32"/>
          <w:highlight w:val="none"/>
        </w:rPr>
        <w:t>年</w:t>
      </w:r>
      <w:r>
        <w:rPr>
          <w:rFonts w:hint="eastAsia"/>
          <w:color w:val="auto"/>
          <w:spacing w:val="0"/>
          <w:w w:val="100"/>
          <w:sz w:val="32"/>
          <w:szCs w:val="32"/>
          <w:highlight w:val="none"/>
          <w:lang w:val="en-US" w:eastAsia="zh-CN"/>
        </w:rPr>
        <w:t>行动计划</w:t>
      </w:r>
    </w:p>
    <w:p>
      <w:pPr>
        <w:spacing w:line="560" w:lineRule="exact"/>
        <w:ind w:firstLine="1600" w:firstLineChars="500"/>
        <w:rPr>
          <w:color w:val="auto"/>
          <w:spacing w:val="0"/>
          <w:w w:val="90"/>
          <w:sz w:val="32"/>
          <w:szCs w:val="32"/>
          <w:highlight w:val="none"/>
        </w:rPr>
      </w:pPr>
      <w:r>
        <w:rPr>
          <w:rFonts w:hint="eastAsia"/>
          <w:color w:val="auto"/>
          <w:spacing w:val="0"/>
          <w:w w:val="100"/>
          <w:sz w:val="32"/>
          <w:szCs w:val="32"/>
          <w:highlight w:val="none"/>
          <w:lang w:val="en-US" w:eastAsia="zh-CN"/>
        </w:rPr>
        <w:t>3.</w:t>
      </w:r>
      <w:r>
        <w:rPr>
          <w:color w:val="auto"/>
          <w:spacing w:val="0"/>
          <w:w w:val="100"/>
          <w:sz w:val="32"/>
          <w:szCs w:val="32"/>
          <w:highlight w:val="none"/>
        </w:rPr>
        <w:t>北京市密云区水污染防治202</w:t>
      </w:r>
      <w:r>
        <w:rPr>
          <w:rFonts w:hint="eastAsia"/>
          <w:color w:val="auto"/>
          <w:spacing w:val="0"/>
          <w:w w:val="100"/>
          <w:sz w:val="32"/>
          <w:szCs w:val="32"/>
          <w:highlight w:val="none"/>
          <w:lang w:val="en-US" w:eastAsia="zh-CN"/>
        </w:rPr>
        <w:t>3</w:t>
      </w:r>
      <w:r>
        <w:rPr>
          <w:color w:val="auto"/>
          <w:spacing w:val="0"/>
          <w:w w:val="100"/>
          <w:sz w:val="32"/>
          <w:szCs w:val="32"/>
          <w:highlight w:val="none"/>
        </w:rPr>
        <w:t>年</w:t>
      </w:r>
      <w:r>
        <w:rPr>
          <w:rFonts w:hint="eastAsia"/>
          <w:color w:val="auto"/>
          <w:spacing w:val="0"/>
          <w:w w:val="100"/>
          <w:sz w:val="32"/>
          <w:szCs w:val="32"/>
          <w:highlight w:val="none"/>
          <w:lang w:val="en-US" w:eastAsia="zh-CN"/>
        </w:rPr>
        <w:t>行动计划</w:t>
      </w:r>
    </w:p>
    <w:p>
      <w:pPr>
        <w:spacing w:line="560" w:lineRule="exact"/>
        <w:ind w:firstLine="1600" w:firstLineChars="500"/>
        <w:rPr>
          <w:color w:val="auto"/>
          <w:spacing w:val="0"/>
          <w:w w:val="90"/>
          <w:sz w:val="32"/>
          <w:szCs w:val="32"/>
          <w:highlight w:val="none"/>
        </w:rPr>
      </w:pPr>
      <w:r>
        <w:rPr>
          <w:rFonts w:hint="eastAsia"/>
          <w:color w:val="auto"/>
          <w:spacing w:val="0"/>
          <w:w w:val="100"/>
          <w:sz w:val="32"/>
          <w:szCs w:val="32"/>
          <w:highlight w:val="none"/>
          <w:lang w:val="en-US" w:eastAsia="zh-CN"/>
        </w:rPr>
        <w:t>4.</w:t>
      </w:r>
      <w:r>
        <w:rPr>
          <w:color w:val="auto"/>
          <w:spacing w:val="0"/>
          <w:w w:val="100"/>
          <w:sz w:val="32"/>
          <w:szCs w:val="32"/>
          <w:highlight w:val="none"/>
        </w:rPr>
        <w:t>北京市密云区土壤污染防治202</w:t>
      </w:r>
      <w:r>
        <w:rPr>
          <w:rFonts w:hint="eastAsia"/>
          <w:color w:val="auto"/>
          <w:spacing w:val="0"/>
          <w:w w:val="100"/>
          <w:sz w:val="32"/>
          <w:szCs w:val="32"/>
          <w:highlight w:val="none"/>
          <w:lang w:val="en-US" w:eastAsia="zh-CN"/>
        </w:rPr>
        <w:t>3</w:t>
      </w:r>
      <w:r>
        <w:rPr>
          <w:color w:val="auto"/>
          <w:spacing w:val="0"/>
          <w:w w:val="100"/>
          <w:sz w:val="32"/>
          <w:szCs w:val="32"/>
          <w:highlight w:val="none"/>
        </w:rPr>
        <w:t>年</w:t>
      </w:r>
      <w:r>
        <w:rPr>
          <w:rFonts w:hint="eastAsia"/>
          <w:color w:val="auto"/>
          <w:spacing w:val="0"/>
          <w:w w:val="100"/>
          <w:sz w:val="32"/>
          <w:szCs w:val="32"/>
          <w:highlight w:val="none"/>
          <w:lang w:val="en-US" w:eastAsia="zh-CN"/>
        </w:rPr>
        <w:t>行动计划</w:t>
      </w:r>
    </w:p>
    <w:p>
      <w:pPr>
        <w:spacing w:line="560" w:lineRule="exact"/>
        <w:ind w:firstLine="1600" w:firstLineChars="500"/>
        <w:rPr>
          <w:rFonts w:hint="eastAsia" w:ascii="仿宋_GB2312" w:eastAsia="仿宋_GB2312"/>
          <w:color w:val="auto"/>
          <w:spacing w:val="-12"/>
          <w:sz w:val="32"/>
          <w:szCs w:val="32"/>
          <w:highlight w:val="none"/>
        </w:rPr>
      </w:pPr>
      <w:r>
        <w:rPr>
          <w:rFonts w:hint="eastAsia"/>
          <w:color w:val="auto"/>
          <w:spacing w:val="0"/>
          <w:w w:val="100"/>
          <w:sz w:val="32"/>
          <w:szCs w:val="32"/>
          <w:highlight w:val="none"/>
          <w:lang w:val="en-US" w:eastAsia="zh-CN"/>
        </w:rPr>
        <w:t>5.</w:t>
      </w:r>
      <w:r>
        <w:rPr>
          <w:color w:val="auto"/>
          <w:spacing w:val="0"/>
          <w:w w:val="100"/>
          <w:sz w:val="32"/>
          <w:szCs w:val="32"/>
          <w:highlight w:val="none"/>
        </w:rPr>
        <w:t>北京市密云区生态保护202</w:t>
      </w:r>
      <w:r>
        <w:rPr>
          <w:rFonts w:hint="eastAsia"/>
          <w:color w:val="auto"/>
          <w:spacing w:val="0"/>
          <w:w w:val="100"/>
          <w:sz w:val="32"/>
          <w:szCs w:val="32"/>
          <w:highlight w:val="none"/>
          <w:lang w:val="en-US" w:eastAsia="zh-CN"/>
        </w:rPr>
        <w:t>3</w:t>
      </w:r>
      <w:r>
        <w:rPr>
          <w:color w:val="auto"/>
          <w:spacing w:val="0"/>
          <w:w w:val="100"/>
          <w:sz w:val="32"/>
          <w:szCs w:val="32"/>
          <w:highlight w:val="none"/>
        </w:rPr>
        <w:t>年</w:t>
      </w:r>
      <w:r>
        <w:rPr>
          <w:rFonts w:hint="eastAsia"/>
          <w:color w:val="auto"/>
          <w:spacing w:val="0"/>
          <w:w w:val="100"/>
          <w:sz w:val="32"/>
          <w:szCs w:val="32"/>
          <w:highlight w:val="none"/>
          <w:lang w:val="en-US" w:eastAsia="zh-CN"/>
        </w:rPr>
        <w:t>行动计划</w:t>
      </w:r>
    </w:p>
    <w:p>
      <w:pPr>
        <w:keepNext w:val="0"/>
        <w:keepLines w:val="0"/>
        <w:pageBreakBefore w:val="0"/>
        <w:widowControl w:val="0"/>
        <w:kinsoku/>
        <w:wordWrap/>
        <w:overflowPunct/>
        <w:topLinePunct w:val="0"/>
        <w:autoSpaceDE w:val="0"/>
        <w:autoSpaceDN w:val="0"/>
        <w:bidi w:val="0"/>
        <w:adjustRightInd/>
        <w:snapToGrid/>
        <w:spacing w:line="560" w:lineRule="exact"/>
        <w:ind w:firstLine="1920" w:firstLineChars="600"/>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tbl>
      <w:tblPr>
        <w:tblStyle w:val="14"/>
        <w:tblpPr w:leftFromText="180" w:rightFromText="180" w:vertAnchor="text" w:horzAnchor="page" w:tblpX="1832" w:tblpY="3150"/>
        <w:tblW w:w="88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0" w:hRule="atLeast"/>
        </w:trPr>
        <w:tc>
          <w:tcPr>
            <w:tcW w:w="8823" w:type="dxa"/>
            <w:tcBorders>
              <w:left w:val="nil"/>
              <w:right w:val="nil"/>
            </w:tcBorders>
            <w:vAlign w:val="top"/>
          </w:tcPr>
          <w:p>
            <w:pPr>
              <w:keepNext w:val="0"/>
              <w:keepLines w:val="0"/>
              <w:pageBreakBefore w:val="0"/>
              <w:widowControl w:val="0"/>
              <w:kinsoku/>
              <w:overflowPunct/>
              <w:topLinePunct w:val="0"/>
              <w:autoSpaceDE/>
              <w:autoSpaceDN/>
              <w:bidi w:val="0"/>
              <w:adjustRightInd w:val="0"/>
              <w:snapToGrid w:val="0"/>
              <w:spacing w:before="0" w:after="0" w:line="560" w:lineRule="exact"/>
              <w:ind w:left="0" w:leftChars="0" w:right="0" w:rightChars="0" w:firstLine="0" w:firstLineChars="0"/>
              <w:jc w:val="both"/>
              <w:textAlignment w:val="auto"/>
              <w:outlineLvl w:val="9"/>
              <w:rPr>
                <w:rFonts w:hint="eastAsia" w:ascii="仿宋_GB2312" w:hAnsi="Calibri" w:eastAsia="仿宋_GB2312" w:cs="Times New Roman"/>
                <w:color w:val="auto"/>
                <w:kern w:val="2"/>
                <w:sz w:val="28"/>
                <w:szCs w:val="28"/>
                <w:lang w:eastAsia="zh-CN"/>
              </w:rPr>
            </w:pPr>
            <w:r>
              <w:rPr>
                <w:rFonts w:hint="eastAsia" w:ascii="仿宋_GB2312" w:hAnsi="Calibri" w:eastAsia="仿宋_GB2312" w:cs="Times New Roman"/>
                <w:color w:val="auto"/>
                <w:kern w:val="2"/>
                <w:sz w:val="28"/>
                <w:szCs w:val="28"/>
                <w:lang w:eastAsia="zh-CN"/>
              </w:rPr>
              <w:t>抄送：</w:t>
            </w:r>
            <w:r>
              <w:rPr>
                <w:rFonts w:hint="eastAsia" w:ascii="仿宋_GB2312" w:hAnsi="Calibri" w:eastAsia="仿宋_GB2312" w:cs="Times New Roman"/>
                <w:color w:val="auto"/>
                <w:spacing w:val="-6"/>
                <w:kern w:val="2"/>
                <w:sz w:val="28"/>
                <w:szCs w:val="28"/>
                <w:lang w:eastAsia="zh-CN"/>
              </w:rPr>
              <w:t>区委</w:t>
            </w:r>
            <w:r>
              <w:rPr>
                <w:rFonts w:hint="eastAsia" w:ascii="仿宋_GB2312" w:hAnsi="Calibri" w:eastAsia="仿宋_GB2312" w:cs="Times New Roman"/>
                <w:color w:val="auto"/>
                <w:spacing w:val="-6"/>
                <w:kern w:val="2"/>
                <w:sz w:val="28"/>
                <w:szCs w:val="28"/>
                <w:lang w:val="en-US" w:eastAsia="zh-CN"/>
              </w:rPr>
              <w:t>各部门,</w:t>
            </w:r>
            <w:r>
              <w:rPr>
                <w:rFonts w:hint="eastAsia" w:ascii="仿宋_GB2312" w:hAnsi="Calibri" w:eastAsia="仿宋_GB2312" w:cs="Times New Roman"/>
                <w:color w:val="auto"/>
                <w:spacing w:val="-6"/>
                <w:kern w:val="2"/>
                <w:sz w:val="28"/>
                <w:szCs w:val="28"/>
                <w:lang w:eastAsia="zh-CN"/>
              </w:rPr>
              <w:t>区人大常委会办公室、区政协办公室，区纪委区监委</w:t>
            </w:r>
            <w:r>
              <w:rPr>
                <w:rFonts w:hint="eastAsia" w:ascii="仿宋_GB2312" w:hAnsi="Calibri" w:eastAsia="仿宋_GB2312" w:cs="Times New Roman"/>
                <w:color w:val="auto"/>
                <w:kern w:val="2"/>
                <w:sz w:val="28"/>
                <w:szCs w:val="28"/>
                <w:lang w:eastAsia="zh-CN"/>
              </w:rPr>
              <w:t>、</w:t>
            </w:r>
          </w:p>
          <w:p>
            <w:pPr>
              <w:keepNext w:val="0"/>
              <w:keepLines w:val="0"/>
              <w:pageBreakBefore w:val="0"/>
              <w:widowControl w:val="0"/>
              <w:kinsoku/>
              <w:overflowPunct/>
              <w:topLinePunct w:val="0"/>
              <w:autoSpaceDE/>
              <w:autoSpaceDN/>
              <w:bidi w:val="0"/>
              <w:adjustRightInd w:val="0"/>
              <w:snapToGrid w:val="0"/>
              <w:spacing w:before="0" w:after="0" w:line="560" w:lineRule="exact"/>
              <w:ind w:left="0" w:leftChars="0" w:right="0" w:rightChars="0" w:firstLine="0" w:firstLineChars="0"/>
              <w:jc w:val="both"/>
              <w:textAlignment w:val="auto"/>
              <w:outlineLvl w:val="9"/>
              <w:rPr>
                <w:rFonts w:ascii="仿宋_GB2312" w:hAnsi="Calibri" w:eastAsia="仿宋_GB2312" w:cs="Times New Roman"/>
                <w:color w:val="auto"/>
                <w:kern w:val="2"/>
                <w:sz w:val="28"/>
                <w:szCs w:val="28"/>
                <w:lang w:eastAsia="zh-CN"/>
              </w:rPr>
            </w:pPr>
            <w:r>
              <w:rPr>
                <w:rFonts w:hint="eastAsia" w:ascii="仿宋_GB2312" w:hAnsi="Calibri" w:eastAsia="仿宋_GB2312" w:cs="Times New Roman"/>
                <w:color w:val="auto"/>
                <w:kern w:val="2"/>
                <w:sz w:val="28"/>
                <w:szCs w:val="28"/>
                <w:lang w:val="en-US" w:eastAsia="zh-CN"/>
              </w:rPr>
              <w:t xml:space="preserve">      </w:t>
            </w:r>
            <w:r>
              <w:rPr>
                <w:rFonts w:hint="eastAsia" w:ascii="仿宋_GB2312" w:hAnsi="Calibri" w:eastAsia="仿宋_GB2312" w:cs="Times New Roman"/>
                <w:color w:val="auto"/>
                <w:kern w:val="2"/>
                <w:sz w:val="28"/>
                <w:szCs w:val="28"/>
                <w:lang w:eastAsia="zh-CN"/>
              </w:rPr>
              <w:t>区法院、区检察院。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823" w:type="dxa"/>
            <w:tcBorders>
              <w:left w:val="nil"/>
              <w:right w:val="nil"/>
            </w:tcBorders>
            <w:vAlign w:val="top"/>
          </w:tcPr>
          <w:p>
            <w:pPr>
              <w:keepNext w:val="0"/>
              <w:keepLines w:val="0"/>
              <w:pageBreakBefore w:val="0"/>
              <w:widowControl w:val="0"/>
              <w:kinsoku/>
              <w:overflowPunct/>
              <w:topLinePunct w:val="0"/>
              <w:autoSpaceDE/>
              <w:autoSpaceDN/>
              <w:bidi w:val="0"/>
              <w:adjustRightInd w:val="0"/>
              <w:snapToGrid w:val="0"/>
              <w:spacing w:before="0" w:after="0" w:line="560" w:lineRule="exact"/>
              <w:ind w:left="0" w:leftChars="0" w:right="0" w:rightChars="0" w:firstLine="140" w:firstLineChars="50"/>
              <w:jc w:val="both"/>
              <w:textAlignment w:val="auto"/>
              <w:outlineLvl w:val="9"/>
              <w:rPr>
                <w:rFonts w:ascii="仿宋_GB2312" w:hAnsi="Calibri" w:eastAsia="仿宋_GB2312" w:cs="Times New Roman"/>
                <w:color w:val="auto"/>
                <w:kern w:val="2"/>
                <w:sz w:val="28"/>
                <w:szCs w:val="28"/>
                <w:lang w:eastAsia="zh-CN"/>
              </w:rPr>
            </w:pPr>
            <w:r>
              <w:rPr>
                <w:rFonts w:hint="eastAsia" w:ascii="仿宋_GB2312" w:hAnsi="Calibri" w:eastAsia="仿宋_GB2312" w:cs="Times New Roman"/>
                <w:color w:val="auto"/>
                <w:kern w:val="2"/>
                <w:sz w:val="28"/>
                <w:szCs w:val="28"/>
                <w:lang w:eastAsia="zh-CN"/>
              </w:rPr>
              <w:t>北京市密云区人民政府办公室　　　　</w:t>
            </w:r>
            <w:r>
              <w:rPr>
                <w:rFonts w:ascii="仿宋_GB2312" w:hAnsi="Calibri" w:eastAsia="仿宋_GB2312" w:cs="Times New Roman"/>
                <w:color w:val="auto"/>
                <w:kern w:val="2"/>
                <w:sz w:val="28"/>
                <w:szCs w:val="28"/>
                <w:lang w:eastAsia="zh-CN"/>
              </w:rPr>
              <w:t xml:space="preserve">      </w:t>
            </w:r>
            <w:r>
              <w:rPr>
                <w:rFonts w:hint="eastAsia" w:ascii="仿宋_GB2312" w:hAnsi="Calibri" w:eastAsia="仿宋_GB2312" w:cs="Times New Roman"/>
                <w:color w:val="auto"/>
                <w:kern w:val="2"/>
                <w:sz w:val="28"/>
                <w:szCs w:val="28"/>
                <w:lang w:val="en-US" w:eastAsia="zh-CN"/>
              </w:rPr>
              <w:t xml:space="preserve"> </w:t>
            </w:r>
            <w:r>
              <w:rPr>
                <w:rFonts w:ascii="仿宋_GB2312" w:hAnsi="Calibri" w:eastAsia="仿宋_GB2312" w:cs="Times New Roman"/>
                <w:color w:val="auto"/>
                <w:kern w:val="2"/>
                <w:sz w:val="28"/>
                <w:szCs w:val="28"/>
                <w:lang w:eastAsia="zh-CN"/>
              </w:rPr>
              <w:t>20</w:t>
            </w:r>
            <w:r>
              <w:rPr>
                <w:rFonts w:hint="eastAsia" w:ascii="仿宋_GB2312" w:hAnsi="Calibri" w:eastAsia="仿宋_GB2312" w:cs="Times New Roman"/>
                <w:color w:val="auto"/>
                <w:kern w:val="2"/>
                <w:sz w:val="28"/>
                <w:szCs w:val="28"/>
                <w:lang w:val="en-US" w:eastAsia="zh-CN"/>
              </w:rPr>
              <w:t>2</w:t>
            </w:r>
            <w:r>
              <w:rPr>
                <w:rFonts w:hint="eastAsia" w:hAnsi="Calibri" w:cs="Times New Roman"/>
                <w:color w:val="auto"/>
                <w:kern w:val="2"/>
                <w:sz w:val="28"/>
                <w:szCs w:val="28"/>
                <w:lang w:val="en-US" w:eastAsia="zh-CN"/>
              </w:rPr>
              <w:t>3</w:t>
            </w:r>
            <w:r>
              <w:rPr>
                <w:rFonts w:hint="eastAsia" w:ascii="仿宋_GB2312" w:hAnsi="Calibri" w:eastAsia="仿宋_GB2312" w:cs="Times New Roman"/>
                <w:color w:val="auto"/>
                <w:kern w:val="2"/>
                <w:sz w:val="28"/>
                <w:szCs w:val="28"/>
                <w:lang w:eastAsia="zh-CN"/>
              </w:rPr>
              <w:t>年</w:t>
            </w:r>
            <w:r>
              <w:rPr>
                <w:rFonts w:hint="eastAsia" w:hAnsi="Calibri" w:cs="Times New Roman"/>
                <w:color w:val="auto"/>
                <w:kern w:val="2"/>
                <w:sz w:val="28"/>
                <w:szCs w:val="28"/>
                <w:lang w:val="en-US" w:eastAsia="zh-CN"/>
              </w:rPr>
              <w:t>3</w:t>
            </w:r>
            <w:r>
              <w:rPr>
                <w:rFonts w:hint="eastAsia" w:ascii="仿宋_GB2312" w:hAnsi="Calibri" w:eastAsia="仿宋_GB2312" w:cs="Times New Roman"/>
                <w:color w:val="auto"/>
                <w:kern w:val="2"/>
                <w:sz w:val="28"/>
                <w:szCs w:val="28"/>
                <w:lang w:eastAsia="zh-CN"/>
              </w:rPr>
              <w:t>月</w:t>
            </w:r>
            <w:r>
              <w:rPr>
                <w:rFonts w:hint="eastAsia" w:hAnsi="Calibri" w:cs="Times New Roman"/>
                <w:color w:val="auto"/>
                <w:kern w:val="2"/>
                <w:sz w:val="28"/>
                <w:szCs w:val="28"/>
                <w:lang w:val="en-US" w:eastAsia="zh-CN"/>
              </w:rPr>
              <w:t>1</w:t>
            </w:r>
            <w:r>
              <w:rPr>
                <w:rFonts w:hint="eastAsia" w:ascii="仿宋_GB2312" w:hAnsi="Calibri" w:eastAsia="仿宋_GB2312" w:cs="Times New Roman"/>
                <w:color w:val="auto"/>
                <w:kern w:val="2"/>
                <w:sz w:val="28"/>
                <w:szCs w:val="28"/>
                <w:lang w:eastAsia="zh-CN"/>
              </w:rPr>
              <w:t>日印发</w:t>
            </w:r>
          </w:p>
        </w:tc>
      </w:tr>
    </w:tbl>
    <w:p>
      <w:pPr>
        <w:pStyle w:val="2"/>
        <w:rPr>
          <w:rFonts w:hint="eastAsia"/>
          <w:color w:val="auto"/>
          <w:sz w:val="32"/>
          <w:szCs w:val="32"/>
          <w:highlight w:val="none"/>
        </w:rPr>
      </w:pPr>
    </w:p>
    <w:p>
      <w:pPr>
        <w:pStyle w:val="2"/>
        <w:rPr>
          <w:rFonts w:hint="eastAsia"/>
          <w:color w:val="auto"/>
          <w:sz w:val="32"/>
          <w:szCs w:val="32"/>
          <w:highlight w:val="none"/>
        </w:rPr>
      </w:pPr>
    </w:p>
    <w:p>
      <w:pPr>
        <w:pStyle w:val="2"/>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sectPr>
          <w:footerReference r:id="rId3" w:type="default"/>
          <w:pgSz w:w="11906" w:h="16838"/>
          <w:pgMar w:top="1984" w:right="1474" w:bottom="2098" w:left="1587" w:header="851" w:footer="1417" w:gutter="0"/>
          <w:pgNumType w:fmt="numberInDash" w:start="1"/>
          <w:cols w:space="0" w:num="1"/>
          <w:rtlGutter w:val="0"/>
          <w:docGrid w:type="lines" w:linePitch="312" w:charSpace="0"/>
        </w:sectPr>
      </w:pPr>
    </w:p>
    <w:p>
      <w:pPr>
        <w:pStyle w:val="6"/>
        <w:ind w:left="0" w:leftChars="0" w:firstLine="0" w:firstLineChars="0"/>
        <w:rPr>
          <w:rFonts w:hint="eastAsia"/>
          <w:color w:val="auto"/>
          <w:sz w:val="32"/>
          <w:szCs w:val="32"/>
          <w:highlight w:val="none"/>
          <w:lang w:val="en-US"/>
        </w:rPr>
      </w:pPr>
      <w:r>
        <w:rPr>
          <w:rFonts w:hint="eastAsia" w:ascii="黑体" w:hAnsi="黑体" w:eastAsia="黑体" w:cs="黑体"/>
          <w:color w:val="auto"/>
          <w:sz w:val="32"/>
          <w:szCs w:val="32"/>
          <w:highlight w:val="none"/>
          <w:lang w:val="en-US" w:eastAsia="zh-CN"/>
        </w:rPr>
        <w:t>附件1</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ascii="黑体" w:hAnsi="黑体" w:eastAsia="方正小标宋_GBK" w:cs="黑体"/>
          <w:color w:val="auto"/>
          <w:sz w:val="32"/>
          <w:szCs w:val="32"/>
          <w:highlight w:val="none"/>
          <w:lang w:val="en-US" w:eastAsia="zh-CN"/>
        </w:rPr>
      </w:pPr>
      <w:r>
        <w:rPr>
          <w:rFonts w:hint="eastAsia" w:ascii="方正小标宋_GBK" w:hAnsi="方正小标宋_GBK" w:eastAsia="方正小标宋_GBK" w:cs="方正小标宋_GBK"/>
          <w:color w:val="auto"/>
          <w:sz w:val="44"/>
          <w:szCs w:val="44"/>
          <w:highlight w:val="none"/>
        </w:rPr>
        <w:t>北京市密云区应对气候变化2023年行动计划</w:t>
      </w:r>
    </w:p>
    <w:tbl>
      <w:tblPr>
        <w:tblStyle w:val="14"/>
        <w:tblW w:w="15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914"/>
        <w:gridCol w:w="5880"/>
        <w:gridCol w:w="1191"/>
        <w:gridCol w:w="2263"/>
        <w:gridCol w:w="8"/>
        <w:gridCol w:w="3"/>
        <w:gridCol w:w="12"/>
        <w:gridCol w:w="2286"/>
        <w:gridCol w:w="2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blHeader/>
          <w:jc w:val="center"/>
        </w:trPr>
        <w:tc>
          <w:tcPr>
            <w:tcW w:w="62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序号</w:t>
            </w:r>
          </w:p>
        </w:tc>
        <w:tc>
          <w:tcPr>
            <w:tcW w:w="914" w:type="dxa"/>
            <w:tcBorders>
              <w:top w:val="single" w:color="auto" w:sz="4" w:space="0"/>
              <w:left w:val="nil"/>
              <w:bottom w:val="single" w:color="auto" w:sz="4" w:space="0"/>
              <w:right w:val="single" w:color="auto" w:sz="4" w:space="0"/>
            </w:tcBorders>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重点任务</w:t>
            </w:r>
          </w:p>
        </w:tc>
        <w:tc>
          <w:tcPr>
            <w:tcW w:w="5880" w:type="dxa"/>
            <w:tcBorders>
              <w:top w:val="single" w:color="auto" w:sz="4" w:space="0"/>
              <w:left w:val="nil"/>
              <w:bottom w:val="single" w:color="auto" w:sz="4" w:space="0"/>
              <w:right w:val="single" w:color="auto" w:sz="4" w:space="0"/>
            </w:tcBorders>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工作措施</w:t>
            </w:r>
          </w:p>
        </w:tc>
        <w:tc>
          <w:tcPr>
            <w:tcW w:w="1191" w:type="dxa"/>
            <w:tcBorders>
              <w:top w:val="single" w:color="auto" w:sz="4" w:space="0"/>
              <w:left w:val="nil"/>
              <w:bottom w:val="single" w:color="auto" w:sz="4" w:space="0"/>
              <w:right w:val="single" w:color="auto" w:sz="4" w:space="0"/>
            </w:tcBorders>
            <w:tcMar>
              <w:top w:w="0" w:type="dxa"/>
              <w:left w:w="57" w:type="dxa"/>
              <w:bottom w:w="0" w:type="dxa"/>
              <w:right w:w="57" w:type="dxa"/>
            </w:tcMar>
            <w:vAlign w:val="center"/>
          </w:tcPr>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完成</w:t>
            </w:r>
          </w:p>
          <w:p>
            <w:pPr>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时限</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牵头部门</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主责单位</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b/>
                <w:bCs/>
                <w:color w:val="auto"/>
                <w:kern w:val="0"/>
                <w:sz w:val="28"/>
                <w:szCs w:val="28"/>
                <w:highlight w:val="none"/>
              </w:rPr>
            </w:pPr>
            <w:r>
              <w:rPr>
                <w:rFonts w:hint="eastAsia" w:ascii="黑体" w:hAnsi="黑体" w:eastAsia="黑体"/>
                <w:color w:val="auto"/>
                <w:kern w:val="0"/>
                <w:sz w:val="28"/>
                <w:szCs w:val="28"/>
                <w:highlight w:val="none"/>
              </w:rPr>
              <w:t>一、温室气体排放控制目标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1</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温室气体排放控制目标</w:t>
            </w:r>
          </w:p>
        </w:tc>
        <w:tc>
          <w:tcPr>
            <w:tcW w:w="5880" w:type="dxa"/>
            <w:tcBorders>
              <w:top w:val="single" w:color="auto" w:sz="4" w:space="0"/>
              <w:left w:val="nil"/>
              <w:bottom w:val="single" w:color="auto" w:sz="4" w:space="0"/>
              <w:right w:val="single" w:color="auto" w:sz="4" w:space="0"/>
            </w:tcBorders>
            <w:vAlign w:val="center"/>
          </w:tcPr>
          <w:p>
            <w:pPr>
              <w:spacing w:line="360" w:lineRule="exact"/>
              <w:jc w:val="both"/>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切实控制温室气体排放,</w:t>
            </w:r>
            <w:r>
              <w:rPr>
                <w:rFonts w:hint="eastAsia" w:ascii="仿宋_GB2312" w:eastAsia="仿宋_GB2312"/>
                <w:color w:val="auto"/>
                <w:kern w:val="0"/>
                <w:sz w:val="28"/>
                <w:szCs w:val="28"/>
                <w:highlight w:val="none"/>
                <w:lang w:eastAsia="zh-CN"/>
              </w:rPr>
              <w:t>完成市级下达全区</w:t>
            </w:r>
            <w:r>
              <w:rPr>
                <w:rFonts w:hint="eastAsia" w:ascii="仿宋_GB2312" w:eastAsia="仿宋_GB2312"/>
                <w:color w:val="auto"/>
                <w:kern w:val="0"/>
                <w:sz w:val="28"/>
                <w:szCs w:val="28"/>
                <w:highlight w:val="none"/>
              </w:rPr>
              <w:t>碳排放强度同比</w:t>
            </w:r>
            <w:r>
              <w:rPr>
                <w:rFonts w:hint="eastAsia"/>
                <w:color w:val="auto"/>
                <w:kern w:val="0"/>
                <w:sz w:val="28"/>
                <w:szCs w:val="28"/>
                <w:highlight w:val="none"/>
                <w:lang w:eastAsia="zh-CN"/>
              </w:rPr>
              <w:t>下降</w:t>
            </w:r>
            <w:r>
              <w:rPr>
                <w:rFonts w:hint="eastAsia" w:ascii="仿宋_GB2312" w:eastAsia="仿宋_GB2312"/>
                <w:color w:val="auto"/>
                <w:kern w:val="0"/>
                <w:sz w:val="28"/>
                <w:szCs w:val="28"/>
                <w:highlight w:val="none"/>
                <w:lang w:val="en-US" w:eastAsia="zh-CN"/>
              </w:rPr>
              <w:t>目标，</w:t>
            </w:r>
            <w:r>
              <w:rPr>
                <w:rFonts w:hint="eastAsia" w:ascii="仿宋_GB2312" w:eastAsia="仿宋_GB2312"/>
                <w:color w:val="auto"/>
                <w:kern w:val="0"/>
                <w:sz w:val="28"/>
                <w:szCs w:val="28"/>
                <w:highlight w:val="none"/>
              </w:rPr>
              <w:t>碳排放总量得到有效控制。</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区发改委</w:t>
            </w:r>
          </w:p>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区生态环境局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黑体" w:hAnsi="黑体" w:eastAsia="黑体"/>
                <w:color w:val="auto"/>
                <w:kern w:val="0"/>
                <w:sz w:val="28"/>
                <w:szCs w:val="28"/>
                <w:highlight w:val="none"/>
              </w:rPr>
              <w:t>二、完善应对气候变化综合管理制度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2</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构建碳达峰碳中和政策体系</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spacing w:val="-6"/>
                <w:kern w:val="0"/>
                <w:sz w:val="28"/>
                <w:szCs w:val="28"/>
                <w:highlight w:val="none"/>
              </w:rPr>
            </w:pPr>
            <w:r>
              <w:rPr>
                <w:rFonts w:hint="eastAsia" w:ascii="仿宋_GB2312" w:eastAsia="仿宋_GB2312"/>
                <w:color w:val="auto"/>
                <w:kern w:val="0"/>
                <w:sz w:val="28"/>
                <w:szCs w:val="28"/>
                <w:highlight w:val="none"/>
              </w:rPr>
              <w:t>编制</w:t>
            </w:r>
            <w:r>
              <w:rPr>
                <w:rFonts w:hint="eastAsia" w:ascii="仿宋_GB2312" w:eastAsia="仿宋_GB2312"/>
                <w:color w:val="auto"/>
                <w:kern w:val="0"/>
                <w:sz w:val="28"/>
                <w:szCs w:val="28"/>
                <w:highlight w:val="none"/>
                <w:lang w:eastAsia="zh-CN"/>
              </w:rPr>
              <w:t>印发</w:t>
            </w:r>
            <w:r>
              <w:rPr>
                <w:rFonts w:hint="eastAsia" w:ascii="仿宋_GB2312" w:eastAsia="仿宋_GB2312"/>
                <w:color w:val="auto"/>
                <w:kern w:val="0"/>
                <w:sz w:val="28"/>
                <w:szCs w:val="28"/>
                <w:highlight w:val="none"/>
              </w:rPr>
              <w:t>《密云区碳达峰实施方案》</w:t>
            </w:r>
            <w:r>
              <w:rPr>
                <w:rFonts w:hint="eastAsia" w:ascii="仿宋_GB2312" w:eastAsia="仿宋_GB2312"/>
                <w:color w:val="auto"/>
                <w:kern w:val="0"/>
                <w:sz w:val="28"/>
                <w:szCs w:val="28"/>
                <w:highlight w:val="none"/>
                <w:lang w:eastAsia="zh-CN"/>
              </w:rPr>
              <w:t>。明确</w:t>
            </w:r>
            <w:r>
              <w:rPr>
                <w:rFonts w:hint="eastAsia" w:ascii="仿宋_GB2312" w:eastAsia="仿宋_GB2312"/>
                <w:color w:val="auto"/>
                <w:kern w:val="0"/>
                <w:sz w:val="28"/>
                <w:szCs w:val="28"/>
                <w:highlight w:val="none"/>
              </w:rPr>
              <w:t>能效碳效、能源绿色低碳发展、科技创新、</w:t>
            </w:r>
            <w:r>
              <w:rPr>
                <w:rFonts w:hint="eastAsia" w:ascii="仿宋_GB2312" w:eastAsia="仿宋_GB2312"/>
                <w:color w:val="auto"/>
                <w:spacing w:val="-6"/>
                <w:kern w:val="0"/>
                <w:sz w:val="28"/>
                <w:szCs w:val="28"/>
                <w:highlight w:val="none"/>
              </w:rPr>
              <w:t>机制创新、重点领域、生活理念等方面重点事项清单。</w:t>
            </w:r>
          </w:p>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制定能源、建筑、交通、</w:t>
            </w:r>
            <w:r>
              <w:rPr>
                <w:rFonts w:hint="eastAsia" w:ascii="仿宋_GB2312" w:eastAsia="仿宋_GB2312"/>
                <w:color w:val="auto"/>
                <w:kern w:val="0"/>
                <w:sz w:val="28"/>
                <w:szCs w:val="28"/>
                <w:highlight w:val="none"/>
                <w:lang w:eastAsia="zh-CN"/>
              </w:rPr>
              <w:t>工业、</w:t>
            </w:r>
            <w:r>
              <w:rPr>
                <w:rFonts w:hint="eastAsia" w:ascii="仿宋_GB2312" w:eastAsia="仿宋_GB2312"/>
                <w:color w:val="auto"/>
                <w:kern w:val="0"/>
                <w:sz w:val="28"/>
                <w:szCs w:val="28"/>
                <w:highlight w:val="none"/>
              </w:rPr>
              <w:t>科技等重点领域工作方案</w:t>
            </w:r>
            <w:r>
              <w:rPr>
                <w:rFonts w:hint="eastAsia" w:ascii="仿宋_GB2312" w:eastAsia="仿宋_GB2312"/>
                <w:color w:val="auto"/>
                <w:kern w:val="0"/>
                <w:sz w:val="28"/>
                <w:szCs w:val="28"/>
                <w:highlight w:val="none"/>
                <w:lang w:eastAsia="zh-CN"/>
              </w:rPr>
              <w:t>，明确各领域减碳目标任务，切实控制温室气体排放</w:t>
            </w:r>
            <w:r>
              <w:rPr>
                <w:rFonts w:hint="eastAsia" w:ascii="仿宋_GB2312" w:eastAsia="仿宋_GB2312"/>
                <w:color w:val="auto"/>
                <w:kern w:val="0"/>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年</w:t>
            </w:r>
            <w:r>
              <w:rPr>
                <w:rFonts w:hint="eastAsia" w:ascii="仿宋_GB2312" w:eastAsia="仿宋_GB2312"/>
                <w:color w:val="auto"/>
                <w:kern w:val="0"/>
                <w:sz w:val="28"/>
                <w:szCs w:val="28"/>
                <w:highlight w:val="none"/>
              </w:rPr>
              <w:t>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区发改委</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区科委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2"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3</w:t>
            </w:r>
          </w:p>
        </w:tc>
        <w:tc>
          <w:tcPr>
            <w:tcW w:w="914" w:type="dxa"/>
            <w:tcBorders>
              <w:top w:val="single" w:color="auto" w:sz="4" w:space="0"/>
              <w:left w:val="nil"/>
              <w:bottom w:val="single" w:color="auto" w:sz="4" w:space="0"/>
              <w:right w:val="single" w:color="auto" w:sz="4" w:space="0"/>
            </w:tcBorders>
            <w:vAlign w:val="center"/>
          </w:tcPr>
          <w:p>
            <w:pPr>
              <w:spacing w:line="360" w:lineRule="exact"/>
              <w:jc w:val="lef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强化碳排放“双控”制度</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强化碳排放控制目标约束作用，</w:t>
            </w:r>
            <w:r>
              <w:rPr>
                <w:rFonts w:hint="eastAsia"/>
                <w:color w:val="auto"/>
                <w:kern w:val="0"/>
                <w:sz w:val="28"/>
                <w:szCs w:val="28"/>
                <w:highlight w:val="none"/>
                <w:lang w:eastAsia="zh-CN"/>
              </w:rPr>
              <w:t>按照市级部署，</w:t>
            </w:r>
            <w:r>
              <w:rPr>
                <w:rFonts w:hint="eastAsia" w:ascii="仿宋_GB2312" w:eastAsia="仿宋_GB2312"/>
                <w:color w:val="auto"/>
                <w:kern w:val="0"/>
                <w:sz w:val="28"/>
                <w:szCs w:val="28"/>
                <w:highlight w:val="none"/>
              </w:rPr>
              <w:t>研究推进将能耗“双控”向碳排放总量和强度“双控”转变。</w:t>
            </w:r>
          </w:p>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逐步推进在建设项目环境影响评价中开展碳排放评价。</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77"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4</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积极推进碳排放权交易市场建设</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配合市局</w:t>
            </w:r>
            <w:r>
              <w:rPr>
                <w:rFonts w:hint="eastAsia" w:ascii="仿宋_GB2312" w:eastAsia="仿宋_GB2312"/>
                <w:color w:val="auto"/>
                <w:kern w:val="0"/>
                <w:sz w:val="28"/>
                <w:szCs w:val="28"/>
                <w:highlight w:val="none"/>
              </w:rPr>
              <w:t>开展2023年度碳排放权交易工作，</w:t>
            </w:r>
            <w:r>
              <w:rPr>
                <w:rFonts w:hint="eastAsia" w:ascii="仿宋_GB2312" w:eastAsia="仿宋_GB2312"/>
                <w:color w:val="auto"/>
                <w:kern w:val="0"/>
                <w:sz w:val="28"/>
                <w:szCs w:val="28"/>
                <w:highlight w:val="none"/>
                <w:lang w:eastAsia="zh-CN"/>
              </w:rPr>
              <w:t>组织重点碳排放单位和一般报告单位业务培训，并督促其完成数据报送和核查工作、按时足额履约</w:t>
            </w:r>
            <w:r>
              <w:rPr>
                <w:rFonts w:hint="eastAsia" w:ascii="仿宋_GB2312" w:eastAsia="仿宋_GB2312"/>
                <w:color w:val="auto"/>
                <w:kern w:val="0"/>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生态环境局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区文旅局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5</w:t>
            </w:r>
          </w:p>
        </w:tc>
        <w:tc>
          <w:tcPr>
            <w:tcW w:w="914" w:type="dxa"/>
            <w:tcBorders>
              <w:top w:val="single" w:color="auto" w:sz="4" w:space="0"/>
              <w:left w:val="nil"/>
              <w:bottom w:val="single" w:color="auto" w:sz="4" w:space="0"/>
              <w:right w:val="single" w:color="auto" w:sz="4" w:space="0"/>
            </w:tcBorders>
            <w:vAlign w:val="center"/>
          </w:tcPr>
          <w:p>
            <w:pPr>
              <w:spacing w:line="360" w:lineRule="exact"/>
              <w:jc w:val="left"/>
              <w:rPr>
                <w:rFonts w:hint="eastAsia" w:ascii="仿宋_GB2312" w:eastAsia="仿宋_GB2312"/>
                <w:color w:val="auto"/>
                <w:kern w:val="0"/>
                <w:sz w:val="28"/>
                <w:szCs w:val="28"/>
                <w:highlight w:val="none"/>
              </w:rPr>
            </w:pPr>
            <w:r>
              <w:rPr>
                <w:rFonts w:hint="eastAsia"/>
                <w:color w:val="auto"/>
                <w:sz w:val="28"/>
                <w:szCs w:val="28"/>
                <w:highlight w:val="none"/>
              </w:rPr>
              <w:t>完善重点单位碳排放管理制度</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强化企业减排主体责任，引导重点排放单位以节能减碳为目标，建立碳排放管理制度、加强技术更新改造、提升智能化管理水平、扩大新能源技术应用等，提升企业减排能力。</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74" w:type="dxa"/>
            <w:gridSpan w:val="3"/>
            <w:tcBorders>
              <w:top w:val="single" w:color="auto" w:sz="4" w:space="0"/>
              <w:left w:val="nil"/>
              <w:bottom w:val="single" w:color="auto" w:sz="4" w:space="0"/>
              <w:right w:val="single" w:color="auto" w:sz="4" w:space="0"/>
            </w:tcBorders>
            <w:vAlign w:val="center"/>
          </w:tcPr>
          <w:p>
            <w:pPr>
              <w:autoSpaceDE/>
              <w:snapToGrid/>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98" w:type="dxa"/>
            <w:gridSpan w:val="2"/>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区卫健委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区文旅局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w:t>
            </w:r>
            <w:r>
              <w:rPr>
                <w:rFonts w:hint="eastAsia"/>
                <w:color w:val="auto"/>
                <w:kern w:val="0"/>
                <w:sz w:val="28"/>
                <w:szCs w:val="28"/>
                <w:highlight w:val="none"/>
                <w:lang w:val="en-US" w:eastAsia="zh-CN"/>
              </w:rPr>
              <w:t>村</w:t>
            </w:r>
            <w:r>
              <w:rPr>
                <w:rFonts w:hint="eastAsia" w:ascii="仿宋_GB2312" w:eastAsia="仿宋_GB2312"/>
                <w:color w:val="auto"/>
                <w:kern w:val="0"/>
                <w:sz w:val="28"/>
                <w:szCs w:val="28"/>
                <w:highlight w:val="none"/>
                <w:lang w:eastAsia="zh-CN"/>
              </w:rPr>
              <w:t>密云园</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widowControl/>
              <w:autoSpaceDE w:val="0"/>
              <w:snapToGrid w:val="0"/>
              <w:jc w:val="center"/>
              <w:rPr>
                <w:rFonts w:hint="eastAsia" w:ascii="黑体" w:hAnsi="黑体" w:eastAsia="黑体"/>
                <w:color w:val="auto"/>
                <w:kern w:val="0"/>
                <w:sz w:val="28"/>
                <w:szCs w:val="28"/>
                <w:highlight w:val="none"/>
              </w:rPr>
            </w:pPr>
            <w:r>
              <w:rPr>
                <w:rFonts w:hint="eastAsia" w:ascii="黑体" w:hAnsi="黑体" w:eastAsia="黑体"/>
                <w:color w:val="auto"/>
                <w:kern w:val="0"/>
                <w:sz w:val="28"/>
                <w:szCs w:val="28"/>
                <w:highlight w:val="none"/>
              </w:rPr>
              <w:t>三、深入推进重点领域和重点区域温室气体排放控制工作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3" w:hRule="atLeast"/>
          <w:jc w:val="center"/>
        </w:trPr>
        <w:tc>
          <w:tcPr>
            <w:tcW w:w="622" w:type="dxa"/>
            <w:tcBorders>
              <w:top w:val="nil"/>
              <w:left w:val="single" w:color="auto" w:sz="4" w:space="0"/>
              <w:right w:val="single" w:color="auto" w:sz="4" w:space="0"/>
            </w:tcBorders>
            <w:vAlign w:val="center"/>
          </w:tcPr>
          <w:p>
            <w:pPr>
              <w:widowControl/>
              <w:jc w:val="center"/>
              <w:rPr>
                <w:rFonts w:hint="eastAsia" w:ascii="仿宋_GB2312" w:eastAsia="仿宋_GB2312"/>
                <w:color w:val="auto"/>
                <w:kern w:val="0"/>
                <w:sz w:val="28"/>
                <w:szCs w:val="28"/>
                <w:highlight w:val="none"/>
                <w:lang w:val="en-US" w:eastAsia="zh-CN"/>
              </w:rPr>
            </w:pPr>
            <w:r>
              <w:rPr>
                <w:rFonts w:hint="eastAsia"/>
                <w:color w:val="auto"/>
                <w:kern w:val="0"/>
                <w:sz w:val="28"/>
                <w:szCs w:val="28"/>
                <w:highlight w:val="none"/>
                <w:lang w:val="en-US" w:eastAsia="zh-CN"/>
              </w:rPr>
              <w:t>6</w:t>
            </w:r>
          </w:p>
        </w:tc>
        <w:tc>
          <w:tcPr>
            <w:tcW w:w="914" w:type="dxa"/>
            <w:tcBorders>
              <w:top w:val="single" w:color="auto" w:sz="4" w:space="0"/>
              <w:left w:val="nil"/>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400" w:lineRule="exact"/>
              <w:jc w:val="left"/>
              <w:textAlignment w:val="auto"/>
              <w:outlineLvl w:val="9"/>
              <w:rPr>
                <w:rFonts w:ascii="仿宋_GB2312" w:eastAsia="仿宋_GB2312"/>
                <w:color w:val="auto"/>
                <w:kern w:val="0"/>
                <w:sz w:val="28"/>
                <w:szCs w:val="28"/>
                <w:highlight w:val="none"/>
              </w:rPr>
            </w:pPr>
            <w:r>
              <w:rPr>
                <w:rFonts w:hint="eastAsia"/>
                <w:color w:val="auto"/>
                <w:sz w:val="28"/>
                <w:szCs w:val="28"/>
                <w:highlight w:val="none"/>
              </w:rPr>
              <w:t>推进能源低碳化发展</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color w:val="auto"/>
                <w:sz w:val="28"/>
                <w:szCs w:val="28"/>
                <w:highlight w:val="none"/>
                <w:lang w:eastAsia="zh-CN"/>
              </w:rPr>
            </w:pPr>
            <w:r>
              <w:rPr>
                <w:rFonts w:hint="eastAsia"/>
                <w:color w:val="auto"/>
                <w:sz w:val="28"/>
                <w:szCs w:val="28"/>
                <w:highlight w:val="none"/>
              </w:rPr>
              <w:t>大力开展能源节约和能效提升，万元GDP能耗</w:t>
            </w:r>
            <w:r>
              <w:rPr>
                <w:rFonts w:hint="eastAsia"/>
                <w:color w:val="auto"/>
                <w:sz w:val="28"/>
                <w:szCs w:val="28"/>
                <w:highlight w:val="none"/>
                <w:lang w:eastAsia="zh-CN"/>
              </w:rPr>
              <w:t>持续下降</w:t>
            </w:r>
            <w:r>
              <w:rPr>
                <w:rFonts w:hint="eastAsia"/>
                <w:color w:val="auto"/>
                <w:sz w:val="28"/>
                <w:szCs w:val="28"/>
                <w:highlight w:val="none"/>
                <w:lang w:val="en-US" w:eastAsia="zh-CN"/>
              </w:rPr>
              <w:t>;</w:t>
            </w:r>
            <w:r>
              <w:rPr>
                <w:rFonts w:hint="eastAsia"/>
                <w:color w:val="auto"/>
                <w:sz w:val="28"/>
                <w:szCs w:val="28"/>
                <w:highlight w:val="none"/>
              </w:rPr>
              <w:t>严控化石能源消费总量</w:t>
            </w:r>
            <w:r>
              <w:rPr>
                <w:rFonts w:hint="eastAsia"/>
                <w:color w:val="auto"/>
                <w:sz w:val="28"/>
                <w:szCs w:val="28"/>
                <w:highlight w:val="none"/>
                <w:lang w:eastAsia="zh-CN"/>
              </w:rPr>
              <w:t>。</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color w:val="auto"/>
                <w:sz w:val="28"/>
                <w:szCs w:val="28"/>
                <w:highlight w:val="none"/>
              </w:rPr>
            </w:pPr>
            <w:r>
              <w:rPr>
                <w:rFonts w:hint="eastAsia"/>
                <w:color w:val="auto"/>
                <w:sz w:val="28"/>
                <w:szCs w:val="28"/>
                <w:highlight w:val="none"/>
              </w:rPr>
              <w:t>落实本市可再生能源替代方案，新增能源消费优先由可再生能源提供，可再生能源消费占比持续提升</w:t>
            </w:r>
            <w:r>
              <w:rPr>
                <w:rFonts w:hint="eastAsia"/>
                <w:color w:val="auto"/>
                <w:sz w:val="28"/>
                <w:szCs w:val="28"/>
                <w:highlight w:val="none"/>
                <w:lang w:eastAsia="zh-CN"/>
              </w:rPr>
              <w:t>并</w:t>
            </w:r>
            <w:r>
              <w:rPr>
                <w:rFonts w:hint="eastAsia"/>
                <w:color w:val="auto"/>
                <w:sz w:val="28"/>
                <w:szCs w:val="28"/>
                <w:highlight w:val="none"/>
                <w:lang w:val="en-US" w:eastAsia="zh-CN"/>
              </w:rPr>
              <w:t>达到市级部门要求</w:t>
            </w:r>
            <w:r>
              <w:rPr>
                <w:rFonts w:hint="eastAsia"/>
                <w:color w:val="auto"/>
                <w:sz w:val="28"/>
                <w:szCs w:val="28"/>
                <w:highlight w:val="none"/>
              </w:rPr>
              <w:t>。</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推动可再生能源规模化利用，大力发展本地热泵、光伏系统，科学开发利用中深层地热供暖，</w:t>
            </w:r>
            <w:r>
              <w:rPr>
                <w:rFonts w:hint="eastAsia"/>
                <w:color w:val="auto"/>
                <w:kern w:val="0"/>
                <w:sz w:val="28"/>
                <w:szCs w:val="28"/>
                <w:highlight w:val="none"/>
                <w:lang w:eastAsia="zh-CN"/>
              </w:rPr>
              <w:t>配合市级部门研究完善</w:t>
            </w:r>
            <w:r>
              <w:rPr>
                <w:rFonts w:hint="eastAsia" w:ascii="仿宋_GB2312" w:hAnsi="仿宋_GB2312" w:eastAsia="仿宋_GB2312" w:cs="仿宋_GB2312"/>
                <w:color w:val="auto"/>
                <w:kern w:val="0"/>
                <w:sz w:val="28"/>
                <w:szCs w:val="28"/>
                <w:highlight w:val="none"/>
              </w:rPr>
              <w:t>地热</w:t>
            </w:r>
            <w:r>
              <w:rPr>
                <w:rFonts w:hint="eastAsia" w:ascii="仿宋_GB2312" w:hAnsi="仿宋_GB2312" w:eastAsia="仿宋_GB2312" w:cs="仿宋_GB2312"/>
                <w:color w:val="auto"/>
                <w:kern w:val="0"/>
                <w:sz w:val="28"/>
                <w:szCs w:val="28"/>
                <w:highlight w:val="none"/>
                <w:lang w:eastAsia="zh-CN"/>
              </w:rPr>
              <w:t>水资源</w:t>
            </w:r>
            <w:r>
              <w:rPr>
                <w:rFonts w:hint="eastAsia" w:ascii="仿宋_GB2312" w:hAnsi="仿宋_GB2312" w:eastAsia="仿宋_GB2312" w:cs="仿宋_GB2312"/>
                <w:color w:val="auto"/>
                <w:kern w:val="0"/>
                <w:sz w:val="28"/>
                <w:szCs w:val="28"/>
                <w:highlight w:val="none"/>
              </w:rPr>
              <w:t>开发</w:t>
            </w:r>
            <w:r>
              <w:rPr>
                <w:rFonts w:hint="eastAsia" w:ascii="仿宋_GB2312" w:hAnsi="仿宋_GB2312" w:eastAsia="仿宋_GB2312" w:cs="仿宋_GB2312"/>
                <w:color w:val="auto"/>
                <w:kern w:val="0"/>
                <w:sz w:val="28"/>
                <w:szCs w:val="28"/>
                <w:highlight w:val="none"/>
                <w:lang w:eastAsia="zh-CN"/>
              </w:rPr>
              <w:t>与保护</w:t>
            </w:r>
            <w:r>
              <w:rPr>
                <w:rFonts w:hint="eastAsia" w:ascii="仿宋_GB2312" w:hAnsi="仿宋_GB2312" w:eastAsia="仿宋_GB2312" w:cs="仿宋_GB2312"/>
                <w:color w:val="auto"/>
                <w:kern w:val="0"/>
                <w:sz w:val="28"/>
                <w:szCs w:val="28"/>
                <w:highlight w:val="none"/>
              </w:rPr>
              <w:t>机制。</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sz w:val="28"/>
                <w:szCs w:val="28"/>
                <w:highlight w:val="none"/>
                <w:lang w:val="en-US" w:eastAsia="zh-CN"/>
              </w:rPr>
            </w:pPr>
            <w:r>
              <w:rPr>
                <w:rFonts w:hint="eastAsia"/>
                <w:color w:val="auto"/>
                <w:sz w:val="28"/>
                <w:szCs w:val="28"/>
                <w:highlight w:val="none"/>
              </w:rPr>
              <w:t>天然气消费规模控制在</w:t>
            </w:r>
            <w:r>
              <w:rPr>
                <w:rFonts w:hint="eastAsia"/>
                <w:color w:val="auto"/>
                <w:sz w:val="28"/>
                <w:szCs w:val="28"/>
                <w:highlight w:val="none"/>
                <w:lang w:val="en-US" w:eastAsia="zh-CN"/>
              </w:rPr>
              <w:t>2.08</w:t>
            </w:r>
            <w:r>
              <w:rPr>
                <w:rFonts w:hint="eastAsia"/>
                <w:color w:val="auto"/>
                <w:sz w:val="28"/>
                <w:szCs w:val="28"/>
                <w:highlight w:val="none"/>
              </w:rPr>
              <w:t>亿立方米左右。</w:t>
            </w:r>
            <w:r>
              <w:rPr>
                <w:rFonts w:hint="eastAsia"/>
                <w:color w:val="auto"/>
                <w:sz w:val="28"/>
                <w:szCs w:val="28"/>
                <w:highlight w:val="none"/>
                <w:lang w:eastAsia="zh-CN"/>
              </w:rPr>
              <w:t>探索市场化绿电交易，</w:t>
            </w:r>
            <w:r>
              <w:rPr>
                <w:rFonts w:hint="eastAsia"/>
                <w:color w:val="auto"/>
                <w:sz w:val="28"/>
                <w:szCs w:val="28"/>
                <w:highlight w:val="none"/>
              </w:rPr>
              <w:t>提高绿色电力应用规模</w:t>
            </w:r>
            <w:r>
              <w:rPr>
                <w:rFonts w:hint="eastAsia"/>
                <w:color w:val="auto"/>
                <w:sz w:val="28"/>
                <w:szCs w:val="28"/>
                <w:highlight w:val="none"/>
                <w:lang w:eastAsia="zh-CN"/>
              </w:rPr>
              <w:t>。</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autoSpaceDE w:val="0"/>
              <w:snapToGrid w:val="0"/>
              <w:jc w:val="center"/>
              <w:rPr>
                <w:rFonts w:hint="eastAsia" w:ascii="仿宋_GB2312"/>
                <w:color w:val="auto"/>
                <w:kern w:val="0"/>
                <w:sz w:val="28"/>
                <w:szCs w:val="28"/>
                <w:highlight w:val="none"/>
                <w:lang w:val="en-US" w:eastAsia="zh-CN"/>
              </w:rPr>
            </w:pPr>
            <w:r>
              <w:rPr>
                <w:rFonts w:hint="eastAsia" w:ascii="仿宋_GB2312"/>
                <w:color w:val="auto"/>
                <w:kern w:val="0"/>
                <w:sz w:val="28"/>
                <w:szCs w:val="28"/>
                <w:highlight w:val="none"/>
                <w:lang w:val="en-US" w:eastAsia="zh-CN"/>
              </w:rPr>
              <w:t>区发改委</w:t>
            </w:r>
          </w:p>
          <w:p>
            <w:pPr>
              <w:widowControl/>
              <w:snapToGrid w:val="0"/>
              <w:jc w:val="center"/>
              <w:rPr>
                <w:rFonts w:hint="default"/>
                <w:color w:val="auto"/>
                <w:highlight w:val="none"/>
                <w:lang w:val="en-US" w:eastAsia="zh-CN"/>
              </w:rPr>
            </w:pPr>
            <w:r>
              <w:rPr>
                <w:rFonts w:hint="eastAsia"/>
                <w:color w:val="auto"/>
                <w:sz w:val="28"/>
                <w:szCs w:val="28"/>
                <w:highlight w:val="none"/>
                <w:lang w:eastAsia="zh-CN"/>
              </w:rPr>
              <w:t>区城管委</w:t>
            </w:r>
          </w:p>
        </w:tc>
        <w:tc>
          <w:tcPr>
            <w:tcW w:w="2309" w:type="dxa"/>
            <w:gridSpan w:val="4"/>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区城管委</w:t>
            </w:r>
          </w:p>
          <w:p>
            <w:pPr>
              <w:widowControl/>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区发改委</w:t>
            </w:r>
          </w:p>
          <w:p>
            <w:pPr>
              <w:spacing w:line="400" w:lineRule="exact"/>
              <w:jc w:val="center"/>
              <w:outlineLvl w:val="9"/>
              <w:rPr>
                <w:rFonts w:hint="eastAsia"/>
                <w:color w:val="auto"/>
                <w:sz w:val="28"/>
                <w:szCs w:val="28"/>
                <w:highlight w:val="none"/>
                <w:lang w:eastAsia="zh-CN"/>
              </w:rPr>
            </w:pPr>
            <w:r>
              <w:rPr>
                <w:rFonts w:hint="eastAsia" w:ascii="仿宋_GB2312"/>
                <w:color w:val="auto"/>
                <w:sz w:val="28"/>
                <w:szCs w:val="28"/>
                <w:highlight w:val="none"/>
                <w:lang w:eastAsia="zh-CN"/>
              </w:rPr>
              <w:t>区规自分局</w:t>
            </w:r>
          </w:p>
          <w:p>
            <w:pPr>
              <w:widowControl/>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国家电网密云供电公司</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widowControl/>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widowControl/>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widowControl/>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kern w:val="0"/>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3"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7</w:t>
            </w:r>
          </w:p>
        </w:tc>
        <w:tc>
          <w:tcPr>
            <w:tcW w:w="914" w:type="dxa"/>
            <w:tcBorders>
              <w:top w:val="single" w:color="auto" w:sz="4" w:space="0"/>
              <w:left w:val="nil"/>
              <w:bottom w:val="single" w:color="auto" w:sz="4" w:space="0"/>
              <w:right w:val="single" w:color="auto" w:sz="4" w:space="0"/>
            </w:tcBorders>
            <w:vAlign w:val="center"/>
          </w:tcPr>
          <w:p>
            <w:pPr>
              <w:spacing w:line="320" w:lineRule="exact"/>
              <w:jc w:val="lef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构建绿色低碳产业体系</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推进传统行业的低碳化改造，依托工艺更新、重大节能装备等手段</w:t>
            </w:r>
            <w:r>
              <w:rPr>
                <w:rFonts w:ascii="仿宋_GB2312" w:eastAsia="仿宋_GB2312"/>
                <w:color w:val="auto"/>
                <w:kern w:val="0"/>
                <w:sz w:val="28"/>
                <w:szCs w:val="28"/>
                <w:highlight w:val="none"/>
                <w:lang w:val="en"/>
              </w:rPr>
              <w:t>,</w:t>
            </w:r>
            <w:r>
              <w:rPr>
                <w:rFonts w:hint="eastAsia" w:ascii="仿宋_GB2312" w:eastAsia="仿宋_GB2312"/>
                <w:color w:val="auto"/>
                <w:kern w:val="0"/>
                <w:sz w:val="28"/>
                <w:szCs w:val="28"/>
                <w:highlight w:val="none"/>
              </w:rPr>
              <w:t>推动汽车、医药等行业进行全生命周期绿色低碳化发展。</w:t>
            </w:r>
          </w:p>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落实数据中心减碳要求，强化数据中心绿色技术应用和改造，推进氢能、液体冷却、可再生能源等应用。鼓励数据中心采用余热回收利用措施为周边建筑提供热源。</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区经信局</w:t>
            </w:r>
          </w:p>
          <w:p>
            <w:pPr>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区发改委</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区经信局</w:t>
            </w:r>
          </w:p>
          <w:p>
            <w:pPr>
              <w:widowControl/>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区发改委</w:t>
            </w:r>
          </w:p>
          <w:p>
            <w:pPr>
              <w:widowControl/>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区科委</w:t>
            </w:r>
          </w:p>
          <w:p>
            <w:pPr>
              <w:widowControl/>
              <w:autoSpaceDE w:val="0"/>
              <w:snapToGrid w:val="0"/>
              <w:jc w:val="center"/>
              <w:rPr>
                <w:rFonts w:hint="eastAsia" w:ascii="仿宋_GB2312" w:eastAsia="仿宋_GB2312"/>
                <w:color w:val="auto"/>
                <w:spacing w:val="0"/>
                <w:kern w:val="0"/>
                <w:sz w:val="28"/>
                <w:szCs w:val="28"/>
                <w:highlight w:val="none"/>
                <w:lang w:eastAsia="zh-CN"/>
              </w:rPr>
            </w:pPr>
            <w:r>
              <w:rPr>
                <w:rFonts w:hint="eastAsia" w:ascii="仿宋_GB2312" w:eastAsia="仿宋_GB2312"/>
                <w:color w:val="auto"/>
                <w:spacing w:val="0"/>
                <w:kern w:val="0"/>
                <w:sz w:val="28"/>
                <w:szCs w:val="28"/>
                <w:highlight w:val="none"/>
                <w:lang w:eastAsia="zh-CN"/>
              </w:rPr>
              <w:t>区国资委</w:t>
            </w:r>
          </w:p>
          <w:p>
            <w:pPr>
              <w:widowControl/>
              <w:autoSpaceDE w:val="0"/>
              <w:snapToGrid w:val="0"/>
              <w:jc w:val="center"/>
              <w:rPr>
                <w:rFonts w:hint="eastAsia" w:ascii="仿宋_GB2312" w:eastAsia="仿宋_GB2312"/>
                <w:color w:val="auto"/>
                <w:spacing w:val="0"/>
                <w:kern w:val="0"/>
                <w:sz w:val="28"/>
                <w:szCs w:val="28"/>
                <w:highlight w:val="none"/>
                <w:lang w:eastAsia="zh-CN"/>
              </w:rPr>
            </w:pPr>
            <w:r>
              <w:rPr>
                <w:rFonts w:hint="eastAsia"/>
                <w:color w:val="auto"/>
                <w:spacing w:val="0"/>
                <w:kern w:val="0"/>
                <w:sz w:val="28"/>
                <w:szCs w:val="28"/>
                <w:highlight w:val="none"/>
                <w:lang w:eastAsia="zh-CN"/>
              </w:rPr>
              <w:t>区城管委</w:t>
            </w:r>
          </w:p>
          <w:p>
            <w:pPr>
              <w:widowControl/>
              <w:snapToGrid w:val="0"/>
              <w:jc w:val="center"/>
              <w:rPr>
                <w:rFonts w:hint="eastAsia"/>
                <w:color w:val="auto"/>
                <w:sz w:val="28"/>
                <w:szCs w:val="28"/>
                <w:highlight w:val="none"/>
                <w:lang w:eastAsia="zh-CN"/>
              </w:rPr>
            </w:pPr>
            <w:r>
              <w:rPr>
                <w:rFonts w:hint="eastAsia"/>
                <w:color w:val="auto"/>
                <w:sz w:val="28"/>
                <w:szCs w:val="28"/>
                <w:highlight w:val="none"/>
                <w:lang w:eastAsia="zh-CN"/>
              </w:rPr>
              <w:t>区市场监管局</w:t>
            </w:r>
          </w:p>
          <w:p>
            <w:pPr>
              <w:widowControl/>
              <w:snapToGrid w:val="0"/>
              <w:jc w:val="center"/>
              <w:rPr>
                <w:rFonts w:hint="eastAsia"/>
                <w:color w:val="auto"/>
                <w:sz w:val="28"/>
                <w:szCs w:val="28"/>
                <w:highlight w:val="none"/>
                <w:lang w:eastAsia="zh-CN"/>
              </w:rPr>
            </w:pPr>
            <w:r>
              <w:rPr>
                <w:rFonts w:hint="eastAsia"/>
                <w:color w:val="auto"/>
                <w:sz w:val="28"/>
                <w:szCs w:val="28"/>
                <w:highlight w:val="none"/>
                <w:lang w:eastAsia="zh-CN"/>
              </w:rPr>
              <w:t>区生态环境局</w:t>
            </w:r>
          </w:p>
          <w:p>
            <w:pPr>
              <w:widowControl/>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pacing w:val="0"/>
                <w:kern w:val="0"/>
                <w:sz w:val="28"/>
                <w:szCs w:val="28"/>
                <w:highlight w:val="none"/>
                <w:lang w:eastAsia="zh-CN"/>
              </w:rPr>
              <w:t>中关村密云园</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jc w:val="center"/>
        </w:trPr>
        <w:tc>
          <w:tcPr>
            <w:tcW w:w="622"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8</w:t>
            </w:r>
          </w:p>
        </w:tc>
        <w:tc>
          <w:tcPr>
            <w:tcW w:w="914" w:type="dxa"/>
            <w:vMerge w:val="restart"/>
            <w:tcBorders>
              <w:top w:val="single" w:color="auto" w:sz="4" w:space="0"/>
              <w:left w:val="nil"/>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大力发展循环经济</w:t>
            </w:r>
          </w:p>
        </w:tc>
        <w:tc>
          <w:tcPr>
            <w:tcW w:w="5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推动园区开展绿色低碳循环化改造升级，强化园区资源梯级利用和系统优化。</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74" w:hRule="atLeast"/>
          <w:jc w:val="center"/>
        </w:trPr>
        <w:tc>
          <w:tcPr>
            <w:tcW w:w="622" w:type="dxa"/>
            <w:vMerge w:val="continue"/>
            <w:tcBorders>
              <w:left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推进城市废弃物低碳协同处置，提升资源综合利用能力，提高再生资源回收率，加强建筑垃圾源头减量和分类回收，生活垃圾资源化利用率提升至</w:t>
            </w:r>
            <w:r>
              <w:rPr>
                <w:rFonts w:hint="eastAsia" w:ascii="仿宋_GB2312" w:eastAsia="仿宋_GB2312"/>
                <w:color w:val="auto"/>
                <w:kern w:val="0"/>
                <w:sz w:val="28"/>
                <w:szCs w:val="28"/>
                <w:highlight w:val="none"/>
                <w:lang w:val="en-US" w:eastAsia="zh-CN"/>
              </w:rPr>
              <w:t>78</w:t>
            </w:r>
            <w:r>
              <w:rPr>
                <w:rFonts w:hint="eastAsia" w:ascii="仿宋_GB2312" w:eastAsia="仿宋_GB2312"/>
                <w:color w:val="auto"/>
                <w:kern w:val="0"/>
                <w:sz w:val="28"/>
                <w:szCs w:val="28"/>
                <w:highlight w:val="none"/>
              </w:rPr>
              <w:t>%</w:t>
            </w:r>
            <w:r>
              <w:rPr>
                <w:rFonts w:hint="eastAsia" w:ascii="仿宋_GB2312" w:eastAsia="仿宋_GB2312"/>
                <w:color w:val="auto"/>
                <w:kern w:val="0"/>
                <w:sz w:val="28"/>
                <w:szCs w:val="28"/>
                <w:highlight w:val="none"/>
                <w:lang w:eastAsia="zh-CN"/>
              </w:rPr>
              <w:t>及</w:t>
            </w:r>
            <w:r>
              <w:rPr>
                <w:rFonts w:hint="eastAsia" w:ascii="仿宋_GB2312" w:eastAsia="仿宋_GB2312"/>
                <w:color w:val="auto"/>
                <w:kern w:val="0"/>
                <w:sz w:val="28"/>
                <w:szCs w:val="28"/>
                <w:highlight w:val="none"/>
              </w:rPr>
              <w:t>以上。</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2271" w:type="dxa"/>
            <w:gridSpan w:val="2"/>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301" w:type="dxa"/>
            <w:gridSpan w:val="3"/>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0" w:hRule="atLeast"/>
          <w:jc w:val="center"/>
        </w:trPr>
        <w:tc>
          <w:tcPr>
            <w:tcW w:w="62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构建资源循环型产业体系，全面推行绿色设计和清洁生产。</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widowControl w:val="0"/>
              <w:autoSpaceDE w:val="0"/>
              <w:snapToGrid w:val="0"/>
              <w:jc w:val="center"/>
              <w:rPr>
                <w:rFonts w:hint="eastAsia" w:ascii="仿宋_GB2312" w:eastAsia="仿宋_GB2312"/>
                <w:color w:val="auto"/>
                <w:kern w:val="0"/>
                <w:sz w:val="28"/>
                <w:szCs w:val="28"/>
                <w:highlight w:val="none"/>
                <w:lang w:val="en-US" w:eastAsia="zh-CN"/>
              </w:rPr>
            </w:pPr>
            <w:r>
              <w:rPr>
                <w:rFonts w:hint="eastAsia"/>
                <w:color w:val="auto"/>
                <w:kern w:val="0"/>
                <w:sz w:val="28"/>
                <w:szCs w:val="28"/>
                <w:highlight w:val="none"/>
                <w:lang w:val="en-US" w:eastAsia="zh-CN"/>
              </w:rPr>
              <w:t>区生态环境局</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widowControl w:val="0"/>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区经信局</w:t>
            </w:r>
          </w:p>
          <w:p>
            <w:pPr>
              <w:widowControl w:val="0"/>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区发改委</w:t>
            </w:r>
          </w:p>
          <w:p>
            <w:pPr>
              <w:snapToGrid w:val="0"/>
              <w:jc w:val="center"/>
              <w:rPr>
                <w:rFonts w:hint="default"/>
                <w:color w:val="auto"/>
                <w:highlight w:val="none"/>
                <w:lang w:val="en-US" w:eastAsia="zh-CN"/>
              </w:rPr>
            </w:pPr>
            <w:r>
              <w:rPr>
                <w:rFonts w:hint="eastAsia" w:ascii="仿宋_GB2312"/>
                <w:color w:val="auto"/>
                <w:kern w:val="0"/>
                <w:sz w:val="28"/>
                <w:szCs w:val="28"/>
                <w:highlight w:val="none"/>
                <w:lang w:val="en-US" w:eastAsia="zh-CN"/>
              </w:rPr>
              <w:t>区生态环境局</w:t>
            </w:r>
          </w:p>
        </w:tc>
        <w:tc>
          <w:tcPr>
            <w:tcW w:w="2217" w:type="dxa"/>
            <w:tcBorders>
              <w:top w:val="single" w:color="auto" w:sz="4" w:space="0"/>
              <w:left w:val="nil"/>
              <w:bottom w:val="single" w:color="auto" w:sz="4" w:space="0"/>
              <w:right w:val="single" w:color="auto" w:sz="4" w:space="0"/>
            </w:tcBorders>
            <w:vAlign w:val="center"/>
          </w:tcPr>
          <w:p>
            <w:pPr>
              <w:widowControl/>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val="en-US" w:eastAsia="zh-CN"/>
              </w:rPr>
              <w:t>9</w:t>
            </w:r>
          </w:p>
        </w:tc>
        <w:tc>
          <w:tcPr>
            <w:tcW w:w="914" w:type="dxa"/>
            <w:tcBorders>
              <w:top w:val="single" w:color="auto" w:sz="4" w:space="0"/>
              <w:left w:val="nil"/>
              <w:bottom w:val="single" w:color="auto" w:sz="4" w:space="0"/>
              <w:right w:val="single" w:color="auto" w:sz="4" w:space="0"/>
            </w:tcBorders>
            <w:vAlign w:val="center"/>
          </w:tcPr>
          <w:p>
            <w:pPr>
              <w:spacing w:line="320" w:lineRule="exact"/>
              <w:jc w:val="lef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推进建筑领域低碳化</w:t>
            </w:r>
          </w:p>
        </w:tc>
        <w:tc>
          <w:tcPr>
            <w:tcW w:w="5880" w:type="dxa"/>
            <w:tcBorders>
              <w:top w:val="single" w:color="auto" w:sz="4" w:space="0"/>
              <w:left w:val="nil"/>
              <w:bottom w:val="single" w:color="auto" w:sz="4" w:space="0"/>
              <w:right w:val="single" w:color="auto" w:sz="4" w:space="0"/>
            </w:tcBorders>
            <w:vAlign w:val="center"/>
          </w:tcPr>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新建政府投资和公共建筑执行绿色建筑二星级及以上标准。</w:t>
            </w:r>
          </w:p>
          <w:p>
            <w:pPr>
              <w:snapToGrid w:val="0"/>
              <w:spacing w:line="340" w:lineRule="exact"/>
              <w:rPr>
                <w:rFonts w:hint="eastAsia" w:ascii="仿宋_GB2312" w:eastAsia="仿宋_GB2312"/>
                <w:b/>
                <w:bCs/>
                <w:color w:val="auto"/>
                <w:kern w:val="0"/>
                <w:sz w:val="28"/>
                <w:szCs w:val="28"/>
                <w:highlight w:val="none"/>
                <w:lang w:eastAsia="zh-CN"/>
              </w:rPr>
            </w:pPr>
            <w:r>
              <w:rPr>
                <w:rFonts w:hint="eastAsia" w:ascii="仿宋_GB2312" w:eastAsia="仿宋_GB2312"/>
                <w:color w:val="auto"/>
                <w:kern w:val="0"/>
                <w:sz w:val="28"/>
                <w:szCs w:val="28"/>
                <w:highlight w:val="none"/>
              </w:rPr>
              <w:t>大力推广超低能耗建筑，新增超低能耗建筑面积持续增长。非节能公共建筑节能绿色改造</w:t>
            </w:r>
            <w:r>
              <w:rPr>
                <w:rFonts w:hint="eastAsia"/>
                <w:color w:val="auto"/>
                <w:kern w:val="0"/>
                <w:sz w:val="28"/>
                <w:szCs w:val="28"/>
                <w:highlight w:val="none"/>
                <w:lang w:val="en-US" w:eastAsia="zh-CN"/>
              </w:rPr>
              <w:t>面积达到市级要求</w:t>
            </w:r>
            <w:r>
              <w:rPr>
                <w:rFonts w:hint="eastAsia" w:ascii="仿宋_GB2312" w:eastAsia="仿宋_GB2312"/>
                <w:color w:val="auto"/>
                <w:kern w:val="0"/>
                <w:sz w:val="28"/>
                <w:szCs w:val="28"/>
                <w:highlight w:val="none"/>
              </w:rPr>
              <w:t>、装配式建筑占新建建筑面积的比例达到45%，建筑领域碳排放持续下降。</w:t>
            </w:r>
          </w:p>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推广绿色低碳建材以及太阳能光伏、光热和热泵技术应用，开展产能建筑试点，建立既有建筑绿色改造长效机制。</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widowControl/>
              <w:autoSpaceDE w:val="0"/>
              <w:snapToGrid w:val="0"/>
              <w:jc w:val="center"/>
              <w:rPr>
                <w:rFonts w:hint="eastAsia" w:ascii="仿宋_GB2312" w:eastAsia="仿宋_GB2312"/>
                <w:color w:val="auto"/>
                <w:spacing w:val="-24"/>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tc>
        <w:tc>
          <w:tcPr>
            <w:tcW w:w="2309" w:type="dxa"/>
            <w:gridSpan w:val="4"/>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区住建委</w:t>
            </w:r>
          </w:p>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eastAsia="zh-CN"/>
              </w:rPr>
              <w:t>区发改委</w:t>
            </w:r>
          </w:p>
          <w:p>
            <w:pPr>
              <w:autoSpaceDE w:val="0"/>
              <w:snapToGrid w:val="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eastAsia="zh-CN"/>
              </w:rPr>
              <w:t>区规自分局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7"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spacing w:line="32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10</w:t>
            </w:r>
          </w:p>
        </w:tc>
        <w:tc>
          <w:tcPr>
            <w:tcW w:w="914" w:type="dxa"/>
            <w:vMerge w:val="restart"/>
            <w:tcBorders>
              <w:top w:val="nil"/>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创建绿色智能供热体系</w:t>
            </w:r>
          </w:p>
        </w:tc>
        <w:tc>
          <w:tcPr>
            <w:tcW w:w="5880" w:type="dxa"/>
            <w:tcBorders>
              <w:top w:val="single" w:color="auto" w:sz="4" w:space="0"/>
              <w:left w:val="nil"/>
              <w:bottom w:val="single" w:color="auto" w:sz="4" w:space="0"/>
              <w:right w:val="single" w:color="auto" w:sz="4" w:space="0"/>
            </w:tcBorders>
            <w:vAlign w:val="center"/>
          </w:tcPr>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分步骤实施供热系统重构，全面布局新能源和可再生能源分布式供热，禁止新建和扩建燃气独立供暖系统，全</w:t>
            </w: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单位建筑面积供热能耗下降</w:t>
            </w:r>
            <w:r>
              <w:rPr>
                <w:rFonts w:hint="eastAsia"/>
                <w:color w:val="auto"/>
                <w:kern w:val="0"/>
                <w:sz w:val="28"/>
                <w:szCs w:val="28"/>
                <w:highlight w:val="none"/>
                <w:lang w:val="en-US" w:eastAsia="zh-CN"/>
              </w:rPr>
              <w:t>达到市级要求</w:t>
            </w:r>
            <w:r>
              <w:rPr>
                <w:rFonts w:hint="eastAsia" w:ascii="仿宋_GB2312" w:eastAsia="仿宋_GB2312"/>
                <w:color w:val="auto"/>
                <w:kern w:val="0"/>
                <w:sz w:val="28"/>
                <w:szCs w:val="28"/>
                <w:highlight w:val="none"/>
              </w:rPr>
              <w:t>。建立再生水源热泵、地源热泵和余热回收等绿色低碳热源结构，大力推进供热系统节能改造。</w:t>
            </w:r>
          </w:p>
          <w:p>
            <w:pPr>
              <w:snapToGrid w:val="0"/>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按市级部署，</w:t>
            </w:r>
            <w:r>
              <w:rPr>
                <w:rFonts w:hint="eastAsia" w:ascii="仿宋_GB2312" w:eastAsia="仿宋_GB2312"/>
                <w:color w:val="auto"/>
                <w:kern w:val="0"/>
                <w:sz w:val="28"/>
                <w:szCs w:val="28"/>
                <w:highlight w:val="none"/>
              </w:rPr>
              <w:t>统筹实施供热智能化控制、热网系统重组等，有序推进散小热源整合联网及新能源和可再生能源耦合供热替代，优化热电联产热源布局。</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区城管委</w:t>
            </w:r>
          </w:p>
          <w:p>
            <w:pPr>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区发改委</w:t>
            </w:r>
          </w:p>
          <w:p>
            <w:pPr>
              <w:snapToGrid w:val="0"/>
              <w:jc w:val="center"/>
              <w:rPr>
                <w:rFonts w:hint="eastAsia"/>
                <w:color w:val="auto"/>
                <w:highlight w:val="none"/>
                <w:lang w:eastAsia="zh-CN"/>
              </w:rPr>
            </w:pPr>
            <w:r>
              <w:rPr>
                <w:rFonts w:hint="eastAsia" w:ascii="仿宋_GB2312"/>
                <w:color w:val="auto"/>
                <w:sz w:val="28"/>
                <w:szCs w:val="28"/>
                <w:highlight w:val="none"/>
                <w:lang w:eastAsia="zh-CN"/>
              </w:rPr>
              <w:t>区水务局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60"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napToGrid w:val="0"/>
              <w:spacing w:line="340" w:lineRule="exact"/>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新建建筑供暖采用电力、可再生能源等多能耦合供热占比不低于60%。推进既有燃气供热系统“零碳”改造示范。完成</w:t>
            </w:r>
            <w:r>
              <w:rPr>
                <w:rFonts w:hint="eastAsia"/>
                <w:color w:val="auto"/>
                <w:kern w:val="0"/>
                <w:sz w:val="28"/>
                <w:szCs w:val="28"/>
                <w:highlight w:val="none"/>
                <w:lang w:val="en-US" w:eastAsia="zh-CN"/>
              </w:rPr>
              <w:t>5</w:t>
            </w:r>
            <w:r>
              <w:rPr>
                <w:rFonts w:hint="eastAsia" w:ascii="仿宋_GB2312" w:eastAsia="仿宋_GB2312"/>
                <w:color w:val="auto"/>
                <w:kern w:val="0"/>
                <w:sz w:val="28"/>
                <w:szCs w:val="28"/>
                <w:highlight w:val="none"/>
              </w:rPr>
              <w:t>万平方米既有建筑智能化供热改造，</w:t>
            </w:r>
            <w:r>
              <w:rPr>
                <w:rFonts w:hint="eastAsia" w:ascii="仿宋_GB2312" w:hAnsi="仿宋_GB2312" w:eastAsia="仿宋_GB2312" w:cs="仿宋_GB2312"/>
                <w:color w:val="auto"/>
                <w:sz w:val="28"/>
                <w:szCs w:val="28"/>
                <w:highlight w:val="none"/>
              </w:rPr>
              <w:t>大力推动可再生能源供热规模化应用，</w:t>
            </w:r>
            <w:r>
              <w:rPr>
                <w:rFonts w:hint="eastAsia" w:ascii="仿宋_GB2312" w:eastAsia="仿宋_GB2312"/>
                <w:color w:val="auto"/>
                <w:kern w:val="0"/>
                <w:sz w:val="28"/>
                <w:szCs w:val="28"/>
                <w:highlight w:val="none"/>
              </w:rPr>
              <w:t>新增再生能源供热面积持续增长。</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区规自分局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6" w:hRule="atLeast"/>
          <w:jc w:val="center"/>
        </w:trPr>
        <w:tc>
          <w:tcPr>
            <w:tcW w:w="622" w:type="dxa"/>
            <w:tcBorders>
              <w:top w:val="nil"/>
              <w:left w:val="single" w:color="auto" w:sz="4" w:space="0"/>
              <w:bottom w:val="single" w:color="auto" w:sz="4" w:space="0"/>
              <w:right w:val="single" w:color="auto" w:sz="4" w:space="0"/>
            </w:tcBorders>
            <w:vAlign w:val="center"/>
          </w:tcPr>
          <w:p>
            <w:pPr>
              <w:spacing w:line="32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11</w:t>
            </w:r>
          </w:p>
        </w:tc>
        <w:tc>
          <w:tcPr>
            <w:tcW w:w="914" w:type="dxa"/>
            <w:tcBorders>
              <w:top w:val="nil"/>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加强城市绿色交通体系建设</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lang w:val="en-US" w:eastAsia="zh-CN" w:bidi="ar-SA"/>
              </w:rPr>
            </w:pPr>
            <w:r>
              <w:rPr>
                <w:rFonts w:hint="eastAsia" w:ascii="仿宋_GB2312" w:eastAsia="仿宋_GB2312"/>
                <w:color w:val="auto"/>
                <w:kern w:val="0"/>
                <w:sz w:val="28"/>
                <w:szCs w:val="28"/>
                <w:highlight w:val="none"/>
              </w:rPr>
              <w:t>扎实推进慢行优先、公交优先、绿色优先</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大力推进机动车</w:t>
            </w:r>
            <w:r>
              <w:rPr>
                <w:rFonts w:hint="eastAsia" w:eastAsia="仿宋_GB2312"/>
                <w:color w:val="auto"/>
                <w:kern w:val="0"/>
                <w:sz w:val="28"/>
                <w:szCs w:val="28"/>
                <w:highlight w:val="none"/>
              </w:rPr>
              <w:t>“</w:t>
            </w:r>
            <w:r>
              <w:rPr>
                <w:rFonts w:hint="eastAsia" w:ascii="仿宋_GB2312" w:eastAsia="仿宋_GB2312"/>
                <w:color w:val="auto"/>
                <w:kern w:val="0"/>
                <w:sz w:val="28"/>
                <w:szCs w:val="28"/>
                <w:highlight w:val="none"/>
              </w:rPr>
              <w:t>油换电</w:t>
            </w:r>
            <w:r>
              <w:rPr>
                <w:rFonts w:hint="eastAsia" w:eastAsia="仿宋_GB2312"/>
                <w:color w:val="auto"/>
                <w:kern w:val="0"/>
                <w:sz w:val="28"/>
                <w:szCs w:val="28"/>
                <w:highlight w:val="none"/>
              </w:rPr>
              <w:t>”</w:t>
            </w:r>
            <w:r>
              <w:rPr>
                <w:rFonts w:hint="eastAsia" w:ascii="仿宋_GB2312" w:eastAsia="仿宋_GB2312"/>
                <w:color w:val="auto"/>
                <w:kern w:val="0"/>
                <w:sz w:val="28"/>
                <w:szCs w:val="28"/>
                <w:highlight w:val="none"/>
              </w:rPr>
              <w:t>和氢燃料汽车规模化应用、充换电设施和加氢站建设，公共领域用车电动化程度大幅提升。</w:t>
            </w:r>
          </w:p>
        </w:tc>
        <w:tc>
          <w:tcPr>
            <w:tcW w:w="1191" w:type="dxa"/>
            <w:tcBorders>
              <w:top w:val="single" w:color="auto" w:sz="4" w:space="0"/>
              <w:left w:val="nil"/>
              <w:bottom w:val="single" w:color="auto" w:sz="4" w:space="0"/>
              <w:right w:val="single" w:color="auto" w:sz="4" w:space="0"/>
            </w:tcBorders>
            <w:vAlign w:val="center"/>
          </w:tcPr>
          <w:p>
            <w:pPr>
              <w:spacing w:line="320" w:lineRule="exact"/>
              <w:jc w:val="center"/>
              <w:rPr>
                <w:rFonts w:hint="eastAsia" w:ascii="仿宋_GB2312" w:eastAsia="仿宋_GB2312"/>
                <w:color w:val="auto"/>
                <w:kern w:val="0"/>
                <w:sz w:val="28"/>
                <w:szCs w:val="28"/>
                <w:highlight w:val="none"/>
                <w:lang w:val="en-US" w:eastAsia="zh-CN" w:bidi="ar-SA"/>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区经信局</w:t>
            </w:r>
          </w:p>
          <w:p>
            <w:pPr>
              <w:autoSpaceDE w:val="0"/>
              <w:snapToGrid w:val="0"/>
              <w:jc w:val="center"/>
              <w:rPr>
                <w:rFonts w:hint="eastAsia"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区城管委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val="en-US" w:eastAsia="zh-CN" w:bidi="ar-SA"/>
              </w:rPr>
            </w:pPr>
            <w:r>
              <w:rPr>
                <w:rFonts w:hint="eastAsia" w:ascii="仿宋_GB2312" w:eastAsia="仿宋_GB2312"/>
                <w:color w:val="auto"/>
                <w:kern w:val="0"/>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00" w:hRule="atLeast"/>
          <w:jc w:val="center"/>
        </w:trPr>
        <w:tc>
          <w:tcPr>
            <w:tcW w:w="622" w:type="dxa"/>
            <w:vMerge w:val="restart"/>
            <w:tcBorders>
              <w:top w:val="nil"/>
              <w:left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12</w:t>
            </w:r>
          </w:p>
        </w:tc>
        <w:tc>
          <w:tcPr>
            <w:tcW w:w="914" w:type="dxa"/>
            <w:vMerge w:val="restart"/>
            <w:tcBorders>
              <w:top w:val="nil"/>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强化低碳试点示范</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开展2023年低碳试点</w:t>
            </w:r>
            <w:r>
              <w:rPr>
                <w:rFonts w:hint="eastAsia" w:ascii="仿宋_GB2312" w:eastAsia="仿宋_GB2312"/>
                <w:color w:val="auto"/>
                <w:kern w:val="0"/>
                <w:sz w:val="28"/>
                <w:szCs w:val="28"/>
                <w:highlight w:val="none"/>
                <w:lang w:eastAsia="zh-CN"/>
              </w:rPr>
              <w:t>申报</w:t>
            </w:r>
            <w:r>
              <w:rPr>
                <w:rFonts w:hint="eastAsia" w:ascii="仿宋_GB2312" w:eastAsia="仿宋_GB2312"/>
                <w:color w:val="auto"/>
                <w:kern w:val="0"/>
                <w:sz w:val="28"/>
                <w:szCs w:val="28"/>
                <w:highlight w:val="none"/>
              </w:rPr>
              <w:t>工作。</w:t>
            </w:r>
            <w:r>
              <w:rPr>
                <w:rFonts w:hint="eastAsia" w:ascii="仿宋_GB2312" w:eastAsia="仿宋_GB2312"/>
                <w:color w:val="auto"/>
                <w:kern w:val="0"/>
                <w:sz w:val="28"/>
                <w:szCs w:val="28"/>
                <w:highlight w:val="none"/>
                <w:lang w:eastAsia="zh-CN"/>
              </w:rPr>
              <w:t>继续开展区级碳排放单位减污降碳研究。</w:t>
            </w:r>
            <w:r>
              <w:rPr>
                <w:rFonts w:hint="eastAsia" w:ascii="仿宋_GB2312" w:eastAsia="仿宋_GB2312"/>
                <w:color w:val="auto"/>
                <w:kern w:val="0"/>
                <w:sz w:val="28"/>
                <w:szCs w:val="28"/>
                <w:highlight w:val="none"/>
              </w:rPr>
              <w:t>鼓励优先应用绿色低碳技术、集成应用多种技术，培育碳绩效领先的领跑者</w:t>
            </w:r>
            <w:r>
              <w:rPr>
                <w:rFonts w:hint="eastAsia"/>
                <w:color w:val="auto"/>
                <w:kern w:val="0"/>
                <w:sz w:val="28"/>
                <w:szCs w:val="28"/>
                <w:highlight w:val="none"/>
                <w:lang w:eastAsia="zh-CN"/>
              </w:rPr>
              <w:t>，推动建设一批智慧化绿色低碳的</w:t>
            </w:r>
            <w:r>
              <w:rPr>
                <w:rFonts w:hint="eastAsia" w:ascii="仿宋_GB2312" w:eastAsia="仿宋_GB2312"/>
                <w:color w:val="auto"/>
                <w:kern w:val="0"/>
                <w:sz w:val="28"/>
                <w:szCs w:val="28"/>
                <w:highlight w:val="none"/>
              </w:rPr>
              <w:t>气候友好型区域。</w:t>
            </w:r>
            <w:r>
              <w:rPr>
                <w:rFonts w:hint="eastAsia" w:ascii="仿宋_GB2312" w:eastAsia="仿宋_GB2312"/>
                <w:color w:val="auto"/>
                <w:kern w:val="0"/>
                <w:sz w:val="28"/>
                <w:szCs w:val="28"/>
                <w:highlight w:val="none"/>
                <w:lang w:eastAsia="zh-CN"/>
              </w:rPr>
              <w:t>推动低碳试点单位等领域低碳试点建设。</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spacing w:val="-23"/>
                <w:kern w:val="0"/>
                <w:sz w:val="28"/>
                <w:szCs w:val="28"/>
                <w:highlight w:val="none"/>
                <w:lang w:eastAsia="zh-CN"/>
              </w:rPr>
              <w:t>区发改委</w:t>
            </w:r>
            <w:r>
              <w:rPr>
                <w:rFonts w:hint="eastAsia"/>
                <w:color w:val="auto"/>
                <w:spacing w:val="-23"/>
                <w:kern w:val="0"/>
                <w:sz w:val="28"/>
                <w:szCs w:val="28"/>
                <w:highlight w:val="none"/>
                <w:lang w:eastAsia="zh-CN"/>
              </w:rPr>
              <w:t>（</w:t>
            </w:r>
            <w:r>
              <w:rPr>
                <w:rFonts w:hint="eastAsia"/>
                <w:color w:val="auto"/>
                <w:spacing w:val="-23"/>
                <w:kern w:val="0"/>
                <w:sz w:val="28"/>
                <w:szCs w:val="28"/>
                <w:highlight w:val="none"/>
                <w:lang w:val="en-US" w:eastAsia="zh-CN"/>
              </w:rPr>
              <w:t>金融办</w:t>
            </w:r>
            <w:r>
              <w:rPr>
                <w:rFonts w:hint="eastAsia"/>
                <w:color w:val="auto"/>
                <w:spacing w:val="-23"/>
                <w:kern w:val="0"/>
                <w:sz w:val="28"/>
                <w:szCs w:val="28"/>
                <w:highlight w:val="none"/>
                <w:lang w:eastAsia="zh-CN"/>
              </w:rPr>
              <w:t>）</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区财政局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color w:val="auto"/>
                <w:kern w:val="0"/>
                <w:sz w:val="28"/>
                <w:szCs w:val="28"/>
                <w:highlight w:val="none"/>
                <w:lang w:eastAsia="zh-CN"/>
              </w:rPr>
              <w:t>区城管委</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22" w:type="dxa"/>
            <w:vMerge w:val="continue"/>
            <w:tcBorders>
              <w:left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left w:val="nil"/>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编制《北京市密云区气候投融资试点行动计划（</w:t>
            </w:r>
            <w:r>
              <w:rPr>
                <w:rFonts w:hint="eastAsia" w:ascii="仿宋_GB2312" w:eastAsia="仿宋_GB2312"/>
                <w:color w:val="auto"/>
                <w:kern w:val="0"/>
                <w:sz w:val="28"/>
                <w:szCs w:val="28"/>
                <w:highlight w:val="none"/>
                <w:lang w:val="en-US" w:eastAsia="zh-CN"/>
              </w:rPr>
              <w:t>2023-2025年</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大力推进气候投融资试点建设。</w:t>
            </w:r>
            <w:r>
              <w:rPr>
                <w:rFonts w:hint="eastAsia" w:ascii="仿宋_GB2312" w:eastAsia="仿宋_GB2312"/>
                <w:color w:val="auto"/>
                <w:kern w:val="0"/>
                <w:sz w:val="28"/>
                <w:szCs w:val="28"/>
                <w:highlight w:val="none"/>
                <w:lang w:eastAsia="zh-CN"/>
              </w:rPr>
              <w:t>建设气候投融资项目库、低碳技术展示中心等项目。</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color w:val="auto"/>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color w:val="auto"/>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jc w:val="center"/>
        </w:trPr>
        <w:tc>
          <w:tcPr>
            <w:tcW w:w="622" w:type="dxa"/>
            <w:vMerge w:val="continue"/>
            <w:tcBorders>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金融管理部门建立联动机制，</w:t>
            </w:r>
            <w:r>
              <w:rPr>
                <w:rFonts w:hint="eastAsia" w:ascii="仿宋_GB2312" w:eastAsia="仿宋_GB2312"/>
                <w:color w:val="auto"/>
                <w:kern w:val="0"/>
                <w:sz w:val="28"/>
                <w:szCs w:val="28"/>
                <w:highlight w:val="none"/>
                <w:lang w:eastAsia="zh-CN"/>
              </w:rPr>
              <w:t>完善试点配套激励政策，强化模式和金融工具创新，</w:t>
            </w:r>
            <w:r>
              <w:rPr>
                <w:rFonts w:hint="eastAsia" w:ascii="仿宋_GB2312" w:eastAsia="仿宋_GB2312"/>
                <w:color w:val="auto"/>
                <w:kern w:val="0"/>
                <w:sz w:val="28"/>
                <w:szCs w:val="28"/>
                <w:highlight w:val="none"/>
              </w:rPr>
              <w:t>加大对绿色低碳项目的投融资支持。</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spacing w:val="-11"/>
                <w:kern w:val="0"/>
                <w:sz w:val="28"/>
                <w:szCs w:val="28"/>
                <w:highlight w:val="none"/>
                <w:lang w:val="en-US" w:eastAsia="zh-CN"/>
              </w:rPr>
              <w:t>区发改委（金融办）</w:t>
            </w:r>
          </w:p>
        </w:tc>
        <w:tc>
          <w:tcPr>
            <w:tcW w:w="2309" w:type="dxa"/>
            <w:gridSpan w:val="4"/>
            <w:tcBorders>
              <w:top w:val="single" w:color="auto" w:sz="4" w:space="0"/>
              <w:left w:val="single" w:color="auto" w:sz="4" w:space="0"/>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ascii="仿宋_GB2312" w:eastAsia="仿宋_GB2312"/>
                <w:color w:val="auto"/>
                <w:spacing w:val="-23"/>
                <w:kern w:val="0"/>
                <w:sz w:val="28"/>
                <w:szCs w:val="28"/>
                <w:highlight w:val="none"/>
                <w:lang w:val="en-US" w:eastAsia="zh-CN"/>
              </w:rPr>
              <w:t>区发改委（金融办）</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ascii="仿宋_GB2312" w:eastAsia="仿宋_GB2312"/>
                <w:color w:val="auto"/>
                <w:spacing w:val="-23"/>
                <w:kern w:val="0"/>
                <w:sz w:val="28"/>
                <w:szCs w:val="28"/>
                <w:highlight w:val="none"/>
                <w:lang w:val="en-US" w:eastAsia="zh-CN"/>
              </w:rPr>
              <w:t>区投资促进服务中心</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区经信局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区科委</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区市场监管局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default"/>
                <w:color w:val="auto"/>
                <w:highlight w:val="none"/>
                <w:lang w:val="en-US" w:eastAsia="zh-CN"/>
              </w:rPr>
            </w:pPr>
            <w:r>
              <w:rPr>
                <w:rFonts w:hint="eastAsia"/>
                <w:color w:val="auto"/>
                <w:sz w:val="28"/>
                <w:szCs w:val="28"/>
                <w:highlight w:val="none"/>
                <w:lang w:val="en-US"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区人力社保局</w:t>
            </w:r>
          </w:p>
          <w:p>
            <w:pPr>
              <w:snapToGrid w:val="0"/>
              <w:spacing w:line="400" w:lineRule="exact"/>
              <w:jc w:val="center"/>
              <w:outlineLvl w:val="9"/>
              <w:rPr>
                <w:rFonts w:hint="eastAsia"/>
                <w:color w:val="auto"/>
                <w:sz w:val="28"/>
                <w:szCs w:val="28"/>
                <w:highlight w:val="none"/>
                <w:lang w:eastAsia="zh-CN"/>
              </w:rPr>
            </w:pPr>
            <w:r>
              <w:rPr>
                <w:rFonts w:hint="eastAsia"/>
                <w:color w:val="auto"/>
                <w:sz w:val="28"/>
                <w:szCs w:val="28"/>
                <w:highlight w:val="none"/>
                <w:lang w:eastAsia="zh-CN"/>
              </w:rPr>
              <w:t>区委组织部</w:t>
            </w:r>
          </w:p>
          <w:p>
            <w:pPr>
              <w:snapToGrid w:val="0"/>
              <w:spacing w:line="400" w:lineRule="exact"/>
              <w:jc w:val="center"/>
              <w:outlineLvl w:val="9"/>
              <w:rPr>
                <w:rFonts w:hint="eastAsia"/>
                <w:color w:val="auto"/>
                <w:highlight w:val="none"/>
                <w:lang w:eastAsia="zh-CN"/>
              </w:rPr>
            </w:pPr>
            <w:r>
              <w:rPr>
                <w:rFonts w:hint="eastAsia"/>
                <w:color w:val="auto"/>
                <w:kern w:val="0"/>
                <w:sz w:val="28"/>
                <w:szCs w:val="28"/>
                <w:highlight w:val="none"/>
                <w:lang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6"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13</w:t>
            </w:r>
          </w:p>
        </w:tc>
        <w:tc>
          <w:tcPr>
            <w:tcW w:w="914" w:type="dxa"/>
            <w:vMerge w:val="restart"/>
            <w:tcBorders>
              <w:top w:val="nil"/>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控制农业和非二氧化碳温室气体排放</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大力发展低碳农业、智慧农业、生态循环农业。</w:t>
            </w:r>
            <w:r>
              <w:rPr>
                <w:rFonts w:hint="eastAsia"/>
                <w:color w:val="auto"/>
                <w:kern w:val="0"/>
                <w:sz w:val="28"/>
                <w:szCs w:val="28"/>
                <w:highlight w:val="none"/>
                <w:lang w:eastAsia="zh-CN"/>
              </w:rPr>
              <w:t>按照市级部署，</w:t>
            </w:r>
            <w:r>
              <w:rPr>
                <w:rFonts w:hint="eastAsia" w:ascii="仿宋_GB2312" w:hAnsi="仿宋_GB2312" w:eastAsia="仿宋_GB2312" w:cs="仿宋_GB2312"/>
                <w:color w:val="auto"/>
                <w:kern w:val="0"/>
                <w:sz w:val="28"/>
                <w:szCs w:val="28"/>
                <w:highlight w:val="none"/>
                <w:lang w:eastAsia="zh-CN"/>
              </w:rPr>
              <w:t>推进国家农业绿色发展先行区建设。</w:t>
            </w:r>
          </w:p>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示范推广低耗高效农业设施。</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区农业农村局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区农业农村局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区农业服务中心</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sz w:val="28"/>
                <w:szCs w:val="28"/>
                <w:highlight w:val="none"/>
                <w:lang w:eastAsia="zh-CN"/>
              </w:rPr>
              <w:t>各镇街（地区）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开展非二氧化碳温室气体排放调查，</w:t>
            </w:r>
            <w:r>
              <w:rPr>
                <w:rFonts w:hint="eastAsia" w:ascii="仿宋_GB2312" w:eastAsia="仿宋_GB2312"/>
                <w:color w:val="auto"/>
                <w:kern w:val="0"/>
                <w:sz w:val="28"/>
                <w:szCs w:val="28"/>
                <w:highlight w:val="none"/>
                <w:lang w:eastAsia="zh-CN"/>
              </w:rPr>
              <w:t>落实</w:t>
            </w:r>
            <w:r>
              <w:rPr>
                <w:rFonts w:hint="eastAsia" w:ascii="仿宋_GB2312" w:eastAsia="仿宋_GB2312"/>
                <w:color w:val="auto"/>
                <w:kern w:val="0"/>
                <w:sz w:val="28"/>
                <w:szCs w:val="28"/>
                <w:highlight w:val="none"/>
              </w:rPr>
              <w:t>甲烷控制目标任务和措施，推进生物质能清洁高效利用。</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tcMar>
              <w:top w:w="0" w:type="dxa"/>
              <w:left w:w="57" w:type="dxa"/>
              <w:bottom w:w="0" w:type="dxa"/>
              <w:right w:w="28" w:type="dxa"/>
            </w:tcMar>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区水务局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黑体" w:hAnsi="黑体" w:eastAsia="黑体"/>
                <w:color w:val="auto"/>
                <w:kern w:val="0"/>
                <w:sz w:val="28"/>
                <w:szCs w:val="28"/>
                <w:highlight w:val="none"/>
              </w:rPr>
              <w:t>四、加强城市气候适应性建设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14</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加强适应气候变化顶层设计</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lang w:eastAsia="zh-CN"/>
              </w:rPr>
              <w:t>配合市级部门完成《</w:t>
            </w:r>
            <w:r>
              <w:rPr>
                <w:rFonts w:hint="eastAsia" w:ascii="仿宋_GB2312" w:eastAsia="仿宋_GB2312"/>
                <w:color w:val="auto"/>
                <w:sz w:val="28"/>
                <w:szCs w:val="28"/>
                <w:highlight w:val="none"/>
              </w:rPr>
              <w:t>北京市适应气候变化行动方案</w:t>
            </w:r>
            <w:r>
              <w:rPr>
                <w:rFonts w:hint="eastAsia" w:ascii="仿宋_GB2312" w:eastAsia="仿宋_GB2312"/>
                <w:color w:val="auto"/>
                <w:sz w:val="28"/>
                <w:szCs w:val="28"/>
                <w:highlight w:val="none"/>
                <w:lang w:eastAsia="zh-CN"/>
              </w:rPr>
              <w:t>》编制，并落实具体任务要求</w:t>
            </w:r>
            <w:r>
              <w:rPr>
                <w:rFonts w:hint="eastAsia" w:ascii="仿宋_GB2312" w:eastAsia="仿宋_GB2312"/>
                <w:color w:val="auto"/>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区规自分局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spacing w:val="-11"/>
                <w:kern w:val="0"/>
                <w:sz w:val="28"/>
                <w:szCs w:val="28"/>
                <w:highlight w:val="none"/>
                <w:lang w:eastAsia="zh-CN"/>
              </w:rPr>
              <w:t>区发改委</w:t>
            </w:r>
            <w:r>
              <w:rPr>
                <w:rFonts w:hint="eastAsia"/>
                <w:color w:val="auto"/>
                <w:spacing w:val="-11"/>
                <w:kern w:val="0"/>
                <w:sz w:val="28"/>
                <w:szCs w:val="28"/>
                <w:highlight w:val="none"/>
                <w:lang w:eastAsia="zh-CN"/>
              </w:rPr>
              <w:t>（金融办）</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区应急局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区水务局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区气象局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区科委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snapToGrid w:val="0"/>
              <w:jc w:val="center"/>
              <w:rPr>
                <w:rFonts w:hint="eastAsia"/>
                <w:color w:val="auto"/>
                <w:sz w:val="28"/>
                <w:szCs w:val="28"/>
                <w:highlight w:val="none"/>
                <w:lang w:eastAsia="zh-CN"/>
              </w:rPr>
            </w:pPr>
            <w:r>
              <w:rPr>
                <w:rFonts w:hint="eastAsia" w:ascii="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中关村密云园</w:t>
            </w:r>
          </w:p>
        </w:tc>
        <w:tc>
          <w:tcPr>
            <w:tcW w:w="2217" w:type="dxa"/>
            <w:tcBorders>
              <w:top w:val="single" w:color="auto" w:sz="4" w:space="0"/>
              <w:left w:val="nil"/>
              <w:bottom w:val="single" w:color="auto" w:sz="4" w:space="0"/>
              <w:right w:val="single" w:color="auto" w:sz="4" w:space="0"/>
            </w:tcBorders>
            <w:vAlign w:val="center"/>
          </w:tcPr>
          <w:p>
            <w:pPr>
              <w:autoSpaceDE w:val="0"/>
              <w:snapToGrid w:val="0"/>
              <w:spacing w:line="400" w:lineRule="exact"/>
              <w:jc w:val="center"/>
              <w:outlineLvl w:val="9"/>
              <w:rPr>
                <w:rFonts w:hint="eastAsia"/>
                <w:color w:val="auto"/>
                <w:sz w:val="28"/>
                <w:szCs w:val="28"/>
                <w:highlight w:val="none"/>
                <w:lang w:eastAsia="zh-CN"/>
              </w:rPr>
            </w:pPr>
            <w:r>
              <w:rPr>
                <w:rFonts w:hint="eastAsia"/>
                <w:color w:val="auto"/>
                <w:sz w:val="28"/>
                <w:szCs w:val="28"/>
                <w:highlight w:val="none"/>
                <w:lang w:eastAsia="zh-CN"/>
              </w:rPr>
              <w:t>区交通局</w:t>
            </w:r>
          </w:p>
          <w:p>
            <w:pPr>
              <w:autoSpaceDE w:val="0"/>
              <w:snapToGrid w:val="0"/>
              <w:spacing w:line="400" w:lineRule="exact"/>
              <w:jc w:val="center"/>
              <w:outlineLvl w:val="9"/>
              <w:rPr>
                <w:rFonts w:hint="eastAsia"/>
                <w:color w:val="auto"/>
                <w:sz w:val="28"/>
                <w:szCs w:val="28"/>
                <w:highlight w:val="none"/>
                <w:lang w:eastAsia="zh-CN"/>
              </w:rPr>
            </w:pPr>
            <w:r>
              <w:rPr>
                <w:rFonts w:hint="eastAsia"/>
                <w:color w:val="auto"/>
                <w:sz w:val="28"/>
                <w:szCs w:val="28"/>
                <w:highlight w:val="none"/>
                <w:lang w:eastAsia="zh-CN"/>
              </w:rPr>
              <w:t>区农业农村局</w:t>
            </w:r>
          </w:p>
          <w:p>
            <w:pPr>
              <w:autoSpaceDE w:val="0"/>
              <w:snapToGrid w:val="0"/>
              <w:spacing w:line="400" w:lineRule="exact"/>
              <w:jc w:val="center"/>
              <w:outlineLvl w:val="9"/>
              <w:rPr>
                <w:rFonts w:hint="eastAsia"/>
                <w:color w:val="auto"/>
                <w:sz w:val="28"/>
                <w:szCs w:val="28"/>
                <w:highlight w:val="none"/>
                <w:lang w:eastAsia="zh-CN"/>
              </w:rPr>
            </w:pPr>
            <w:r>
              <w:rPr>
                <w:rFonts w:hint="eastAsia"/>
                <w:color w:val="auto"/>
                <w:sz w:val="28"/>
                <w:szCs w:val="28"/>
                <w:highlight w:val="none"/>
                <w:lang w:eastAsia="zh-CN"/>
              </w:rPr>
              <w:t>区文旅局</w:t>
            </w:r>
          </w:p>
          <w:p>
            <w:pPr>
              <w:autoSpaceDE w:val="0"/>
              <w:snapToGrid w:val="0"/>
              <w:spacing w:line="400" w:lineRule="exact"/>
              <w:jc w:val="center"/>
              <w:outlineLvl w:val="9"/>
              <w:rPr>
                <w:rFonts w:hint="eastAsia"/>
                <w:color w:val="auto"/>
                <w:sz w:val="28"/>
                <w:szCs w:val="28"/>
                <w:highlight w:val="none"/>
                <w:lang w:eastAsia="zh-CN"/>
              </w:rPr>
            </w:pPr>
            <w:r>
              <w:rPr>
                <w:rFonts w:hint="eastAsia"/>
                <w:color w:val="auto"/>
                <w:sz w:val="28"/>
                <w:szCs w:val="28"/>
                <w:highlight w:val="none"/>
                <w:lang w:eastAsia="zh-CN"/>
              </w:rPr>
              <w:t>区卫健委</w:t>
            </w:r>
          </w:p>
          <w:p>
            <w:pPr>
              <w:autoSpaceDE w:val="0"/>
              <w:snapToGrid w:val="0"/>
              <w:spacing w:line="400" w:lineRule="exact"/>
              <w:jc w:val="center"/>
              <w:outlineLvl w:val="9"/>
              <w:rPr>
                <w:rFonts w:hint="eastAsia"/>
                <w:color w:val="auto"/>
                <w:sz w:val="28"/>
                <w:szCs w:val="28"/>
                <w:highlight w:val="none"/>
                <w:lang w:eastAsia="zh-CN"/>
              </w:rPr>
            </w:pPr>
            <w:r>
              <w:rPr>
                <w:rFonts w:hint="eastAsia"/>
                <w:color w:val="auto"/>
                <w:sz w:val="28"/>
                <w:szCs w:val="28"/>
                <w:highlight w:val="none"/>
                <w:lang w:eastAsia="zh-CN"/>
              </w:rPr>
              <w:t>区园林绿化局</w:t>
            </w:r>
          </w:p>
          <w:p>
            <w:pPr>
              <w:autoSpaceDE w:val="0"/>
              <w:snapToGrid w:val="0"/>
              <w:spacing w:line="400" w:lineRule="exact"/>
              <w:jc w:val="center"/>
              <w:outlineLvl w:val="9"/>
              <w:rPr>
                <w:rFonts w:hint="eastAsia"/>
                <w:color w:val="auto"/>
                <w:sz w:val="28"/>
                <w:szCs w:val="28"/>
                <w:highlight w:val="none"/>
                <w:lang w:eastAsia="zh-CN"/>
              </w:rPr>
            </w:pPr>
            <w:r>
              <w:rPr>
                <w:rFonts w:hint="eastAsia"/>
                <w:color w:val="auto"/>
                <w:sz w:val="28"/>
                <w:szCs w:val="28"/>
                <w:highlight w:val="none"/>
                <w:lang w:eastAsia="zh-CN"/>
              </w:rPr>
              <w:t>区财政局</w:t>
            </w:r>
          </w:p>
          <w:p>
            <w:pPr>
              <w:autoSpaceDE w:val="0"/>
              <w:snapToGrid w:val="0"/>
              <w:spacing w:line="400" w:lineRule="exact"/>
              <w:jc w:val="center"/>
              <w:outlineLvl w:val="9"/>
              <w:rPr>
                <w:rFonts w:hint="eastAsia"/>
                <w:color w:val="auto"/>
                <w:sz w:val="28"/>
                <w:szCs w:val="28"/>
                <w:highlight w:val="none"/>
                <w:lang w:eastAsia="zh-CN"/>
              </w:rPr>
            </w:pPr>
            <w:r>
              <w:rPr>
                <w:rFonts w:hint="eastAsia"/>
                <w:color w:val="auto"/>
                <w:sz w:val="28"/>
                <w:szCs w:val="28"/>
                <w:highlight w:val="none"/>
                <w:lang w:eastAsia="zh-CN"/>
              </w:rPr>
              <w:t>区农业服务中心</w:t>
            </w:r>
          </w:p>
          <w:p>
            <w:pPr>
              <w:snapToGrid w:val="0"/>
              <w:spacing w:line="400" w:lineRule="exact"/>
              <w:jc w:val="center"/>
              <w:outlineLvl w:val="9"/>
              <w:rPr>
                <w:rFonts w:hint="eastAsia"/>
                <w:color w:val="auto"/>
                <w:sz w:val="28"/>
                <w:szCs w:val="28"/>
                <w:highlight w:val="none"/>
                <w:lang w:eastAsia="zh-CN"/>
              </w:rPr>
            </w:pPr>
            <w:r>
              <w:rPr>
                <w:rFonts w:hint="eastAsia" w:ascii="仿宋_GB2312"/>
                <w:color w:val="auto"/>
                <w:kern w:val="0"/>
                <w:sz w:val="28"/>
                <w:szCs w:val="28"/>
                <w:highlight w:val="none"/>
                <w:lang w:eastAsia="zh-CN"/>
              </w:rPr>
              <w:t>区园林绿化中心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15</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提升生态系统碳汇能力</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坚持全域多层次增绿固碳，</w:t>
            </w:r>
            <w:r>
              <w:rPr>
                <w:rFonts w:hint="eastAsia" w:ascii="仿宋_GB2312" w:hAnsi="仿宋_GB2312" w:eastAsia="仿宋_GB2312" w:cs="仿宋_GB2312"/>
                <w:color w:val="auto"/>
                <w:kern w:val="0"/>
                <w:sz w:val="28"/>
                <w:szCs w:val="28"/>
                <w:highlight w:val="none"/>
              </w:rPr>
              <w:t>促进园林绿</w:t>
            </w:r>
            <w:r>
              <w:rPr>
                <w:rFonts w:hint="eastAsia" w:ascii="仿宋_GB2312" w:hAnsi="仿宋_GB2312" w:eastAsia="仿宋_GB2312" w:cs="仿宋_GB2312"/>
                <w:color w:val="auto"/>
                <w:kern w:val="0"/>
                <w:sz w:val="28"/>
                <w:szCs w:val="28"/>
                <w:highlight w:val="none"/>
                <w:lang w:eastAsia="zh-CN"/>
              </w:rPr>
              <w:t>化固碳</w:t>
            </w:r>
            <w:r>
              <w:rPr>
                <w:rFonts w:hint="eastAsia" w:ascii="仿宋_GB2312" w:hAnsi="仿宋_GB2312" w:eastAsia="仿宋_GB2312" w:cs="仿宋_GB2312"/>
                <w:color w:val="auto"/>
                <w:kern w:val="0"/>
                <w:sz w:val="28"/>
                <w:szCs w:val="28"/>
                <w:highlight w:val="none"/>
                <w:lang w:val="en-US" w:eastAsia="zh-CN"/>
              </w:rPr>
              <w:t>增</w:t>
            </w:r>
            <w:r>
              <w:rPr>
                <w:rFonts w:hint="eastAsia" w:ascii="仿宋_GB2312" w:hAnsi="仿宋_GB2312" w:eastAsia="仿宋_GB2312" w:cs="仿宋_GB2312"/>
                <w:color w:val="auto"/>
                <w:kern w:val="0"/>
                <w:sz w:val="28"/>
                <w:szCs w:val="28"/>
                <w:highlight w:val="none"/>
              </w:rPr>
              <w:t>汇。</w:t>
            </w:r>
          </w:p>
          <w:p>
            <w:pPr>
              <w:keepNext w:val="0"/>
              <w:keepLines w:val="0"/>
              <w:pageBreakBefore w:val="0"/>
              <w:widowControl w:val="0"/>
              <w:kinsoku/>
              <w:wordWrap/>
              <w:overflowPunct/>
              <w:topLinePunct w:val="0"/>
              <w:autoSpaceDE w:val="0"/>
              <w:autoSpaceDN w:val="0"/>
              <w:bidi w:val="0"/>
              <w:adjustRightInd/>
              <w:spacing w:line="400" w:lineRule="exact"/>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加强林业生态系统管护。2023年</w:t>
            </w:r>
            <w:r>
              <w:rPr>
                <w:rFonts w:hint="eastAsia" w:ascii="仿宋_GB2312" w:eastAsia="仿宋_GB2312"/>
                <w:color w:val="auto"/>
                <w:kern w:val="0"/>
                <w:sz w:val="28"/>
                <w:szCs w:val="28"/>
                <w:highlight w:val="none"/>
                <w:lang w:eastAsia="zh-CN"/>
              </w:rPr>
              <w:t>全区</w:t>
            </w:r>
            <w:r>
              <w:rPr>
                <w:rFonts w:hint="eastAsia" w:ascii="仿宋_GB2312" w:eastAsia="仿宋_GB2312"/>
                <w:color w:val="auto"/>
                <w:kern w:val="0"/>
                <w:sz w:val="28"/>
                <w:szCs w:val="28"/>
                <w:highlight w:val="none"/>
              </w:rPr>
              <w:t>森林蓄积量</w:t>
            </w:r>
            <w:r>
              <w:rPr>
                <w:rFonts w:hint="eastAsia" w:ascii="仿宋_GB2312" w:eastAsia="仿宋_GB2312"/>
                <w:color w:val="auto"/>
                <w:kern w:val="0"/>
                <w:sz w:val="28"/>
                <w:szCs w:val="28"/>
                <w:highlight w:val="none"/>
                <w:lang w:eastAsia="zh-CN"/>
              </w:rPr>
              <w:t>力争保持全市领先</w:t>
            </w:r>
            <w:r>
              <w:rPr>
                <w:rFonts w:hint="eastAsia" w:ascii="仿宋_GB2312" w:eastAsia="仿宋_GB2312"/>
                <w:color w:val="auto"/>
                <w:kern w:val="0"/>
                <w:sz w:val="28"/>
                <w:szCs w:val="28"/>
                <w:highlight w:val="none"/>
              </w:rPr>
              <w:t>。</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园林绿化局</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w:t>
            </w:r>
            <w:r>
              <w:rPr>
                <w:rFonts w:hint="eastAsia" w:ascii="仿宋_GB2312" w:eastAsia="仿宋_GB2312"/>
                <w:color w:val="auto"/>
                <w:kern w:val="0"/>
                <w:sz w:val="28"/>
                <w:szCs w:val="28"/>
                <w:highlight w:val="none"/>
              </w:rPr>
              <w:t>园林绿化局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区园林</w:t>
            </w:r>
            <w:r>
              <w:rPr>
                <w:rFonts w:hint="eastAsia"/>
                <w:color w:val="auto"/>
                <w:kern w:val="0"/>
                <w:sz w:val="28"/>
                <w:szCs w:val="28"/>
                <w:highlight w:val="none"/>
                <w:lang w:val="en-US" w:eastAsia="zh-CN"/>
              </w:rPr>
              <w:t>绿化</w:t>
            </w:r>
            <w:r>
              <w:rPr>
                <w:rFonts w:hint="eastAsia" w:ascii="仿宋_GB2312" w:eastAsia="仿宋_GB2312"/>
                <w:color w:val="auto"/>
                <w:kern w:val="0"/>
                <w:sz w:val="28"/>
                <w:szCs w:val="28"/>
                <w:highlight w:val="none"/>
                <w:lang w:eastAsia="zh-CN"/>
              </w:rPr>
              <w:t>中心</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各镇街（地区）</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6"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16</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加强海绵城市建设</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全面落实“十四五”海绵城市建设规划，推广开展“海绵校园”“海绵公园”“海绵道路”等海绵城市建设工程，新增海绵城市面积</w:t>
            </w:r>
            <w:r>
              <w:rPr>
                <w:rFonts w:hint="eastAsia" w:ascii="仿宋_GB2312" w:eastAsia="仿宋_GB2312"/>
                <w:color w:val="auto"/>
                <w:kern w:val="0"/>
                <w:sz w:val="28"/>
                <w:szCs w:val="28"/>
                <w:highlight w:val="none"/>
                <w:lang w:eastAsia="zh-CN"/>
              </w:rPr>
              <w:t>达到市级要求</w:t>
            </w:r>
            <w:r>
              <w:rPr>
                <w:rFonts w:hint="eastAsia" w:ascii="仿宋_GB2312" w:eastAsia="仿宋_GB2312"/>
                <w:color w:val="auto"/>
                <w:kern w:val="0"/>
                <w:sz w:val="28"/>
                <w:szCs w:val="28"/>
                <w:highlight w:val="none"/>
              </w:rPr>
              <w:t>。</w:t>
            </w:r>
          </w:p>
          <w:p>
            <w:pPr>
              <w:keepNext w:val="0"/>
              <w:keepLines w:val="0"/>
              <w:pageBreakBefore w:val="0"/>
              <w:widowControl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完善城市基于自然的解决方案，加强绿色斑块、绿色廊道、城市生态安全调控系统、城市人居环境、园林绿化和城市风道建设。</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区海绵办</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val="en-US"/>
              </w:rPr>
            </w:pPr>
            <w:r>
              <w:rPr>
                <w:rFonts w:hint="eastAsia"/>
                <w:color w:val="auto"/>
                <w:kern w:val="0"/>
                <w:sz w:val="28"/>
                <w:szCs w:val="28"/>
                <w:highlight w:val="none"/>
                <w:lang w:val="en-US" w:eastAsia="zh-CN"/>
              </w:rPr>
              <w:t>区园林绿化局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default"/>
                <w:color w:val="auto"/>
                <w:highlight w:val="none"/>
                <w:lang w:val="en-US" w:eastAsia="zh-CN"/>
              </w:rPr>
            </w:pPr>
            <w:r>
              <w:rPr>
                <w:rFonts w:hint="eastAsia" w:ascii="仿宋_GB2312"/>
                <w:color w:val="auto"/>
                <w:kern w:val="0"/>
                <w:sz w:val="28"/>
                <w:szCs w:val="28"/>
                <w:highlight w:val="none"/>
                <w:lang w:val="en-US" w:eastAsia="zh-CN"/>
              </w:rPr>
              <w:t>区园林绿化中心</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3"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17</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提升气候防范能力</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开展城市生命线系统重大工程建设气候变化灾害风险评估</w:t>
            </w:r>
            <w:r>
              <w:rPr>
                <w:rFonts w:hint="eastAsia" w:ascii="仿宋_GB2312" w:eastAsia="仿宋_GB2312"/>
                <w:color w:val="auto"/>
                <w:kern w:val="0"/>
                <w:sz w:val="28"/>
                <w:szCs w:val="28"/>
                <w:highlight w:val="none"/>
                <w:lang w:eastAsia="zh-CN"/>
              </w:rPr>
              <w:t>，</w:t>
            </w:r>
            <w:r>
              <w:rPr>
                <w:rFonts w:hint="eastAsia"/>
                <w:color w:val="auto"/>
                <w:kern w:val="0"/>
                <w:sz w:val="28"/>
                <w:szCs w:val="28"/>
                <w:highlight w:val="none"/>
                <w:lang w:eastAsia="zh-CN"/>
              </w:rPr>
              <w:t>完善</w:t>
            </w:r>
            <w:r>
              <w:rPr>
                <w:rFonts w:hint="eastAsia" w:ascii="仿宋_GB2312" w:eastAsia="仿宋_GB2312"/>
                <w:color w:val="auto"/>
                <w:kern w:val="0"/>
                <w:sz w:val="28"/>
                <w:szCs w:val="28"/>
                <w:highlight w:val="none"/>
              </w:rPr>
              <w:t>城市基础设施气象灾害防护标准，加强供气、供电、供热协调联供机制</w:t>
            </w:r>
            <w:r>
              <w:rPr>
                <w:rFonts w:hint="eastAsia"/>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rPr>
              <w:t>健全覆盖全市的气象监测和自然灾害预警系统。</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highlight w:val="none"/>
              </w:rPr>
            </w:pPr>
            <w:r>
              <w:rPr>
                <w:rFonts w:hint="eastAsia" w:ascii="仿宋_GB2312" w:eastAsia="仿宋_GB2312"/>
                <w:color w:val="auto"/>
                <w:kern w:val="0"/>
                <w:sz w:val="28"/>
                <w:szCs w:val="28"/>
                <w:highlight w:val="none"/>
                <w:lang w:eastAsia="zh-CN"/>
              </w:rPr>
              <w:t>区气象局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区应急局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区规自分局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区气象局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 w:hRule="atLeast"/>
          <w:jc w:val="center"/>
        </w:trPr>
        <w:tc>
          <w:tcPr>
            <w:tcW w:w="15396" w:type="dxa"/>
            <w:gridSpan w:val="10"/>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ascii="仿宋_GB2312" w:hAnsi="黑体" w:eastAsia="黑体"/>
                <w:b/>
                <w:bCs/>
                <w:color w:val="auto"/>
                <w:kern w:val="0"/>
                <w:sz w:val="28"/>
                <w:szCs w:val="28"/>
                <w:highlight w:val="none"/>
              </w:rPr>
            </w:pPr>
            <w:r>
              <w:rPr>
                <w:rFonts w:hint="eastAsia" w:ascii="黑体" w:hAnsi="黑体" w:eastAsia="黑体"/>
                <w:color w:val="auto"/>
                <w:kern w:val="0"/>
                <w:sz w:val="28"/>
                <w:szCs w:val="28"/>
                <w:highlight w:val="none"/>
              </w:rPr>
              <w:t>五、加强应对气候变化保障和能力建设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18</w:t>
            </w:r>
          </w:p>
        </w:tc>
        <w:tc>
          <w:tcPr>
            <w:tcW w:w="914"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加强组织领导</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加强应对气候变化工作的统筹和调度，形成分级管理、推动落实的工作格局。各行业主管部门研究细化本行业、本区域应对气候变化措施，扎实推动重点任务落实。</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年底</w:t>
            </w:r>
            <w:r>
              <w:rPr>
                <w:rFonts w:hint="eastAsia" w:ascii="仿宋_GB2312" w:eastAsia="仿宋_GB2312"/>
                <w:color w:val="auto"/>
                <w:kern w:val="0"/>
                <w:sz w:val="28"/>
                <w:szCs w:val="28"/>
                <w:highlight w:val="none"/>
              </w:rPr>
              <w:t>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区国资委</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区应急局</w:t>
            </w:r>
          </w:p>
          <w:p>
            <w:pPr>
              <w:keepNext w:val="0"/>
              <w:keepLines w:val="0"/>
              <w:pageBreakBefore w:val="0"/>
              <w:widowControl w:val="0"/>
              <w:kinsoku/>
              <w:wordWrap/>
              <w:overflowPunct/>
              <w:topLinePunct w:val="0"/>
              <w:autoSpaceDE w:val="0"/>
              <w:autoSpaceDN w:val="0"/>
              <w:bidi w:val="0"/>
              <w:adjustRightInd/>
              <w:snapToGrid w:val="0"/>
              <w:spacing w:line="32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区园林绿化局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6" w:hRule="atLeast"/>
          <w:jc w:val="center"/>
        </w:trPr>
        <w:tc>
          <w:tcPr>
            <w:tcW w:w="622"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19</w:t>
            </w:r>
          </w:p>
        </w:tc>
        <w:tc>
          <w:tcPr>
            <w:tcW w:w="914" w:type="dxa"/>
            <w:vMerge w:val="restart"/>
            <w:tcBorders>
              <w:top w:val="single" w:color="auto" w:sz="4" w:space="0"/>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加大科技支撑力度</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加强科学应对气候变化基础能力研究，</w:t>
            </w:r>
            <w:r>
              <w:rPr>
                <w:rFonts w:hint="eastAsia"/>
                <w:color w:val="auto"/>
                <w:kern w:val="0"/>
                <w:sz w:val="28"/>
                <w:szCs w:val="28"/>
                <w:highlight w:val="none"/>
                <w:lang w:eastAsia="zh-CN"/>
              </w:rPr>
              <w:t>配合市级部门</w:t>
            </w:r>
            <w:r>
              <w:rPr>
                <w:rFonts w:hint="eastAsia" w:ascii="仿宋_GB2312" w:hAnsi="仿宋_GB2312" w:eastAsia="仿宋_GB2312" w:cs="仿宋_GB2312"/>
                <w:color w:val="auto"/>
                <w:kern w:val="0"/>
                <w:sz w:val="28"/>
                <w:szCs w:val="28"/>
                <w:highlight w:val="none"/>
              </w:rPr>
              <w:t>开展减污降碳机理及技术、碳排放统计核算方法、先进减碳技术效果评估，以及适合本地生态系统的高碳汇、低挥发性有机物排放树种库筛选等研究。</w:t>
            </w:r>
          </w:p>
          <w:p>
            <w:pPr>
              <w:spacing w:line="360" w:lineRule="exact"/>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加大柔性直流、智慧电网、先进储能、氢能及其他低碳技术研究，</w:t>
            </w:r>
            <w:r>
              <w:rPr>
                <w:rFonts w:hint="eastAsia"/>
                <w:color w:val="auto"/>
                <w:kern w:val="0"/>
                <w:sz w:val="28"/>
                <w:szCs w:val="28"/>
                <w:highlight w:val="none"/>
                <w:lang w:eastAsia="zh-CN"/>
              </w:rPr>
              <w:t>并在</w:t>
            </w:r>
            <w:r>
              <w:rPr>
                <w:rFonts w:hint="eastAsia" w:ascii="仿宋_GB2312" w:eastAsia="仿宋_GB2312"/>
                <w:color w:val="auto"/>
                <w:kern w:val="0"/>
                <w:sz w:val="28"/>
                <w:szCs w:val="28"/>
                <w:highlight w:val="none"/>
              </w:rPr>
              <w:t>建筑、交通等领域加大技术推广应用。</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color w:val="auto"/>
                <w:sz w:val="28"/>
                <w:szCs w:val="28"/>
                <w:highlight w:val="none"/>
                <w:lang w:eastAsia="zh-CN"/>
              </w:rPr>
            </w:pPr>
            <w:r>
              <w:rPr>
                <w:rFonts w:hint="eastAsia"/>
                <w:color w:val="auto"/>
                <w:sz w:val="28"/>
                <w:szCs w:val="28"/>
                <w:highlight w:val="none"/>
                <w:lang w:eastAsia="zh-CN"/>
              </w:rPr>
              <w:t>区科委</w:t>
            </w:r>
          </w:p>
          <w:p>
            <w:pPr>
              <w:snapToGrid w:val="0"/>
              <w:jc w:val="center"/>
              <w:rPr>
                <w:rFonts w:hint="eastAsia" w:eastAsia="仿宋_GB2312"/>
                <w:color w:val="auto"/>
                <w:highlight w:val="none"/>
                <w:lang w:val="en-US" w:eastAsia="zh-CN"/>
              </w:rPr>
            </w:pPr>
            <w:r>
              <w:rPr>
                <w:rFonts w:hint="eastAsia"/>
                <w:color w:val="auto"/>
                <w:sz w:val="28"/>
                <w:szCs w:val="28"/>
                <w:highlight w:val="none"/>
                <w:lang w:eastAsia="zh-CN"/>
              </w:rPr>
              <w:t>区生态环境局</w:t>
            </w:r>
          </w:p>
        </w:tc>
        <w:tc>
          <w:tcPr>
            <w:tcW w:w="2309" w:type="dxa"/>
            <w:gridSpan w:val="4"/>
            <w:tcBorders>
              <w:top w:val="single" w:color="auto" w:sz="4" w:space="0"/>
              <w:left w:val="nil"/>
              <w:bottom w:val="single" w:color="auto" w:sz="4" w:space="0"/>
              <w:right w:val="single" w:color="auto" w:sz="4" w:space="0"/>
            </w:tcBorders>
            <w:vAlign w:val="center"/>
          </w:tcPr>
          <w:p>
            <w:pPr>
              <w:autoSpaceDE w:val="0"/>
              <w:snapToGrid w:val="0"/>
              <w:spacing w:line="320" w:lineRule="exact"/>
              <w:jc w:val="center"/>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autoSpaceDE w:val="0"/>
              <w:snapToGrid w:val="0"/>
              <w:spacing w:line="320" w:lineRule="exact"/>
              <w:jc w:val="center"/>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区经信局</w:t>
            </w:r>
          </w:p>
          <w:p>
            <w:pPr>
              <w:autoSpaceDE w:val="0"/>
              <w:snapToGrid w:val="0"/>
              <w:spacing w:line="320" w:lineRule="exact"/>
              <w:jc w:val="center"/>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区住建委</w:t>
            </w:r>
          </w:p>
          <w:p>
            <w:pPr>
              <w:snapToGrid w:val="0"/>
              <w:spacing w:line="320" w:lineRule="exact"/>
              <w:jc w:val="center"/>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snapToGrid w:val="0"/>
              <w:spacing w:line="320" w:lineRule="exact"/>
              <w:jc w:val="center"/>
              <w:outlineLvl w:val="9"/>
              <w:rPr>
                <w:rFonts w:hint="eastAsia" w:ascii="仿宋_GB2312"/>
                <w:color w:val="auto"/>
                <w:kern w:val="0"/>
                <w:sz w:val="28"/>
                <w:szCs w:val="28"/>
                <w:highlight w:val="none"/>
                <w:lang w:eastAsia="zh-CN"/>
              </w:rPr>
            </w:pPr>
            <w:r>
              <w:rPr>
                <w:rFonts w:hint="eastAsia" w:ascii="仿宋_GB2312"/>
                <w:color w:val="auto"/>
                <w:kern w:val="0"/>
                <w:sz w:val="28"/>
                <w:szCs w:val="28"/>
                <w:highlight w:val="none"/>
                <w:lang w:eastAsia="zh-CN"/>
              </w:rPr>
              <w:t>区园林绿化局</w:t>
            </w:r>
          </w:p>
          <w:p>
            <w:pPr>
              <w:autoSpaceDE w:val="0"/>
              <w:snapToGrid w:val="0"/>
              <w:spacing w:line="320" w:lineRule="exact"/>
              <w:jc w:val="center"/>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区科委</w:t>
            </w:r>
          </w:p>
          <w:p>
            <w:pPr>
              <w:autoSpaceDE/>
              <w:snapToGrid w:val="0"/>
              <w:spacing w:line="320" w:lineRule="exact"/>
              <w:jc w:val="center"/>
              <w:outlineLvl w:val="9"/>
              <w:rPr>
                <w:rFonts w:hint="eastAsia" w:ascii="仿宋_GB2312" w:eastAsia="仿宋_GB2312"/>
                <w:color w:val="auto"/>
                <w:kern w:val="0"/>
                <w:sz w:val="28"/>
                <w:szCs w:val="28"/>
                <w:highlight w:val="none"/>
              </w:rPr>
            </w:pPr>
            <w:r>
              <w:rPr>
                <w:rFonts w:hint="eastAsia" w:ascii="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7" w:hRule="atLeast"/>
          <w:jc w:val="center"/>
        </w:trPr>
        <w:tc>
          <w:tcPr>
            <w:tcW w:w="62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构建空地一体碳排碳汇监测网络，建立区级碳普惠平台。</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spacing w:val="-20"/>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67"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20</w:t>
            </w:r>
          </w:p>
        </w:tc>
        <w:tc>
          <w:tcPr>
            <w:tcW w:w="914" w:type="dxa"/>
            <w:vMerge w:val="restart"/>
            <w:tcBorders>
              <w:top w:val="nil"/>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提升统计核算能力</w:t>
            </w: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按照</w:t>
            </w:r>
            <w:r>
              <w:rPr>
                <w:rFonts w:hint="eastAsia" w:ascii="仿宋_GB2312" w:eastAsia="仿宋_GB2312"/>
                <w:color w:val="auto"/>
                <w:kern w:val="0"/>
                <w:sz w:val="28"/>
                <w:szCs w:val="28"/>
                <w:highlight w:val="none"/>
                <w:lang w:eastAsia="zh-CN"/>
              </w:rPr>
              <w:t>北京市</w:t>
            </w:r>
            <w:r>
              <w:rPr>
                <w:rFonts w:hint="eastAsia" w:ascii="仿宋_GB2312" w:eastAsia="仿宋_GB2312"/>
                <w:color w:val="auto"/>
                <w:kern w:val="0"/>
                <w:sz w:val="28"/>
                <w:szCs w:val="28"/>
                <w:highlight w:val="none"/>
              </w:rPr>
              <w:t>要求，完善市级碳排放统计核算体系，建立区级碳排放核算体系，逐步构建自下而上以统计数据为基础的温室气体排放核算体系。</w:t>
            </w: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开展温室气体排放清单编制工作,强化碳排放分析快报机制。</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按照市级部门部署，</w:t>
            </w:r>
            <w:r>
              <w:rPr>
                <w:rFonts w:hint="eastAsia" w:ascii="仿宋_GB2312" w:eastAsia="仿宋_GB2312"/>
                <w:color w:val="auto"/>
                <w:kern w:val="0"/>
                <w:sz w:val="28"/>
                <w:szCs w:val="28"/>
                <w:highlight w:val="none"/>
              </w:rPr>
              <w:t>推进应对气候变化管理信息化建设。</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区经信局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7"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widowControl/>
              <w:jc w:val="left"/>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6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配合市级部门，</w:t>
            </w:r>
            <w:r>
              <w:rPr>
                <w:rFonts w:hint="eastAsia" w:ascii="仿宋_GB2312" w:eastAsia="仿宋_GB2312"/>
                <w:color w:val="auto"/>
                <w:kern w:val="0"/>
                <w:sz w:val="28"/>
                <w:szCs w:val="28"/>
                <w:highlight w:val="none"/>
              </w:rPr>
              <w:t>研究建立生态系统碳汇监测核算体系，开展生态系统碳汇本底调查和碳储量评估。</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区园林绿化局</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622"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21</w:t>
            </w:r>
          </w:p>
        </w:tc>
        <w:tc>
          <w:tcPr>
            <w:tcW w:w="914" w:type="dxa"/>
            <w:vMerge w:val="restart"/>
            <w:tcBorders>
              <w:top w:val="single" w:color="auto" w:sz="4" w:space="0"/>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强化资金政策支持</w:t>
            </w:r>
          </w:p>
        </w:tc>
        <w:tc>
          <w:tcPr>
            <w:tcW w:w="5880" w:type="dxa"/>
            <w:tcBorders>
              <w:top w:val="single" w:color="auto" w:sz="4" w:space="0"/>
              <w:left w:val="nil"/>
              <w:bottom w:val="single" w:color="auto" w:sz="4" w:space="0"/>
              <w:right w:val="single" w:color="auto" w:sz="4" w:space="0"/>
            </w:tcBorders>
            <w:vAlign w:val="center"/>
          </w:tcPr>
          <w:p>
            <w:pPr>
              <w:autoSpaceDN/>
              <w:spacing w:line="260" w:lineRule="exact"/>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研究制定</w:t>
            </w:r>
            <w:r>
              <w:rPr>
                <w:rFonts w:hint="eastAsia" w:ascii="仿宋_GB2312" w:eastAsia="仿宋_GB2312"/>
                <w:color w:val="auto"/>
                <w:kern w:val="0"/>
                <w:sz w:val="28"/>
                <w:szCs w:val="28"/>
                <w:highlight w:val="none"/>
              </w:rPr>
              <w:t>对节能减碳的绿色项目、绿色产品等予以适当补贴或贷款贴息</w:t>
            </w:r>
            <w:r>
              <w:rPr>
                <w:rFonts w:hint="eastAsia"/>
                <w:color w:val="auto"/>
                <w:kern w:val="0"/>
                <w:sz w:val="28"/>
                <w:szCs w:val="28"/>
                <w:highlight w:val="none"/>
                <w:lang w:eastAsia="zh-CN"/>
              </w:rPr>
              <w:t>等资金支持</w:t>
            </w:r>
            <w:r>
              <w:rPr>
                <w:rFonts w:hint="eastAsia"/>
                <w:color w:val="auto"/>
                <w:kern w:val="0"/>
                <w:sz w:val="28"/>
                <w:szCs w:val="28"/>
                <w:highlight w:val="none"/>
                <w:lang w:val="en-US" w:eastAsia="zh-CN"/>
              </w:rPr>
              <w:t>政策</w:t>
            </w:r>
            <w:r>
              <w:rPr>
                <w:rFonts w:hint="eastAsia" w:ascii="仿宋_GB2312" w:eastAsia="仿宋_GB2312"/>
                <w:color w:val="auto"/>
                <w:kern w:val="0"/>
                <w:sz w:val="28"/>
                <w:szCs w:val="28"/>
                <w:highlight w:val="none"/>
              </w:rPr>
              <w:t>。完善绿色消</w:t>
            </w:r>
            <w:r>
              <w:rPr>
                <w:rFonts w:hint="eastAsia" w:ascii="仿宋_GB2312" w:eastAsia="仿宋_GB2312"/>
                <w:color w:val="auto"/>
                <w:spacing w:val="0"/>
                <w:kern w:val="0"/>
                <w:sz w:val="28"/>
                <w:szCs w:val="28"/>
                <w:highlight w:val="none"/>
              </w:rPr>
              <w:t>费奖励政策，</w:t>
            </w:r>
            <w:r>
              <w:rPr>
                <w:rFonts w:hint="eastAsia" w:ascii="仿宋_GB2312" w:hAnsi="仿宋_GB2312" w:eastAsia="仿宋_GB2312" w:cs="仿宋_GB2312"/>
                <w:color w:val="auto"/>
                <w:kern w:val="0"/>
                <w:sz w:val="28"/>
                <w:szCs w:val="28"/>
                <w:highlight w:val="none"/>
              </w:rPr>
              <w:t>继续发放绿色消费券。</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rPr>
            </w:pPr>
            <w:r>
              <w:rPr>
                <w:rFonts w:hint="eastAsia" w:ascii="仿宋_GB2312" w:eastAsia="仿宋_GB2312"/>
                <w:color w:val="auto"/>
                <w:spacing w:val="-23"/>
                <w:kern w:val="0"/>
                <w:sz w:val="28"/>
                <w:szCs w:val="28"/>
                <w:highlight w:val="none"/>
                <w:lang w:eastAsia="zh-CN"/>
              </w:rPr>
              <w:t>区发改委（金融办）</w:t>
            </w:r>
          </w:p>
        </w:tc>
        <w:tc>
          <w:tcPr>
            <w:tcW w:w="2309" w:type="dxa"/>
            <w:gridSpan w:val="4"/>
            <w:tcBorders>
              <w:top w:val="single" w:color="auto" w:sz="4" w:space="0"/>
              <w:left w:val="single" w:color="auto" w:sz="4" w:space="0"/>
              <w:bottom w:val="single" w:color="auto" w:sz="4" w:space="0"/>
              <w:right w:val="single" w:color="auto" w:sz="4" w:space="0"/>
            </w:tcBorders>
            <w:vAlign w:val="center"/>
          </w:tcPr>
          <w:p>
            <w:pPr>
              <w:autoSpaceDE w:val="0"/>
              <w:snapToGrid w:val="0"/>
              <w:jc w:val="center"/>
              <w:rPr>
                <w:rFonts w:hint="eastAsia"/>
                <w:color w:val="auto"/>
                <w:sz w:val="28"/>
                <w:szCs w:val="28"/>
                <w:highlight w:val="none"/>
                <w:lang w:val="en-US" w:eastAsia="zh-CN"/>
              </w:rPr>
            </w:pPr>
            <w:r>
              <w:rPr>
                <w:rFonts w:hint="eastAsia" w:ascii="仿宋_GB2312" w:eastAsia="仿宋_GB2312"/>
                <w:color w:val="auto"/>
                <w:spacing w:val="-23"/>
                <w:kern w:val="0"/>
                <w:sz w:val="28"/>
                <w:szCs w:val="28"/>
                <w:highlight w:val="none"/>
                <w:lang w:val="en-US" w:eastAsia="zh-CN"/>
              </w:rPr>
              <w:t>区发改委（金融办）</w:t>
            </w:r>
          </w:p>
          <w:p>
            <w:pPr>
              <w:snapToGrid w:val="0"/>
              <w:jc w:val="center"/>
              <w:rPr>
                <w:rFonts w:hint="eastAsia"/>
                <w:color w:val="auto"/>
                <w:sz w:val="28"/>
                <w:szCs w:val="28"/>
                <w:highlight w:val="none"/>
                <w:lang w:val="en-US" w:eastAsia="zh-CN"/>
              </w:rPr>
            </w:pPr>
            <w:r>
              <w:rPr>
                <w:rFonts w:hint="eastAsia"/>
                <w:color w:val="auto"/>
                <w:sz w:val="28"/>
                <w:szCs w:val="28"/>
                <w:highlight w:val="none"/>
                <w:lang w:val="en-US" w:eastAsia="zh-CN"/>
              </w:rPr>
              <w:t>区财政局</w:t>
            </w:r>
          </w:p>
          <w:p>
            <w:pPr>
              <w:snapToGrid w:val="0"/>
              <w:jc w:val="center"/>
              <w:rPr>
                <w:rFonts w:hint="default"/>
                <w:color w:val="auto"/>
                <w:highlight w:val="none"/>
                <w:lang w:val="en-US" w:eastAsia="zh-CN"/>
              </w:rPr>
            </w:pPr>
            <w:r>
              <w:rPr>
                <w:rFonts w:hint="eastAsia"/>
                <w:color w:val="auto"/>
                <w:kern w:val="0"/>
                <w:sz w:val="28"/>
                <w:szCs w:val="28"/>
                <w:highlight w:val="none"/>
                <w:lang w:val="en-US" w:eastAsia="zh-CN"/>
              </w:rPr>
              <w:t>区商务局</w:t>
            </w:r>
          </w:p>
        </w:tc>
        <w:tc>
          <w:tcPr>
            <w:tcW w:w="2217" w:type="dxa"/>
            <w:tcBorders>
              <w:top w:val="single" w:color="auto" w:sz="4" w:space="0"/>
              <w:left w:val="nil"/>
              <w:bottom w:val="single" w:color="auto" w:sz="4" w:space="0"/>
              <w:right w:val="single" w:color="auto" w:sz="4" w:space="0"/>
            </w:tcBorders>
            <w:vAlign w:val="center"/>
          </w:tcPr>
          <w:p>
            <w:pP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jc w:val="center"/>
        </w:trPr>
        <w:tc>
          <w:tcPr>
            <w:tcW w:w="622" w:type="dxa"/>
            <w:vMerge w:val="continue"/>
            <w:tcBorders>
              <w:left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40" w:lineRule="exact"/>
              <w:jc w:val="both"/>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落实市级补贴政策，探索区级</w:t>
            </w:r>
            <w:r>
              <w:rPr>
                <w:rFonts w:hint="eastAsia" w:ascii="仿宋_GB2312" w:eastAsia="仿宋_GB2312"/>
                <w:color w:val="auto"/>
                <w:kern w:val="0"/>
                <w:sz w:val="28"/>
                <w:szCs w:val="28"/>
                <w:highlight w:val="none"/>
              </w:rPr>
              <w:t>供热燃料补贴政策，逐步降低柴油等化石能源供热燃料补贴，</w:t>
            </w:r>
            <w:r>
              <w:rPr>
                <w:rFonts w:hint="eastAsia" w:ascii="仿宋_GB2312" w:eastAsia="仿宋_GB2312"/>
                <w:color w:val="auto"/>
                <w:spacing w:val="-6"/>
                <w:kern w:val="0"/>
                <w:sz w:val="28"/>
                <w:szCs w:val="28"/>
                <w:highlight w:val="none"/>
              </w:rPr>
              <w:t>加大热泵等新能源可再生能源供热运行补贴等。</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4" w:hRule="atLeast"/>
          <w:jc w:val="center"/>
        </w:trPr>
        <w:tc>
          <w:tcPr>
            <w:tcW w:w="62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p>
        </w:tc>
        <w:tc>
          <w:tcPr>
            <w:tcW w:w="914" w:type="dxa"/>
            <w:vMerge w:val="continue"/>
            <w:tcBorders>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spacing w:line="340" w:lineRule="exact"/>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营造有利的政策环境，拓宽绿色融资渠道，完善绿色金融体系构建，研究制定投融资政策和价格政策，支持有利于低碳发展的信贷、债券、基金、期货、保险等绿色金融创新实践。</w:t>
            </w:r>
          </w:p>
        </w:tc>
        <w:tc>
          <w:tcPr>
            <w:tcW w:w="1191"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区发改委（金融办）</w:t>
            </w:r>
          </w:p>
        </w:tc>
        <w:tc>
          <w:tcPr>
            <w:tcW w:w="2217" w:type="dxa"/>
            <w:tcBorders>
              <w:top w:val="single" w:color="auto" w:sz="4" w:space="0"/>
              <w:left w:val="nil"/>
              <w:bottom w:val="single" w:color="auto" w:sz="4" w:space="0"/>
              <w:right w:val="single" w:color="auto" w:sz="4" w:space="0"/>
            </w:tcBorders>
            <w:vAlign w:val="center"/>
          </w:tcPr>
          <w:p>
            <w:pPr>
              <w:autoSpaceDE w:val="0"/>
              <w:snapToGrid w:val="0"/>
              <w:jc w:val="center"/>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rPr>
              <w:t>其他相关委办局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jc w:val="center"/>
        </w:trPr>
        <w:tc>
          <w:tcPr>
            <w:tcW w:w="622" w:type="dxa"/>
            <w:vMerge w:val="restart"/>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22</w:t>
            </w:r>
          </w:p>
        </w:tc>
        <w:tc>
          <w:tcPr>
            <w:tcW w:w="914" w:type="dxa"/>
            <w:vMerge w:val="restart"/>
            <w:tcBorders>
              <w:top w:val="nil"/>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加强宣传教育</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持续举办国家气候投融资</w:t>
            </w:r>
            <w:r>
              <w:rPr>
                <w:rFonts w:hint="eastAsia"/>
                <w:color w:val="auto"/>
                <w:kern w:val="0"/>
                <w:sz w:val="28"/>
                <w:szCs w:val="28"/>
                <w:highlight w:val="none"/>
                <w:lang w:eastAsia="zh-CN"/>
              </w:rPr>
              <w:t>试点</w:t>
            </w:r>
            <w:r>
              <w:rPr>
                <w:rFonts w:hint="eastAsia" w:ascii="仿宋_GB2312" w:eastAsia="仿宋_GB2312"/>
                <w:color w:val="auto"/>
                <w:kern w:val="0"/>
                <w:sz w:val="28"/>
                <w:szCs w:val="28"/>
                <w:highlight w:val="none"/>
                <w:lang w:eastAsia="zh-CN"/>
              </w:rPr>
              <w:t>密云讲坛。</w:t>
            </w:r>
          </w:p>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组织开展2023年低碳日、环境日等宣传活动，推动建设科普教育基地和应对气候变化展区，加大应对气候变化宣传力度。</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区委宣传部</w:t>
            </w:r>
          </w:p>
          <w:p>
            <w:pPr>
              <w:snapToGrid w:val="0"/>
              <w:spacing w:line="400" w:lineRule="exact"/>
              <w:jc w:val="center"/>
              <w:outlineLvl w:val="9"/>
              <w:rPr>
                <w:rFonts w:hint="eastAsia"/>
                <w:color w:val="auto"/>
                <w:sz w:val="28"/>
                <w:szCs w:val="28"/>
                <w:highlight w:val="none"/>
                <w:lang w:eastAsia="zh-CN"/>
              </w:rPr>
            </w:pPr>
            <w:r>
              <w:rPr>
                <w:rFonts w:hint="eastAsia"/>
                <w:color w:val="auto"/>
                <w:sz w:val="28"/>
                <w:szCs w:val="28"/>
                <w:highlight w:val="none"/>
                <w:lang w:eastAsia="zh-CN"/>
              </w:rPr>
              <w:t>区发改委</w:t>
            </w:r>
          </w:p>
          <w:p>
            <w:pPr>
              <w:snapToGrid w:val="0"/>
              <w:spacing w:line="400" w:lineRule="exact"/>
              <w:jc w:val="center"/>
              <w:outlineLvl w:val="9"/>
              <w:rPr>
                <w:rFonts w:hint="eastAsia"/>
                <w:color w:val="auto"/>
                <w:sz w:val="28"/>
                <w:szCs w:val="28"/>
                <w:highlight w:val="none"/>
                <w:lang w:eastAsia="zh-CN"/>
              </w:rPr>
            </w:pPr>
            <w:r>
              <w:rPr>
                <w:rFonts w:hint="eastAsia"/>
                <w:color w:val="auto"/>
                <w:sz w:val="28"/>
                <w:szCs w:val="28"/>
                <w:highlight w:val="none"/>
                <w:lang w:eastAsia="zh-CN"/>
              </w:rPr>
              <w:t>区交通局</w:t>
            </w:r>
          </w:p>
          <w:p>
            <w:pPr>
              <w:snapToGrid w:val="0"/>
              <w:spacing w:line="400" w:lineRule="exact"/>
              <w:jc w:val="center"/>
              <w:outlineLvl w:val="9"/>
              <w:rPr>
                <w:rFonts w:hint="eastAsia"/>
                <w:color w:val="auto"/>
                <w:highlight w:val="none"/>
                <w:lang w:eastAsia="zh-CN"/>
              </w:rPr>
            </w:pPr>
            <w:r>
              <w:rPr>
                <w:rFonts w:hint="eastAsia"/>
                <w:color w:val="auto"/>
                <w:sz w:val="28"/>
                <w:szCs w:val="28"/>
                <w:highlight w:val="none"/>
                <w:lang w:eastAsia="zh-CN"/>
              </w:rPr>
              <w:t>区城管委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0" w:hRule="atLeast"/>
          <w:jc w:val="center"/>
        </w:trPr>
        <w:tc>
          <w:tcPr>
            <w:tcW w:w="622"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lang w:val="en-US" w:eastAsia="zh-CN"/>
              </w:rPr>
            </w:pPr>
          </w:p>
        </w:tc>
        <w:tc>
          <w:tcPr>
            <w:tcW w:w="914" w:type="dxa"/>
            <w:vMerge w:val="continue"/>
            <w:tcBorders>
              <w:left w:val="nil"/>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推广高效低碳绿色产品，利用碳普惠等形式，引导市民积极参与垃圾分类、“光盘行动”、义务植树和低碳出行，逐步形成绿色低碳的生活方式和消费理念。</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2263"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tc>
        <w:tc>
          <w:tcPr>
            <w:tcW w:w="2309" w:type="dxa"/>
            <w:gridSpan w:val="4"/>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区发改委</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区交通局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区城管委</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color w:val="auto"/>
                <w:kern w:val="0"/>
                <w:sz w:val="28"/>
                <w:szCs w:val="28"/>
                <w:highlight w:val="none"/>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3" w:hRule="atLeast"/>
          <w:jc w:val="center"/>
        </w:trPr>
        <w:tc>
          <w:tcPr>
            <w:tcW w:w="622"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ascii="仿宋_GB2312" w:eastAsia="仿宋_GB2312"/>
                <w:color w:val="auto"/>
                <w:kern w:val="0"/>
                <w:sz w:val="28"/>
                <w:szCs w:val="28"/>
                <w:highlight w:val="none"/>
              </w:rPr>
            </w:pPr>
          </w:p>
        </w:tc>
        <w:tc>
          <w:tcPr>
            <w:tcW w:w="914" w:type="dxa"/>
            <w:vMerge w:val="continue"/>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pacing w:line="400" w:lineRule="exact"/>
              <w:jc w:val="left"/>
              <w:textAlignment w:val="auto"/>
              <w:outlineLvl w:val="9"/>
              <w:rPr>
                <w:rFonts w:ascii="仿宋_GB2312" w:eastAsia="仿宋_GB2312"/>
                <w:color w:val="auto"/>
                <w:kern w:val="0"/>
                <w:sz w:val="28"/>
                <w:szCs w:val="28"/>
                <w:highlight w:val="none"/>
              </w:rPr>
            </w:pP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开展应对气候变化理论知识、碳市场相关等教育培训，提高各级党员领导干部、企业人员、社会公众应对气候变化知识的培训力度，将应对气候变化纳入干部教育培训的重要内容，提升推动低碳发展本领。</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区委组织部</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区人力社保局</w:t>
            </w:r>
          </w:p>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4"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23</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开展国际交流合作</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lang w:eastAsia="zh-CN"/>
              </w:rPr>
              <w:t>积极参与</w:t>
            </w:r>
            <w:r>
              <w:rPr>
                <w:rFonts w:hint="eastAsia" w:ascii="仿宋_GB2312" w:eastAsia="仿宋_GB2312"/>
                <w:color w:val="auto"/>
                <w:kern w:val="0"/>
                <w:sz w:val="28"/>
                <w:szCs w:val="28"/>
                <w:highlight w:val="none"/>
              </w:rPr>
              <w:t>国际应对气候变化交流</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国际大都市清洁空气和应对气候变化论坛</w:t>
            </w:r>
            <w:r>
              <w:rPr>
                <w:rFonts w:hint="eastAsia" w:ascii="仿宋_GB2312" w:eastAsia="仿宋_GB2312"/>
                <w:color w:val="auto"/>
                <w:kern w:val="0"/>
                <w:sz w:val="28"/>
                <w:szCs w:val="28"/>
                <w:highlight w:val="none"/>
                <w:lang w:eastAsia="zh-CN"/>
              </w:rPr>
              <w:t>、</w:t>
            </w:r>
            <w:r>
              <w:rPr>
                <w:rFonts w:hint="eastAsia" w:ascii="仿宋_GB2312" w:eastAsia="仿宋_GB2312"/>
                <w:color w:val="auto"/>
                <w:kern w:val="0"/>
                <w:sz w:val="28"/>
                <w:szCs w:val="28"/>
                <w:highlight w:val="none"/>
              </w:rPr>
              <w:t>国际城市间应对气候变化合作，学习借鉴</w:t>
            </w:r>
            <w:r>
              <w:rPr>
                <w:rFonts w:hint="eastAsia"/>
                <w:color w:val="auto"/>
                <w:kern w:val="0"/>
                <w:sz w:val="28"/>
                <w:szCs w:val="28"/>
                <w:highlight w:val="none"/>
                <w:lang w:eastAsia="zh-CN"/>
              </w:rPr>
              <w:t>国内外先进经验和实践。</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rPr>
            </w:pPr>
            <w:r>
              <w:rPr>
                <w:rFonts w:hint="eastAsia" w:ascii="仿宋_GB2312" w:eastAsia="仿宋_GB2312"/>
                <w:color w:val="auto"/>
                <w:kern w:val="0"/>
                <w:sz w:val="28"/>
                <w:szCs w:val="28"/>
                <w:highlight w:val="none"/>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kern w:val="0"/>
                <w:sz w:val="28"/>
                <w:szCs w:val="28"/>
                <w:highlight w:val="none"/>
                <w:lang w:val="en-US" w:eastAsia="zh-CN"/>
              </w:rPr>
              <w:t>24</w:t>
            </w:r>
          </w:p>
        </w:tc>
        <w:tc>
          <w:tcPr>
            <w:tcW w:w="91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left"/>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规范应对气候变化领域第三方服务机构管理</w:t>
            </w:r>
          </w:p>
        </w:tc>
        <w:tc>
          <w:tcPr>
            <w:tcW w:w="5880"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both"/>
              <w:textAlignment w:val="auto"/>
              <w:outlineLvl w:val="9"/>
              <w:rPr>
                <w:rFonts w:hint="eastAsia" w:ascii="仿宋_GB2312" w:eastAsia="仿宋_GB2312"/>
                <w:color w:val="auto"/>
                <w:kern w:val="0"/>
                <w:sz w:val="28"/>
                <w:szCs w:val="28"/>
                <w:highlight w:val="none"/>
                <w:lang w:eastAsia="zh-CN"/>
              </w:rPr>
            </w:pPr>
            <w:r>
              <w:rPr>
                <w:rFonts w:hint="eastAsia" w:cs="仿宋_GB2312"/>
                <w:color w:val="auto"/>
                <w:spacing w:val="-2"/>
                <w:kern w:val="0"/>
                <w:sz w:val="28"/>
                <w:szCs w:val="22"/>
                <w:highlight w:val="none"/>
                <w:lang w:eastAsia="zh-CN"/>
              </w:rPr>
              <w:t>按照市级部署，</w:t>
            </w:r>
            <w:r>
              <w:rPr>
                <w:rFonts w:hint="eastAsia" w:ascii="仿宋_GB2312" w:hAnsi="仿宋_GB2312" w:eastAsia="仿宋_GB2312" w:cs="仿宋_GB2312"/>
                <w:color w:val="auto"/>
                <w:spacing w:val="-2"/>
                <w:kern w:val="0"/>
                <w:sz w:val="28"/>
                <w:szCs w:val="22"/>
                <w:highlight w:val="none"/>
                <w:lang w:eastAsia="en-US"/>
              </w:rPr>
              <w:t>强化碳排放相关检验检测机构的日常监管，探索构建应对气候变化领域第三方服务机构监管机制。</w:t>
            </w:r>
          </w:p>
        </w:tc>
        <w:tc>
          <w:tcPr>
            <w:tcW w:w="1191"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pacing w:line="400" w:lineRule="exact"/>
              <w:jc w:val="center"/>
              <w:textAlignment w:val="auto"/>
              <w:outlineLvl w:val="9"/>
              <w:rPr>
                <w:rFonts w:hint="eastAsia" w:ascii="仿宋_GB2312" w:eastAsia="仿宋_GB2312"/>
                <w:color w:val="auto"/>
                <w:kern w:val="0"/>
                <w:sz w:val="28"/>
                <w:szCs w:val="28"/>
                <w:highlight w:val="none"/>
                <w:lang w:eastAsia="zh-CN"/>
              </w:rPr>
            </w:pPr>
            <w:r>
              <w:rPr>
                <w:rFonts w:hint="eastAsia" w:ascii="仿宋_GB2312" w:eastAsia="仿宋_GB2312"/>
                <w:color w:val="auto"/>
                <w:kern w:val="0"/>
                <w:sz w:val="28"/>
                <w:szCs w:val="28"/>
                <w:highlight w:val="none"/>
                <w:lang w:eastAsia="zh-CN"/>
              </w:rPr>
              <w:t>年底前</w:t>
            </w:r>
          </w:p>
        </w:tc>
        <w:tc>
          <w:tcPr>
            <w:tcW w:w="4572" w:type="dxa"/>
            <w:gridSpan w:val="5"/>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区市场监管局</w:t>
            </w:r>
          </w:p>
          <w:p>
            <w:pPr>
              <w:snapToGrid w:val="0"/>
              <w:spacing w:line="400" w:lineRule="exact"/>
              <w:jc w:val="center"/>
              <w:outlineLvl w:val="9"/>
              <w:rPr>
                <w:rFonts w:hint="eastAsia"/>
                <w:color w:val="auto"/>
                <w:highlight w:val="none"/>
                <w:lang w:eastAsia="zh-CN"/>
              </w:rPr>
            </w:pPr>
            <w:r>
              <w:rPr>
                <w:rFonts w:hint="eastAsia" w:ascii="仿宋_GB2312" w:eastAsia="仿宋_GB2312"/>
                <w:color w:val="auto"/>
                <w:kern w:val="0"/>
                <w:sz w:val="28"/>
                <w:szCs w:val="28"/>
                <w:highlight w:val="none"/>
                <w:lang w:val="en-US" w:eastAsia="zh-CN"/>
              </w:rPr>
              <w:t>区生态环境局</w:t>
            </w:r>
          </w:p>
        </w:tc>
        <w:tc>
          <w:tcPr>
            <w:tcW w:w="2217" w:type="dxa"/>
            <w:tcBorders>
              <w:top w:val="single" w:color="auto" w:sz="4" w:space="0"/>
              <w:left w:val="nil"/>
              <w:bottom w:val="single" w:color="auto" w:sz="4" w:space="0"/>
              <w:right w:val="single" w:color="auto" w:sz="4" w:space="0"/>
            </w:tcBorders>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default" w:ascii="仿宋_GB2312" w:eastAsia="仿宋_GB2312"/>
                <w:color w:val="auto"/>
                <w:kern w:val="0"/>
                <w:sz w:val="28"/>
                <w:szCs w:val="28"/>
                <w:highlight w:val="none"/>
                <w:lang w:val="en-US" w:eastAsia="zh-CN"/>
              </w:rPr>
            </w:pPr>
            <w:r>
              <w:rPr>
                <w:rFonts w:hint="eastAsia" w:ascii="仿宋_GB2312" w:eastAsia="仿宋_GB2312"/>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8" w:hRule="atLeast"/>
          <w:jc w:val="center"/>
        </w:trPr>
        <w:tc>
          <w:tcPr>
            <w:tcW w:w="62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仿宋_GB2312" w:eastAsia="仿宋_GB2312"/>
                <w:color w:val="auto"/>
                <w:kern w:val="0"/>
                <w:sz w:val="28"/>
                <w:szCs w:val="28"/>
                <w:highlight w:val="none"/>
                <w:lang w:val="en-US" w:eastAsia="zh-CN"/>
              </w:rPr>
            </w:pPr>
            <w:r>
              <w:rPr>
                <w:rFonts w:hint="eastAsia"/>
                <w:color w:val="auto"/>
                <w:kern w:val="0"/>
                <w:sz w:val="28"/>
                <w:szCs w:val="28"/>
                <w:highlight w:val="none"/>
                <w:lang w:val="en-US" w:eastAsia="zh-CN"/>
              </w:rPr>
              <w:t>25</w:t>
            </w:r>
          </w:p>
        </w:tc>
        <w:tc>
          <w:tcPr>
            <w:tcW w:w="914"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19" w:leftChars="0" w:right="0" w:rightChars="0"/>
              <w:jc w:val="both"/>
              <w:textAlignment w:val="auto"/>
              <w:outlineLvl w:val="9"/>
              <w:rPr>
                <w:rFonts w:hint="eastAsia" w:ascii="仿宋_GB2312" w:eastAsia="仿宋_GB2312"/>
                <w:color w:val="auto"/>
                <w:kern w:val="0"/>
                <w:sz w:val="28"/>
                <w:szCs w:val="28"/>
                <w:highlight w:val="none"/>
                <w:lang w:eastAsia="zh-CN"/>
              </w:rPr>
            </w:pPr>
            <w:r>
              <w:rPr>
                <w:i w:val="0"/>
                <w:iCs w:val="0"/>
                <w:color w:val="auto"/>
                <w:sz w:val="28"/>
                <w:highlight w:val="none"/>
              </w:rPr>
              <w:t>强化督查考核</w:t>
            </w:r>
          </w:p>
        </w:tc>
        <w:tc>
          <w:tcPr>
            <w:tcW w:w="5880"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ascii="仿宋_GB2312" w:eastAsia="仿宋_GB2312"/>
                <w:color w:val="auto"/>
                <w:kern w:val="0"/>
                <w:sz w:val="28"/>
                <w:szCs w:val="28"/>
                <w:highlight w:val="none"/>
              </w:rPr>
            </w:pPr>
            <w:r>
              <w:rPr>
                <w:rFonts w:hint="eastAsia"/>
                <w:i w:val="0"/>
                <w:iCs w:val="0"/>
                <w:color w:val="auto"/>
                <w:spacing w:val="-2"/>
                <w:sz w:val="28"/>
                <w:highlight w:val="none"/>
              </w:rPr>
              <w:t>加强督查检查，将2023年</w:t>
            </w:r>
            <w:r>
              <w:rPr>
                <w:rFonts w:hint="eastAsia"/>
                <w:i w:val="0"/>
                <w:iCs w:val="0"/>
                <w:color w:val="auto"/>
                <w:spacing w:val="-2"/>
                <w:sz w:val="28"/>
                <w:highlight w:val="none"/>
                <w:lang w:val="en-US" w:eastAsia="zh-CN"/>
              </w:rPr>
              <w:t>应对气候变化</w:t>
            </w:r>
            <w:r>
              <w:rPr>
                <w:rFonts w:hint="eastAsia"/>
                <w:i w:val="0"/>
                <w:iCs w:val="0"/>
                <w:color w:val="auto"/>
                <w:spacing w:val="-2"/>
                <w:sz w:val="28"/>
                <w:highlight w:val="none"/>
              </w:rPr>
              <w:t>各项工作纳入全区党建统领综合考核评价体系，对各镇街（地区）、相关部门进行考核评价。</w:t>
            </w:r>
          </w:p>
        </w:tc>
        <w:tc>
          <w:tcPr>
            <w:tcW w:w="1191"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eastAsia="仿宋_GB2312"/>
                <w:color w:val="auto"/>
                <w:kern w:val="0"/>
                <w:sz w:val="28"/>
                <w:szCs w:val="28"/>
                <w:highlight w:val="none"/>
                <w:lang w:eastAsia="zh-CN"/>
              </w:rPr>
            </w:pPr>
            <w:r>
              <w:rPr>
                <w:i w:val="0"/>
                <w:iCs w:val="0"/>
                <w:color w:val="auto"/>
                <w:sz w:val="28"/>
                <w:highlight w:val="none"/>
              </w:rPr>
              <w:t>年底前</w:t>
            </w:r>
          </w:p>
        </w:tc>
        <w:tc>
          <w:tcPr>
            <w:tcW w:w="2286" w:type="dxa"/>
            <w:gridSpan w:val="4"/>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eastAsia="仿宋_GB2312"/>
                <w:color w:val="auto"/>
                <w:kern w:val="0"/>
                <w:sz w:val="28"/>
                <w:szCs w:val="28"/>
                <w:highlight w:val="none"/>
                <w:lang w:eastAsia="zh-CN"/>
              </w:rPr>
            </w:pPr>
            <w:r>
              <w:rPr>
                <w:i w:val="0"/>
                <w:iCs w:val="0"/>
                <w:color w:val="auto"/>
                <w:sz w:val="28"/>
                <w:highlight w:val="none"/>
              </w:rPr>
              <w:t>区生态环境局</w:t>
            </w:r>
          </w:p>
        </w:tc>
        <w:tc>
          <w:tcPr>
            <w:tcW w:w="2286"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区委办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区政府办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tc>
        <w:tc>
          <w:tcPr>
            <w:tcW w:w="2217" w:type="dxa"/>
            <w:tcBorders>
              <w:top w:val="single" w:color="auto" w:sz="4" w:space="0"/>
              <w:left w:val="nil"/>
              <w:bottom w:val="single" w:color="auto" w:sz="4" w:space="0"/>
              <w:right w:val="single" w:color="auto" w:sz="4" w:space="0"/>
            </w:tcBorders>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eastAsia="仿宋_GB2312"/>
                <w:color w:val="auto"/>
                <w:kern w:val="0"/>
                <w:sz w:val="28"/>
                <w:szCs w:val="28"/>
                <w:highlight w:val="none"/>
                <w:lang w:val="en-US" w:eastAsia="zh-CN"/>
              </w:rPr>
            </w:pPr>
            <w:r>
              <w:rPr>
                <w:rFonts w:hint="eastAsia" w:ascii="仿宋_GB2312" w:eastAsia="仿宋_GB2312"/>
                <w:color w:val="auto"/>
                <w:sz w:val="28"/>
                <w:szCs w:val="28"/>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pPr>
        <w:pStyle w:val="5"/>
        <w:rPr>
          <w:rFonts w:hint="eastAsia" w:ascii="黑体" w:hAnsi="黑体" w:eastAsia="黑体" w:cs="黑体"/>
          <w:color w:val="auto"/>
          <w:sz w:val="32"/>
          <w:szCs w:val="32"/>
          <w:highlight w:val="none"/>
          <w:lang w:val="en-US" w:eastAsia="zh-CN"/>
        </w:rPr>
      </w:pPr>
    </w:p>
    <w:p>
      <w:pPr>
        <w:pStyle w:val="6"/>
        <w:rPr>
          <w:rFonts w:hint="eastAsia" w:ascii="黑体" w:hAnsi="黑体" w:eastAsia="黑体" w:cs="黑体"/>
          <w:color w:val="auto"/>
          <w:sz w:val="32"/>
          <w:szCs w:val="32"/>
          <w:highlight w:val="none"/>
          <w:lang w:val="en-US" w:eastAsia="zh-CN"/>
        </w:rPr>
      </w:pPr>
    </w:p>
    <w:p>
      <w:pPr>
        <w:rPr>
          <w:rFonts w:hint="eastAsia"/>
          <w:color w:val="auto"/>
          <w:highlight w:val="none"/>
          <w:lang w:val="en-US" w:eastAsia="zh-CN"/>
        </w:rPr>
      </w:pPr>
    </w:p>
    <w:p>
      <w:pPr>
        <w:pStyle w:val="6"/>
        <w:ind w:left="0" w:leftChars="0" w:firstLine="0" w:firstLineChars="0"/>
        <w:rPr>
          <w:rFonts w:hint="eastAsia"/>
          <w:color w:val="auto"/>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w:t>
      </w: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color w:val="auto"/>
          <w:sz w:val="32"/>
          <w:szCs w:val="32"/>
          <w:highlight w:val="none"/>
        </w:rPr>
      </w:pPr>
      <w:r>
        <w:rPr>
          <w:rFonts w:hint="eastAsia" w:ascii="方正小标宋_GBK" w:hAnsi="方正小标宋_GBK" w:eastAsia="方正小标宋_GBK" w:cs="方正小标宋_GBK"/>
          <w:color w:val="auto"/>
          <w:sz w:val="44"/>
          <w:szCs w:val="44"/>
          <w:highlight w:val="none"/>
        </w:rPr>
        <w:t>北京市密云区大气污染防治2023年</w:t>
      </w:r>
      <w:r>
        <w:rPr>
          <w:rFonts w:hint="eastAsia" w:ascii="方正小标宋_GBK" w:hAnsi="方正小标宋_GBK" w:eastAsia="方正小标宋_GBK" w:cs="方正小标宋_GBK"/>
          <w:color w:val="auto"/>
          <w:sz w:val="44"/>
          <w:szCs w:val="44"/>
          <w:highlight w:val="none"/>
          <w:lang w:val="en-US" w:eastAsia="zh-CN"/>
        </w:rPr>
        <w:t>行动计划</w:t>
      </w:r>
    </w:p>
    <w:tbl>
      <w:tblPr>
        <w:tblStyle w:val="14"/>
        <w:tblW w:w="151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4"/>
        <w:gridCol w:w="855"/>
        <w:gridCol w:w="5884"/>
        <w:gridCol w:w="1229"/>
        <w:gridCol w:w="2018"/>
        <w:gridCol w:w="12"/>
        <w:gridCol w:w="13"/>
        <w:gridCol w:w="13"/>
        <w:gridCol w:w="112"/>
        <w:gridCol w:w="2168"/>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37" w:hRule="atLeast"/>
          <w:tblHeader/>
        </w:trPr>
        <w:tc>
          <w:tcPr>
            <w:tcW w:w="554" w:type="dxa"/>
          </w:tcPr>
          <w:p>
            <w:pPr>
              <w:pStyle w:val="16"/>
              <w:keepNext w:val="0"/>
              <w:keepLines w:val="0"/>
              <w:pageBreakBefore w:val="0"/>
              <w:widowControl w:val="0"/>
              <w:kinsoku/>
              <w:wordWrap/>
              <w:overflowPunct/>
              <w:topLinePunct w:val="0"/>
              <w:autoSpaceDE w:val="0"/>
              <w:autoSpaceDN w:val="0"/>
              <w:bidi w:val="0"/>
              <w:adjustRightInd/>
              <w:snapToGrid/>
              <w:spacing w:before="7" w:line="440" w:lineRule="exact"/>
              <w:ind w:left="118" w:right="109"/>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序号</w:t>
            </w:r>
          </w:p>
        </w:tc>
        <w:tc>
          <w:tcPr>
            <w:tcW w:w="855" w:type="dxa"/>
          </w:tcPr>
          <w:p>
            <w:pPr>
              <w:pStyle w:val="16"/>
              <w:keepNext w:val="0"/>
              <w:keepLines w:val="0"/>
              <w:pageBreakBefore w:val="0"/>
              <w:widowControl w:val="0"/>
              <w:kinsoku/>
              <w:wordWrap/>
              <w:overflowPunct/>
              <w:topLinePunct w:val="0"/>
              <w:autoSpaceDE w:val="0"/>
              <w:autoSpaceDN w:val="0"/>
              <w:bidi w:val="0"/>
              <w:adjustRightInd/>
              <w:snapToGrid/>
              <w:spacing w:before="7" w:line="440" w:lineRule="exact"/>
              <w:ind w:left="120" w:right="107"/>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重点任务</w:t>
            </w:r>
          </w:p>
        </w:tc>
        <w:tc>
          <w:tcPr>
            <w:tcW w:w="5884" w:type="dxa"/>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2184" w:right="2175"/>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工作措施</w:t>
            </w:r>
          </w:p>
        </w:tc>
        <w:tc>
          <w:tcPr>
            <w:tcW w:w="1229" w:type="dxa"/>
          </w:tcPr>
          <w:p>
            <w:pPr>
              <w:pStyle w:val="16"/>
              <w:keepNext w:val="0"/>
              <w:keepLines w:val="0"/>
              <w:pageBreakBefore w:val="0"/>
              <w:widowControl w:val="0"/>
              <w:kinsoku/>
              <w:wordWrap/>
              <w:overflowPunct/>
              <w:topLinePunct w:val="0"/>
              <w:autoSpaceDE w:val="0"/>
              <w:autoSpaceDN w:val="0"/>
              <w:bidi w:val="0"/>
              <w:adjustRightInd/>
              <w:snapToGrid/>
              <w:spacing w:before="7" w:line="440" w:lineRule="exact"/>
              <w:ind w:left="295" w:right="283"/>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完成时限</w:t>
            </w:r>
          </w:p>
        </w:tc>
        <w:tc>
          <w:tcPr>
            <w:tcW w:w="2043" w:type="dxa"/>
            <w:gridSpan w:val="3"/>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66" w:right="58"/>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牵头部门</w:t>
            </w:r>
          </w:p>
        </w:tc>
        <w:tc>
          <w:tcPr>
            <w:tcW w:w="2293" w:type="dxa"/>
            <w:gridSpan w:val="3"/>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13" w:right="4"/>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主责单位</w:t>
            </w:r>
          </w:p>
        </w:tc>
        <w:tc>
          <w:tcPr>
            <w:tcW w:w="2332" w:type="dxa"/>
          </w:tcPr>
          <w:p>
            <w:pPr>
              <w:pStyle w:val="16"/>
              <w:keepNext w:val="0"/>
              <w:keepLines w:val="0"/>
              <w:pageBreakBefore w:val="0"/>
              <w:widowControl w:val="0"/>
              <w:kinsoku/>
              <w:wordWrap/>
              <w:overflowPunct/>
              <w:topLinePunct w:val="0"/>
              <w:autoSpaceDE w:val="0"/>
              <w:autoSpaceDN w:val="0"/>
              <w:bidi w:val="0"/>
              <w:adjustRightInd/>
              <w:snapToGrid/>
              <w:spacing w:before="189" w:line="440" w:lineRule="exact"/>
              <w:ind w:left="63" w:right="56"/>
              <w:jc w:val="center"/>
              <w:textAlignment w:val="auto"/>
              <w:outlineLvl w:val="9"/>
              <w:rPr>
                <w:rFonts w:hint="eastAsia" w:ascii="黑体" w:eastAsia="黑体"/>
                <w:i w:val="0"/>
                <w:iCs w:val="0"/>
                <w:color w:val="auto"/>
                <w:sz w:val="28"/>
                <w:highlight w:val="none"/>
              </w:rPr>
            </w:pPr>
            <w:r>
              <w:rPr>
                <w:rFonts w:hint="eastAsia" w:ascii="黑体" w:eastAsia="黑体"/>
                <w:i w:val="0"/>
                <w:iCs w:val="0"/>
                <w:color w:val="auto"/>
                <w:sz w:val="28"/>
                <w:highlight w:val="none"/>
              </w:rPr>
              <w:t>协办单位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3" w:hRule="atLeast"/>
        </w:trPr>
        <w:tc>
          <w:tcPr>
            <w:tcW w:w="15190" w:type="dxa"/>
            <w:gridSpan w:val="11"/>
          </w:tcPr>
          <w:p>
            <w:pPr>
              <w:pStyle w:val="16"/>
              <w:spacing w:before="40"/>
              <w:ind w:left="5016" w:right="5007"/>
              <w:jc w:val="center"/>
              <w:rPr>
                <w:rFonts w:hint="eastAsia" w:ascii="黑体" w:eastAsia="黑体"/>
                <w:i w:val="0"/>
                <w:iCs w:val="0"/>
                <w:color w:val="auto"/>
                <w:sz w:val="28"/>
                <w:highlight w:val="none"/>
              </w:rPr>
            </w:pPr>
            <w:r>
              <w:rPr>
                <w:rFonts w:hint="eastAsia" w:ascii="黑体" w:eastAsia="黑体"/>
                <w:i w:val="0"/>
                <w:iCs w:val="0"/>
                <w:color w:val="auto"/>
                <w:sz w:val="28"/>
                <w:highlight w:val="none"/>
              </w:rPr>
              <w:t>一、主要目标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sz w:val="28"/>
                <w:highlight w:val="none"/>
              </w:rPr>
            </w:pPr>
            <w:r>
              <w:rPr>
                <w:i w:val="0"/>
                <w:iCs w:val="0"/>
                <w:color w:val="auto"/>
                <w:w w:val="100"/>
                <w:sz w:val="28"/>
                <w:highlight w:val="none"/>
              </w:rPr>
              <w:t>1</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空气</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pacing w:val="-1"/>
                <w:sz w:val="28"/>
                <w:highlight w:val="none"/>
              </w:rPr>
              <w:t>质量</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pacing w:val="-1"/>
                <w:sz w:val="28"/>
                <w:highlight w:val="none"/>
              </w:rPr>
              <w:t>改善</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r>
              <w:rPr>
                <w:i w:val="0"/>
                <w:iCs w:val="0"/>
                <w:color w:val="auto"/>
                <w:sz w:val="28"/>
                <w:highlight w:val="none"/>
              </w:rPr>
              <w:t>目标</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108" w:right="0"/>
              <w:jc w:val="both"/>
              <w:textAlignment w:val="auto"/>
              <w:outlineLvl w:val="9"/>
              <w:rPr>
                <w:rFonts w:hint="default"/>
                <w:i w:val="0"/>
                <w:iCs w:val="0"/>
                <w:color w:val="auto"/>
                <w:sz w:val="28"/>
                <w:highlight w:val="none"/>
                <w:lang w:val="en-US" w:eastAsia="zh-CN"/>
              </w:rPr>
            </w:pPr>
            <w:r>
              <w:rPr>
                <w:i w:val="0"/>
                <w:iCs w:val="0"/>
                <w:color w:val="auto"/>
                <w:sz w:val="28"/>
                <w:highlight w:val="none"/>
              </w:rPr>
              <w:t>全区尽最大努力巩固空气质量改善成效</w:t>
            </w:r>
            <w:r>
              <w:rPr>
                <w:rFonts w:hint="eastAsia"/>
                <w:i w:val="0"/>
                <w:iCs w:val="0"/>
                <w:color w:val="auto"/>
                <w:sz w:val="28"/>
                <w:highlight w:val="none"/>
                <w:lang w:eastAsia="zh-CN"/>
              </w:rPr>
              <w:t>，细颗粒物浓度</w:t>
            </w:r>
            <w:r>
              <w:rPr>
                <w:i w:val="0"/>
                <w:iCs w:val="0"/>
                <w:color w:val="auto"/>
                <w:sz w:val="28"/>
                <w:highlight w:val="none"/>
              </w:rPr>
              <w:t>控制在</w:t>
            </w:r>
            <w:r>
              <w:rPr>
                <w:rFonts w:hint="eastAsia"/>
                <w:i w:val="0"/>
                <w:iCs w:val="0"/>
                <w:color w:val="auto"/>
                <w:sz w:val="28"/>
                <w:highlight w:val="none"/>
                <w:lang w:val="en-US" w:eastAsia="zh-CN"/>
              </w:rPr>
              <w:t>27</w:t>
            </w:r>
            <w:r>
              <w:rPr>
                <w:i w:val="0"/>
                <w:iCs w:val="0"/>
                <w:color w:val="auto"/>
                <w:sz w:val="28"/>
                <w:highlight w:val="none"/>
              </w:rPr>
              <w:t>微克每立方米</w:t>
            </w:r>
            <w:r>
              <w:rPr>
                <w:rFonts w:hint="eastAsia"/>
                <w:i w:val="0"/>
                <w:iCs w:val="0"/>
                <w:color w:val="auto"/>
                <w:sz w:val="28"/>
                <w:highlight w:val="none"/>
                <w:lang w:eastAsia="zh-CN"/>
              </w:rPr>
              <w:t>。</w:t>
            </w:r>
            <w:r>
              <w:rPr>
                <w:i w:val="0"/>
                <w:iCs w:val="0"/>
                <w:color w:val="auto"/>
                <w:sz w:val="28"/>
                <w:highlight w:val="none"/>
              </w:rPr>
              <w:t>优良</w:t>
            </w:r>
            <w:r>
              <w:rPr>
                <w:rFonts w:hint="eastAsia"/>
                <w:i w:val="0"/>
                <w:iCs w:val="0"/>
                <w:color w:val="auto"/>
                <w:sz w:val="28"/>
                <w:highlight w:val="none"/>
                <w:lang w:val="en-US" w:eastAsia="zh-CN"/>
              </w:rPr>
              <w:t>天</w:t>
            </w:r>
            <w:r>
              <w:rPr>
                <w:i w:val="0"/>
                <w:iCs w:val="0"/>
                <w:color w:val="auto"/>
                <w:sz w:val="28"/>
                <w:highlight w:val="none"/>
              </w:rPr>
              <w:t>比率达到</w:t>
            </w:r>
            <w:r>
              <w:rPr>
                <w:rFonts w:hint="eastAsia"/>
                <w:i w:val="0"/>
                <w:iCs w:val="0"/>
                <w:color w:val="auto"/>
                <w:sz w:val="28"/>
                <w:highlight w:val="none"/>
                <w:lang w:val="en-US" w:eastAsia="zh-CN"/>
              </w:rPr>
              <w:t>76</w:t>
            </w:r>
            <w:r>
              <w:rPr>
                <w:i w:val="0"/>
                <w:iCs w:val="0"/>
                <w:color w:val="auto"/>
                <w:sz w:val="28"/>
                <w:highlight w:val="none"/>
              </w:rPr>
              <w:t>%以上，重污染天</w:t>
            </w:r>
            <w:r>
              <w:rPr>
                <w:rFonts w:hint="eastAsia"/>
                <w:i w:val="0"/>
                <w:iCs w:val="0"/>
                <w:color w:val="auto"/>
                <w:sz w:val="28"/>
                <w:highlight w:val="none"/>
                <w:lang w:val="en-US" w:eastAsia="zh-CN"/>
              </w:rPr>
              <w:t>数控制在6天以内。</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pacing w:val="-3"/>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等部门</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firstLine="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897"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1" w:leftChars="0" w:right="0" w:rightChars="0"/>
              <w:jc w:val="center"/>
              <w:textAlignment w:val="auto"/>
              <w:outlineLvl w:val="9"/>
              <w:rPr>
                <w:i w:val="0"/>
                <w:iCs w:val="0"/>
                <w:color w:val="auto"/>
                <w:w w:val="100"/>
                <w:sz w:val="28"/>
                <w:highlight w:val="none"/>
              </w:rPr>
            </w:pPr>
            <w:r>
              <w:rPr>
                <w:i w:val="0"/>
                <w:iCs w:val="0"/>
                <w:color w:val="auto"/>
                <w:w w:val="100"/>
                <w:sz w:val="28"/>
                <w:highlight w:val="none"/>
              </w:rPr>
              <w:t>1</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43"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空气质量改善目标</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各镇街（</w:t>
            </w:r>
            <w:r>
              <w:rPr>
                <w:i w:val="0"/>
                <w:iCs w:val="0"/>
                <w:color w:val="auto"/>
                <w:spacing w:val="-2"/>
                <w:sz w:val="28"/>
                <w:highlight w:val="none"/>
              </w:rPr>
              <w:t>地区</w:t>
            </w:r>
            <w:r>
              <w:rPr>
                <w:i w:val="0"/>
                <w:iCs w:val="0"/>
                <w:color w:val="auto"/>
                <w:spacing w:val="-3"/>
                <w:sz w:val="28"/>
                <w:highlight w:val="none"/>
              </w:rPr>
              <w:t>）、中关村密云园最大努力巩</w:t>
            </w:r>
            <w:r>
              <w:rPr>
                <w:i w:val="0"/>
                <w:iCs w:val="0"/>
                <w:color w:val="auto"/>
                <w:spacing w:val="-4"/>
                <w:sz w:val="28"/>
                <w:highlight w:val="none"/>
              </w:rPr>
              <w:t>固空气质量改善成效，细颗粒物浓度同比改</w:t>
            </w:r>
            <w:r>
              <w:rPr>
                <w:i w:val="0"/>
                <w:iCs w:val="0"/>
                <w:color w:val="auto"/>
                <w:spacing w:val="-3"/>
                <w:sz w:val="28"/>
                <w:highlight w:val="none"/>
              </w:rPr>
              <w:t>善或持平。</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1" w:leftChars="0" w:right="0" w:rightChars="0"/>
              <w:jc w:val="center"/>
              <w:textAlignment w:val="auto"/>
              <w:outlineLvl w:val="9"/>
              <w:rPr>
                <w:i w:val="0"/>
                <w:iCs w:val="0"/>
                <w:color w:val="auto"/>
                <w:w w:val="100"/>
                <w:sz w:val="28"/>
                <w:highlight w:val="none"/>
              </w:rPr>
            </w:pPr>
            <w:r>
              <w:rPr>
                <w:i w:val="0"/>
                <w:iCs w:val="0"/>
                <w:color w:val="auto"/>
                <w:w w:val="100"/>
                <w:sz w:val="28"/>
                <w:highlight w:val="none"/>
              </w:rPr>
              <w:t>2</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总量减排目标</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pacing w:val="-12"/>
                <w:sz w:val="28"/>
                <w:highlight w:val="none"/>
              </w:rPr>
              <w:t>实现主要污染物排放总量持续下降，完成</w:t>
            </w:r>
            <w:r>
              <w:rPr>
                <w:rFonts w:hint="eastAsia"/>
                <w:i w:val="0"/>
                <w:iCs w:val="0"/>
                <w:color w:val="auto"/>
                <w:spacing w:val="-12"/>
                <w:sz w:val="28"/>
                <w:highlight w:val="none"/>
                <w:lang w:eastAsia="zh-CN"/>
              </w:rPr>
              <w:t>市级下达</w:t>
            </w:r>
            <w:r>
              <w:rPr>
                <w:i w:val="0"/>
                <w:iCs w:val="0"/>
                <w:color w:val="auto"/>
                <w:spacing w:val="-3"/>
                <w:sz w:val="28"/>
                <w:highlight w:val="none"/>
              </w:rPr>
              <w:t>氮氧化物</w:t>
            </w:r>
            <w:r>
              <w:rPr>
                <w:i w:val="0"/>
                <w:iCs w:val="0"/>
                <w:color w:val="auto"/>
                <w:sz w:val="28"/>
                <w:highlight w:val="none"/>
              </w:rPr>
              <w:t>（NOx）</w:t>
            </w:r>
            <w:r>
              <w:rPr>
                <w:i w:val="0"/>
                <w:iCs w:val="0"/>
                <w:color w:val="auto"/>
                <w:spacing w:val="-3"/>
                <w:sz w:val="28"/>
                <w:highlight w:val="none"/>
              </w:rPr>
              <w:t>、</w:t>
            </w:r>
            <w:r>
              <w:rPr>
                <w:i w:val="0"/>
                <w:iCs w:val="0"/>
                <w:color w:val="auto"/>
                <w:spacing w:val="-12"/>
                <w:sz w:val="28"/>
                <w:highlight w:val="none"/>
              </w:rPr>
              <w:t>挥发性有机物</w:t>
            </w:r>
            <w:r>
              <w:rPr>
                <w:i w:val="0"/>
                <w:iCs w:val="0"/>
                <w:color w:val="auto"/>
                <w:sz w:val="28"/>
                <w:highlight w:val="none"/>
              </w:rPr>
              <w:t>（VOCs）减排目标要求。</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4"/>
                <w:sz w:val="28"/>
                <w:highlight w:val="none"/>
              </w:rPr>
              <w:t>严格执行北京市生态环境准入清单，强化空</w:t>
            </w:r>
            <w:r>
              <w:rPr>
                <w:i w:val="0"/>
                <w:iCs w:val="0"/>
                <w:color w:val="auto"/>
                <w:spacing w:val="-3"/>
                <w:sz w:val="28"/>
                <w:highlight w:val="none"/>
              </w:rPr>
              <w:t>间、总量、准入生态环境管控。对于新增涉</w:t>
            </w:r>
            <w:r>
              <w:rPr>
                <w:i w:val="0"/>
                <w:iCs w:val="0"/>
                <w:color w:val="auto"/>
                <w:spacing w:val="5"/>
                <w:sz w:val="28"/>
                <w:highlight w:val="none"/>
              </w:rPr>
              <w:t>气建设项目严格执行</w:t>
            </w:r>
            <w:r>
              <w:rPr>
                <w:i w:val="0"/>
                <w:iCs w:val="0"/>
                <w:color w:val="auto"/>
                <w:sz w:val="28"/>
                <w:highlight w:val="none"/>
              </w:rPr>
              <w:t>NOx</w:t>
            </w:r>
            <w:r>
              <w:rPr>
                <w:i w:val="0"/>
                <w:iCs w:val="0"/>
                <w:color w:val="auto"/>
                <w:spacing w:val="-8"/>
                <w:sz w:val="28"/>
                <w:highlight w:val="none"/>
              </w:rPr>
              <w:t>、</w:t>
            </w:r>
            <w:r>
              <w:rPr>
                <w:i w:val="0"/>
                <w:iCs w:val="0"/>
                <w:color w:val="auto"/>
                <w:sz w:val="28"/>
                <w:highlight w:val="none"/>
              </w:rPr>
              <w:t>VOCs</w:t>
            </w:r>
            <w:r>
              <w:rPr>
                <w:i w:val="0"/>
                <w:iCs w:val="0"/>
                <w:color w:val="auto"/>
                <w:spacing w:val="-14"/>
                <w:sz w:val="28"/>
                <w:highlight w:val="none"/>
              </w:rPr>
              <w:t xml:space="preserve"> 等主要污染</w:t>
            </w:r>
            <w:r>
              <w:rPr>
                <w:i w:val="0"/>
                <w:iCs w:val="0"/>
                <w:color w:val="auto"/>
                <w:spacing w:val="-5"/>
                <w:sz w:val="28"/>
                <w:highlight w:val="none"/>
              </w:rPr>
              <w:t>物排放总量控制，实施“减二增一”削减量</w:t>
            </w:r>
            <w:r>
              <w:rPr>
                <w:i w:val="0"/>
                <w:iCs w:val="0"/>
                <w:color w:val="auto"/>
                <w:spacing w:val="-3"/>
                <w:sz w:val="28"/>
                <w:highlight w:val="none"/>
              </w:rPr>
              <w:t>替代审批制度。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区经信局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区交通局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区发改委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区规自分局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rFonts w:hint="eastAsia"/>
                <w:i w:val="0"/>
                <w:iCs w:val="0"/>
                <w:color w:val="auto"/>
                <w:spacing w:val="-20"/>
                <w:w w:val="95"/>
                <w:sz w:val="28"/>
                <w:highlight w:val="none"/>
                <w:lang w:val="en-US" w:eastAsia="zh-CN"/>
              </w:rPr>
            </w:pPr>
            <w:r>
              <w:rPr>
                <w:rFonts w:hint="eastAsia"/>
                <w:i w:val="0"/>
                <w:iCs w:val="0"/>
                <w:color w:val="auto"/>
                <w:spacing w:val="-20"/>
                <w:w w:val="95"/>
                <w:sz w:val="28"/>
                <w:highlight w:val="none"/>
                <w:lang w:val="en-US" w:eastAsia="zh-CN"/>
              </w:rPr>
              <w:t>区公安分局交通支队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2"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ascii="黑体" w:eastAsia="黑体"/>
                <w:i w:val="0"/>
                <w:iCs w:val="0"/>
                <w:color w:val="auto"/>
                <w:sz w:val="28"/>
                <w:highlight w:val="none"/>
              </w:rPr>
              <w:t>二、实施挥发性有机物（VOCs）治理专项行动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7"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pacing w:line="400" w:lineRule="exact"/>
              <w:ind w:left="11" w:leftChars="0" w:right="0" w:rightChars="0"/>
              <w:jc w:val="center"/>
              <w:textAlignment w:val="auto"/>
              <w:outlineLvl w:val="9"/>
              <w:rPr>
                <w:i w:val="0"/>
                <w:iCs w:val="0"/>
                <w:color w:val="auto"/>
                <w:w w:val="100"/>
                <w:sz w:val="28"/>
                <w:highlight w:val="none"/>
              </w:rPr>
            </w:pPr>
            <w:r>
              <w:rPr>
                <w:rFonts w:hint="eastAsia"/>
                <w:i w:val="0"/>
                <w:iCs w:val="0"/>
                <w:color w:val="auto"/>
                <w:w w:val="100"/>
                <w:sz w:val="28"/>
                <w:highlight w:val="none"/>
                <w:lang w:val="en-US" w:eastAsia="zh-CN"/>
              </w:rPr>
              <w:t>3</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3" w:line="400" w:lineRule="exact"/>
              <w:ind w:left="0" w:leftChars="0" w:right="0" w:rightChars="0"/>
              <w:jc w:val="both"/>
              <w:textAlignment w:val="auto"/>
              <w:outlineLvl w:val="9"/>
              <w:rPr>
                <w:i w:val="0"/>
                <w:iCs w:val="0"/>
                <w:color w:val="auto"/>
                <w:sz w:val="28"/>
                <w:highlight w:val="none"/>
              </w:rPr>
            </w:pPr>
            <w:r>
              <w:rPr>
                <w:rFonts w:hint="eastAsia"/>
                <w:i w:val="0"/>
                <w:iCs w:val="0"/>
                <w:color w:val="auto"/>
                <w:sz w:val="28"/>
                <w:highlight w:val="none"/>
              </w:rPr>
              <w:t>推进VOCs综合整治</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both"/>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4"/>
                <w:sz w:val="28"/>
                <w:szCs w:val="22"/>
                <w:highlight w:val="none"/>
                <w:lang w:val="en-US" w:eastAsia="en-US" w:bidi="ar-SA"/>
              </w:rPr>
              <w:t>加强VOCs浓度高值区、治理过程关键环节的突出问题溯源排查，持续开展VOCs全流程整治，有针对性地分类推进低（无）VOCs含量原辅材料源头替代、储罐综合治理、装卸废气收集治理、敞开液面逸散废气治理、加油站油气整治提升、有机废气收集处</w:t>
            </w:r>
            <w:r>
              <w:rPr>
                <w:rFonts w:hint="eastAsia" w:ascii="仿宋_GB2312" w:hAnsi="仿宋_GB2312" w:eastAsia="仿宋_GB2312" w:cs="仿宋_GB2312"/>
                <w:i w:val="0"/>
                <w:iCs w:val="0"/>
                <w:color w:val="auto"/>
                <w:spacing w:val="-17"/>
                <w:sz w:val="28"/>
                <w:szCs w:val="22"/>
                <w:highlight w:val="none"/>
                <w:lang w:val="en-US" w:eastAsia="en-US" w:bidi="ar-SA"/>
              </w:rPr>
              <w:t>理设施升级改造、VOCs治理“绿岛”项目等减排工程。</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区经信局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市场监管局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区</w:t>
            </w:r>
            <w:r>
              <w:rPr>
                <w:rFonts w:hint="eastAsia"/>
                <w:i w:val="0"/>
                <w:iCs w:val="0"/>
                <w:color w:val="auto"/>
                <w:sz w:val="28"/>
                <w:highlight w:val="none"/>
              </w:rPr>
              <w:t>交通</w:t>
            </w:r>
            <w:r>
              <w:rPr>
                <w:rFonts w:hint="eastAsia"/>
                <w:i w:val="0"/>
                <w:iCs w:val="0"/>
                <w:color w:val="auto"/>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pacing w:val="-20"/>
                <w:w w:val="95"/>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pacing w:val="-20"/>
                <w:w w:val="95"/>
                <w:sz w:val="28"/>
                <w:highlight w:val="none"/>
              </w:rPr>
            </w:pPr>
            <w:r>
              <w:rPr>
                <w:rFonts w:hint="eastAsia"/>
                <w:i w:val="0"/>
                <w:iCs w:val="0"/>
                <w:color w:val="auto"/>
                <w:sz w:val="28"/>
                <w:highlight w:val="none"/>
                <w:lang w:val="en-US" w:eastAsia="zh-CN"/>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 xml:space="preserve">）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1" w:leftChars="0" w:right="0" w:rightChars="0"/>
              <w:jc w:val="center"/>
              <w:textAlignment w:val="auto"/>
              <w:outlineLvl w:val="9"/>
              <w:rPr>
                <w:i w:val="0"/>
                <w:iCs w:val="0"/>
                <w:color w:val="auto"/>
                <w:w w:val="100"/>
                <w:sz w:val="28"/>
                <w:highlight w:val="none"/>
              </w:rPr>
            </w:pPr>
            <w:r>
              <w:rPr>
                <w:rFonts w:hint="eastAsia"/>
                <w:i w:val="0"/>
                <w:iCs w:val="0"/>
                <w:color w:val="auto"/>
                <w:w w:val="100"/>
                <w:sz w:val="28"/>
                <w:highlight w:val="none"/>
                <w:lang w:val="en-US" w:eastAsia="zh-CN"/>
              </w:rPr>
              <w:t>4</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积极推广新能源汽车</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eastAsia="仿宋_GB2312"/>
                <w:i w:val="0"/>
                <w:iCs w:val="0"/>
                <w:color w:val="auto"/>
                <w:sz w:val="28"/>
                <w:highlight w:val="none"/>
                <w:lang w:eastAsia="zh-CN"/>
              </w:rPr>
            </w:pPr>
            <w:r>
              <w:rPr>
                <w:i w:val="0"/>
                <w:iCs w:val="0"/>
                <w:color w:val="auto"/>
                <w:spacing w:val="-4"/>
                <w:sz w:val="28"/>
                <w:highlight w:val="none"/>
              </w:rPr>
              <w:t>落实北京市“十四五”时期新能源汽车推广</w:t>
            </w:r>
            <w:r>
              <w:rPr>
                <w:i w:val="0"/>
                <w:iCs w:val="0"/>
                <w:color w:val="auto"/>
                <w:spacing w:val="-3"/>
                <w:sz w:val="28"/>
                <w:highlight w:val="none"/>
              </w:rPr>
              <w:t>应用工作方案。</w:t>
            </w:r>
            <w:r>
              <w:rPr>
                <w:rFonts w:hint="eastAsia"/>
                <w:i w:val="0"/>
                <w:iCs w:val="0"/>
                <w:color w:val="auto"/>
                <w:spacing w:val="-3"/>
                <w:sz w:val="28"/>
                <w:highlight w:val="none"/>
                <w:lang w:val="en-US" w:eastAsia="zh-CN"/>
              </w:rPr>
              <w:t>完成市级下达的新能源车推广任务</w:t>
            </w:r>
            <w:r>
              <w:rPr>
                <w:rFonts w:hint="eastAsia"/>
                <w:i w:val="0"/>
                <w:iCs w:val="0"/>
                <w:color w:val="auto"/>
                <w:spacing w:val="-3"/>
                <w:sz w:val="28"/>
                <w:highlight w:val="none"/>
              </w:rPr>
              <w:t>。针对生产、销售、使用、充电等环节，各</w:t>
            </w:r>
            <w:r>
              <w:rPr>
                <w:rFonts w:hint="eastAsia"/>
                <w:i w:val="0"/>
                <w:iCs w:val="0"/>
                <w:color w:val="auto"/>
                <w:spacing w:val="-3"/>
                <w:sz w:val="28"/>
                <w:highlight w:val="none"/>
                <w:lang w:val="en-US" w:eastAsia="zh-CN"/>
              </w:rPr>
              <w:t>相关</w:t>
            </w:r>
            <w:r>
              <w:rPr>
                <w:rFonts w:hint="eastAsia"/>
                <w:i w:val="0"/>
                <w:iCs w:val="0"/>
                <w:color w:val="auto"/>
                <w:spacing w:val="-3"/>
                <w:sz w:val="28"/>
                <w:highlight w:val="none"/>
              </w:rPr>
              <w:t>单位加快配套措施落地实施。</w:t>
            </w:r>
            <w:r>
              <w:rPr>
                <w:rFonts w:hint="eastAsia"/>
                <w:i w:val="0"/>
                <w:iCs w:val="0"/>
                <w:color w:val="auto"/>
                <w:spacing w:val="-3"/>
                <w:sz w:val="28"/>
                <w:highlight w:val="none"/>
                <w:lang w:val="en-US" w:eastAsia="zh-CN"/>
              </w:rPr>
              <w:t>研究</w:t>
            </w:r>
            <w:r>
              <w:rPr>
                <w:rFonts w:hint="eastAsia"/>
                <w:i w:val="0"/>
                <w:iCs w:val="0"/>
                <w:color w:val="auto"/>
                <w:sz w:val="28"/>
                <w:highlight w:val="none"/>
              </w:rPr>
              <w:t>制定辖区新能源车推广鼓励政策</w:t>
            </w:r>
            <w:r>
              <w:rPr>
                <w:rFonts w:hint="eastAsia"/>
                <w:i w:val="0"/>
                <w:iCs w:val="0"/>
                <w:color w:val="auto"/>
                <w:sz w:val="28"/>
                <w:highlight w:val="none"/>
                <w:lang w:eastAsia="zh-CN"/>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按时间节点完成</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区经信局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pacing w:val="-2"/>
                <w:sz w:val="28"/>
                <w:highlight w:val="none"/>
              </w:rPr>
            </w:pPr>
            <w:r>
              <w:rPr>
                <w:i w:val="0"/>
                <w:iCs w:val="0"/>
                <w:color w:val="auto"/>
                <w:spacing w:val="-2"/>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pacing w:val="-5"/>
                <w:sz w:val="28"/>
                <w:highlight w:val="none"/>
              </w:rPr>
            </w:pPr>
            <w:r>
              <w:rPr>
                <w:i w:val="0"/>
                <w:iCs w:val="0"/>
                <w:color w:val="auto"/>
                <w:spacing w:val="-5"/>
                <w:sz w:val="28"/>
                <w:highlight w:val="none"/>
              </w:rPr>
              <w:t>区规自分局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z w:val="28"/>
                <w:highlight w:val="none"/>
              </w:rPr>
            </w:pPr>
            <w:r>
              <w:rPr>
                <w:i w:val="0"/>
                <w:iCs w:val="0"/>
                <w:color w:val="auto"/>
                <w:spacing w:val="-1"/>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中国邮政密云分公司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级财政支持的机关、事业单位、国有企业和社会团体新增和更新的车辆原则上为纯电动或氢燃料电池车（长期在偏远山区或河湖区使用、无适配车型及确因工作需要等除外）。对于具备条件的新增和更新执法执勤、通勤等专用或特殊车辆优先选用纯电动或氢燃料电池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区财政局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left"/>
              <w:textAlignment w:val="auto"/>
              <w:outlineLvl w:val="9"/>
              <w:rPr>
                <w:i w:val="0"/>
                <w:iCs w:val="0"/>
                <w:color w:val="auto"/>
                <w:spacing w:val="-3"/>
                <w:sz w:val="28"/>
                <w:highlight w:val="none"/>
              </w:rPr>
            </w:pPr>
            <w:r>
              <w:rPr>
                <w:rFonts w:hint="eastAsia"/>
                <w:i w:val="0"/>
                <w:iCs w:val="0"/>
                <w:color w:val="auto"/>
                <w:spacing w:val="-20"/>
                <w:w w:val="95"/>
                <w:sz w:val="28"/>
                <w:highlight w:val="none"/>
                <w:lang w:val="en-US" w:eastAsia="zh-CN"/>
              </w:rPr>
              <w:t>区机关事务管理中心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pacing w:val="-6"/>
                <w:sz w:val="28"/>
                <w:highlight w:val="none"/>
              </w:rPr>
              <w:t>全区党政机关</w:t>
            </w:r>
            <w:r>
              <w:rPr>
                <w:rFonts w:hint="eastAsia"/>
                <w:i w:val="0"/>
                <w:iCs w:val="0"/>
                <w:color w:val="auto"/>
                <w:spacing w:val="-6"/>
                <w:sz w:val="28"/>
                <w:highlight w:val="none"/>
                <w:lang w:eastAsia="zh-CN"/>
              </w:rPr>
              <w:t>、</w:t>
            </w:r>
            <w:r>
              <w:rPr>
                <w:i w:val="0"/>
                <w:iCs w:val="0"/>
                <w:color w:val="auto"/>
                <w:spacing w:val="-6"/>
                <w:sz w:val="28"/>
                <w:highlight w:val="none"/>
              </w:rPr>
              <w:t>事业单位和社会</w:t>
            </w:r>
            <w:r>
              <w:rPr>
                <w:rFonts w:hint="eastAsia"/>
                <w:i w:val="0"/>
                <w:iCs w:val="0"/>
                <w:color w:val="auto"/>
                <w:spacing w:val="-6"/>
                <w:sz w:val="28"/>
                <w:highlight w:val="none"/>
                <w:lang w:val="en-US" w:eastAsia="zh-CN"/>
              </w:rPr>
              <w:t>团</w:t>
            </w:r>
            <w:r>
              <w:rPr>
                <w:i w:val="0"/>
                <w:iCs w:val="0"/>
                <w:color w:val="auto"/>
                <w:spacing w:val="-6"/>
                <w:sz w:val="28"/>
                <w:highlight w:val="none"/>
              </w:rPr>
              <w:t>体</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47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4</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r>
              <w:rPr>
                <w:i w:val="0"/>
                <w:iCs w:val="0"/>
                <w:color w:val="auto"/>
                <w:sz w:val="28"/>
                <w:highlight w:val="none"/>
              </w:rPr>
              <w:t>积极推广新能源汽车</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color w:val="auto"/>
                <w:sz w:val="28"/>
                <w:szCs w:val="28"/>
                <w:highlight w:val="none"/>
                <w:lang w:val="en-US" w:eastAsia="zh-CN"/>
              </w:rPr>
              <w:t>落实</w:t>
            </w:r>
            <w:r>
              <w:rPr>
                <w:rFonts w:hint="eastAsia" w:ascii="仿宋_GB2312" w:eastAsia="仿宋_GB2312"/>
                <w:color w:val="auto"/>
                <w:sz w:val="28"/>
                <w:szCs w:val="28"/>
                <w:highlight w:val="none"/>
              </w:rPr>
              <w:t>市新能源汽车联席会议办公室制定</w:t>
            </w:r>
            <w:r>
              <w:rPr>
                <w:rFonts w:hint="eastAsia"/>
                <w:color w:val="auto"/>
                <w:sz w:val="28"/>
                <w:szCs w:val="28"/>
                <w:highlight w:val="none"/>
                <w:lang w:eastAsia="zh-CN"/>
              </w:rPr>
              <w:t>的</w:t>
            </w:r>
            <w:r>
              <w:rPr>
                <w:rFonts w:hint="eastAsia" w:ascii="仿宋_GB2312" w:eastAsia="仿宋_GB2312"/>
                <w:color w:val="auto"/>
                <w:sz w:val="28"/>
                <w:szCs w:val="28"/>
                <w:highlight w:val="none"/>
              </w:rPr>
              <w:t>实施存量社会燃油小客车“油换电”“油换氢”激励政策，通过成本激励、通行便利以及同步鼓励汽车企业制定置换补贴政策等方式，加快推动存量社会燃油小客车电动化。</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6月底前</w:t>
            </w:r>
          </w:p>
        </w:tc>
        <w:tc>
          <w:tcPr>
            <w:tcW w:w="204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经信局</w:t>
            </w:r>
          </w:p>
        </w:tc>
        <w:tc>
          <w:tcPr>
            <w:tcW w:w="229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区经信局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区交通局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区商务局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color w:val="auto"/>
                <w:sz w:val="28"/>
                <w:szCs w:val="28"/>
                <w:highlight w:val="none"/>
                <w:lang w:val="en-US" w:eastAsia="zh-CN"/>
              </w:rPr>
            </w:pPr>
            <w:r>
              <w:rPr>
                <w:rFonts w:hint="eastAsia"/>
                <w:i w:val="0"/>
                <w:iCs w:val="0"/>
                <w:color w:val="auto"/>
                <w:spacing w:val="-20"/>
                <w:w w:val="95"/>
                <w:sz w:val="28"/>
                <w:highlight w:val="none"/>
                <w:lang w:val="en-US" w:eastAsia="zh-CN"/>
              </w:rPr>
              <w:t>区公安分局交通支队</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按照</w:t>
            </w:r>
            <w:r>
              <w:rPr>
                <w:rFonts w:hint="eastAsia"/>
                <w:i w:val="0"/>
                <w:iCs w:val="0"/>
                <w:color w:val="auto"/>
                <w:sz w:val="28"/>
                <w:highlight w:val="none"/>
                <w:lang w:val="en-US" w:eastAsia="zh-CN"/>
              </w:rPr>
              <w:t>全市</w:t>
            </w:r>
            <w:r>
              <w:rPr>
                <w:i w:val="0"/>
                <w:iCs w:val="0"/>
                <w:color w:val="auto"/>
                <w:sz w:val="28"/>
                <w:highlight w:val="none"/>
              </w:rPr>
              <w:t>统一部署，落实针对新能源汽车的道路差异化停车收费价格</w:t>
            </w:r>
            <w:r>
              <w:rPr>
                <w:rFonts w:hint="eastAsia"/>
                <w:i w:val="0"/>
                <w:iCs w:val="0"/>
                <w:color w:val="auto"/>
                <w:sz w:val="28"/>
                <w:highlight w:val="none"/>
                <w:lang w:val="en-US" w:eastAsia="zh-CN"/>
              </w:rPr>
              <w:t>政策；研究</w:t>
            </w:r>
            <w:r>
              <w:rPr>
                <w:rFonts w:hint="eastAsia"/>
                <w:i w:val="0"/>
                <w:iCs w:val="0"/>
                <w:color w:val="auto"/>
                <w:sz w:val="28"/>
                <w:highlight w:val="none"/>
              </w:rPr>
              <w:t>制定辖区新能源车停车优惠、配套设施建设等鼓励政策。</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tc>
        <w:tc>
          <w:tcPr>
            <w:tcW w:w="2306" w:type="dxa"/>
            <w:gridSpan w:val="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区交通局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rFonts w:hint="eastAsia" w:eastAsia="仿宋_GB2312"/>
                <w:i w:val="0"/>
                <w:iCs w:val="0"/>
                <w:color w:val="auto"/>
                <w:sz w:val="28"/>
                <w:highlight w:val="none"/>
                <w:lang w:eastAsia="zh-CN"/>
              </w:rPr>
            </w:pPr>
            <w:r>
              <w:rPr>
                <w:rFonts w:hint="eastAsia"/>
                <w:color w:val="auto"/>
                <w:sz w:val="28"/>
                <w:szCs w:val="28"/>
                <w:highlight w:val="none"/>
                <w:lang w:val="en-US" w:eastAsia="zh-CN"/>
              </w:rPr>
              <w:t>落实全市</w:t>
            </w:r>
            <w:r>
              <w:rPr>
                <w:rFonts w:hint="eastAsia" w:ascii="仿宋_GB2312" w:eastAsia="仿宋_GB2312"/>
                <w:color w:val="auto"/>
                <w:sz w:val="28"/>
                <w:szCs w:val="28"/>
                <w:highlight w:val="none"/>
              </w:rPr>
              <w:t>机动车超低排放区政策，按照积极稳妥、有序引导原则分阶段、分行业推进非新能源车辆进入超低排放区。</w:t>
            </w:r>
            <w:r>
              <w:rPr>
                <w:rFonts w:hint="eastAsia"/>
                <w:i w:val="0"/>
                <w:iCs w:val="0"/>
                <w:color w:val="auto"/>
                <w:sz w:val="28"/>
                <w:highlight w:val="none"/>
                <w:lang w:val="en-US" w:eastAsia="zh-CN"/>
              </w:rPr>
              <w:t>研究</w:t>
            </w:r>
            <w:r>
              <w:rPr>
                <w:rFonts w:hint="eastAsia"/>
                <w:i w:val="0"/>
                <w:iCs w:val="0"/>
                <w:color w:val="auto"/>
                <w:sz w:val="28"/>
                <w:highlight w:val="none"/>
              </w:rPr>
              <w:t>制定辖区新能源车通行便利政策</w:t>
            </w:r>
            <w:r>
              <w:rPr>
                <w:rFonts w:hint="eastAsia"/>
                <w:i w:val="0"/>
                <w:iCs w:val="0"/>
                <w:color w:val="auto"/>
                <w:sz w:val="28"/>
                <w:highlight w:val="none"/>
                <w:lang w:eastAsia="zh-CN"/>
              </w:rPr>
              <w:t>。</w:t>
            </w:r>
          </w:p>
        </w:tc>
        <w:tc>
          <w:tcPr>
            <w:tcW w:w="1229" w:type="dxa"/>
            <w:vAlign w:val="center"/>
          </w:tcPr>
          <w:p>
            <w:pPr>
              <w:snapToGrid w:val="0"/>
              <w:spacing w:line="320" w:lineRule="exact"/>
              <w:ind w:left="0" w:leftChars="0" w:right="0" w:rightChars="0"/>
              <w:jc w:val="center"/>
              <w:rPr>
                <w:i w:val="0"/>
                <w:iCs w:val="0"/>
                <w:color w:val="auto"/>
                <w:sz w:val="28"/>
                <w:highlight w:val="none"/>
              </w:rPr>
            </w:pPr>
            <w:r>
              <w:rPr>
                <w:rFonts w:hint="eastAsia" w:ascii="仿宋_GB2312" w:eastAsia="仿宋_GB2312"/>
                <w:color w:val="auto"/>
                <w:sz w:val="28"/>
                <w:szCs w:val="28"/>
                <w:highlight w:val="none"/>
              </w:rPr>
              <w:t>年底前</w:t>
            </w:r>
          </w:p>
        </w:tc>
        <w:tc>
          <w:tcPr>
            <w:tcW w:w="4336" w:type="dxa"/>
            <w:gridSpan w:val="6"/>
            <w:vAlign w:val="center"/>
          </w:tcPr>
          <w:p>
            <w:pPr>
              <w:snapToGrid w:val="0"/>
              <w:spacing w:line="320" w:lineRule="exact"/>
              <w:ind w:left="0" w:leftChars="0" w:right="-68" w:rightChars="-31"/>
              <w:jc w:val="center"/>
              <w:rPr>
                <w:rFonts w:hint="eastAsia"/>
                <w:color w:val="auto"/>
                <w:sz w:val="28"/>
                <w:szCs w:val="28"/>
                <w:highlight w:val="none"/>
                <w:lang w:val="en-US" w:eastAsia="zh-CN"/>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交通</w:t>
            </w:r>
            <w:r>
              <w:rPr>
                <w:rFonts w:hint="eastAsia"/>
                <w:color w:val="auto"/>
                <w:sz w:val="28"/>
                <w:szCs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ascii="仿宋_GB2312" w:hAnsi="仿宋_GB2312" w:eastAsia="仿宋_GB2312" w:cs="仿宋_GB2312"/>
                <w:color w:val="auto"/>
                <w:sz w:val="28"/>
                <w:szCs w:val="28"/>
                <w:highlight w:val="none"/>
                <w:lang w:val="en-US" w:eastAsia="zh-CN" w:bidi="ar-SA"/>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color w:val="auto"/>
                <w:sz w:val="28"/>
                <w:szCs w:val="28"/>
                <w:highlight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i w:val="0"/>
                <w:iCs w:val="0"/>
                <w:color w:val="auto"/>
                <w:sz w:val="28"/>
                <w:highlight w:val="none"/>
              </w:rPr>
            </w:pPr>
            <w:r>
              <w:rPr>
                <w:rFonts w:hint="eastAsia"/>
                <w:color w:val="auto"/>
                <w:sz w:val="28"/>
                <w:szCs w:val="28"/>
                <w:highlight w:val="none"/>
                <w:lang w:val="en-US" w:eastAsia="zh-CN"/>
              </w:rPr>
              <w:t>落实北京市</w:t>
            </w:r>
            <w:r>
              <w:rPr>
                <w:rFonts w:hint="eastAsia" w:ascii="仿宋_GB2312" w:eastAsia="仿宋_GB2312"/>
                <w:color w:val="auto"/>
                <w:sz w:val="28"/>
                <w:szCs w:val="28"/>
                <w:highlight w:val="none"/>
              </w:rPr>
              <w:t>实施新一轮小客车置换新能源汽车补贴政策。</w:t>
            </w:r>
          </w:p>
        </w:tc>
        <w:tc>
          <w:tcPr>
            <w:tcW w:w="1229" w:type="dxa"/>
            <w:vAlign w:val="center"/>
          </w:tcPr>
          <w:p>
            <w:pPr>
              <w:snapToGrid w:val="0"/>
              <w:spacing w:line="320" w:lineRule="exact"/>
              <w:ind w:left="0" w:leftChars="0" w:right="0" w:rightChars="0"/>
              <w:jc w:val="center"/>
              <w:rPr>
                <w:i w:val="0"/>
                <w:iCs w:val="0"/>
                <w:color w:val="auto"/>
                <w:sz w:val="28"/>
                <w:highlight w:val="none"/>
              </w:rPr>
            </w:pPr>
            <w:r>
              <w:rPr>
                <w:rFonts w:hint="eastAsia" w:ascii="仿宋_GB2312" w:eastAsia="仿宋_GB2312"/>
                <w:color w:val="auto"/>
                <w:sz w:val="28"/>
                <w:szCs w:val="28"/>
                <w:highlight w:val="none"/>
              </w:rPr>
              <w:t>6月底前</w:t>
            </w:r>
          </w:p>
        </w:tc>
        <w:tc>
          <w:tcPr>
            <w:tcW w:w="4336" w:type="dxa"/>
            <w:gridSpan w:val="6"/>
            <w:vAlign w:val="center"/>
          </w:tcPr>
          <w:p>
            <w:pPr>
              <w:snapToGrid w:val="0"/>
              <w:spacing w:line="320" w:lineRule="exact"/>
              <w:ind w:left="0" w:leftChars="0" w:right="-68" w:rightChars="-31"/>
              <w:jc w:val="center"/>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商务局</w:t>
            </w:r>
          </w:p>
        </w:tc>
        <w:tc>
          <w:tcPr>
            <w:tcW w:w="2332" w:type="dxa"/>
            <w:vAlign w:val="center"/>
          </w:tcPr>
          <w:p>
            <w:pPr>
              <w:snapToGrid w:val="0"/>
              <w:spacing w:line="320" w:lineRule="exact"/>
              <w:ind w:right="-68" w:rightChars="-31"/>
              <w:jc w:val="center"/>
              <w:rPr>
                <w:rFonts w:hint="eastAsia" w:ascii="仿宋_GB2312" w:eastAsia="仿宋_GB2312"/>
                <w:color w:val="auto"/>
                <w:sz w:val="28"/>
                <w:szCs w:val="28"/>
                <w:highlight w:val="none"/>
              </w:rPr>
            </w:pPr>
            <w:r>
              <w:rPr>
                <w:rFonts w:hint="eastAsia"/>
                <w:color w:val="auto"/>
                <w:spacing w:val="-14"/>
                <w:sz w:val="28"/>
                <w:szCs w:val="28"/>
                <w:highlight w:val="none"/>
                <w:lang w:val="en-US" w:eastAsia="zh-CN"/>
              </w:rPr>
              <w:t>区</w:t>
            </w:r>
            <w:r>
              <w:rPr>
                <w:rFonts w:hint="eastAsia" w:ascii="仿宋_GB2312" w:eastAsia="仿宋_GB2312"/>
                <w:color w:val="auto"/>
                <w:spacing w:val="-14"/>
                <w:sz w:val="28"/>
                <w:szCs w:val="28"/>
                <w:highlight w:val="none"/>
              </w:rPr>
              <w:t>经信局</w:t>
            </w:r>
          </w:p>
          <w:p>
            <w:pPr>
              <w:snapToGrid w:val="0"/>
              <w:spacing w:line="320" w:lineRule="exact"/>
              <w:ind w:left="0" w:leftChars="0" w:right="0" w:rightChars="0"/>
              <w:jc w:val="center"/>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落实全市</w:t>
            </w:r>
            <w:r>
              <w:rPr>
                <w:rFonts w:hint="eastAsia"/>
                <w:i w:val="0"/>
                <w:iCs w:val="0"/>
                <w:color w:val="auto"/>
                <w:sz w:val="28"/>
                <w:highlight w:val="none"/>
              </w:rPr>
              <w:t>加强居住区电动汽车充电设施建设和管理的意见</w:t>
            </w:r>
            <w:r>
              <w:rPr>
                <w:rFonts w:hint="eastAsia"/>
                <w:i w:val="0"/>
                <w:iCs w:val="0"/>
                <w:color w:val="auto"/>
                <w:sz w:val="28"/>
                <w:highlight w:val="none"/>
                <w:lang w:val="en-US" w:eastAsia="zh-CN"/>
              </w:rPr>
              <w:t>以及市城管委制定的</w:t>
            </w:r>
            <w:r>
              <w:rPr>
                <w:rFonts w:hint="eastAsia"/>
                <w:i w:val="0"/>
                <w:iCs w:val="0"/>
                <w:color w:val="auto"/>
                <w:sz w:val="28"/>
                <w:highlight w:val="none"/>
              </w:rPr>
              <w:t>电力设施统装统建政策，鼓励将停车位及充电设施电气化改造与老旧小区改造同步实施。</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按时间节点完成</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区规自分局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2"/>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国家电网密云供电公司</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 xml:space="preserve"> </w:t>
            </w: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99"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5</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6" w:right="107" w:firstLine="14"/>
              <w:jc w:val="left"/>
              <w:textAlignment w:val="auto"/>
              <w:outlineLvl w:val="9"/>
              <w:rPr>
                <w:i w:val="0"/>
                <w:iCs w:val="0"/>
                <w:color w:val="auto"/>
                <w:sz w:val="28"/>
                <w:highlight w:val="none"/>
              </w:rPr>
            </w:pPr>
            <w:r>
              <w:rPr>
                <w:i w:val="0"/>
                <w:iCs w:val="0"/>
                <w:color w:val="auto"/>
                <w:spacing w:val="-8"/>
                <w:sz w:val="28"/>
                <w:highlight w:val="none"/>
              </w:rPr>
              <w:t>推进</w:t>
            </w:r>
            <w:r>
              <w:rPr>
                <w:i w:val="0"/>
                <w:iCs w:val="0"/>
                <w:color w:val="auto"/>
                <w:sz w:val="28"/>
                <w:highlight w:val="none"/>
              </w:rPr>
              <w:t>低VOCs</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i w:val="0"/>
                <w:iCs w:val="0"/>
                <w:color w:val="auto"/>
                <w:spacing w:val="-8"/>
                <w:sz w:val="28"/>
                <w:highlight w:val="none"/>
              </w:rPr>
              <w:t>含量产品源头</w:t>
            </w:r>
            <w:r>
              <w:rPr>
                <w:i w:val="0"/>
                <w:iCs w:val="0"/>
                <w:color w:val="auto"/>
                <w:spacing w:val="-9"/>
                <w:sz w:val="28"/>
                <w:highlight w:val="none"/>
              </w:rPr>
              <w:t>替代</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市场监管局对生产、流通环节涂料、胶粘剂、清洗剂、油墨等含VOCs产品开展抽检，强化对电商网络销售渠道含VOCs产品的抽检力度，抽检结果定期公示</w:t>
            </w:r>
            <w:r>
              <w:rPr>
                <w:rFonts w:hint="eastAsia"/>
                <w:i w:val="0"/>
                <w:iCs w:val="0"/>
                <w:color w:val="auto"/>
                <w:spacing w:val="-3"/>
                <w:sz w:val="28"/>
                <w:highlight w:val="none"/>
                <w:lang w:eastAsia="zh-CN"/>
              </w:rPr>
              <w:t>，</w:t>
            </w:r>
            <w:r>
              <w:rPr>
                <w:rFonts w:hint="eastAsia"/>
                <w:i w:val="0"/>
                <w:iCs w:val="0"/>
                <w:color w:val="auto"/>
                <w:spacing w:val="-3"/>
                <w:sz w:val="28"/>
                <w:highlight w:val="none"/>
                <w:lang w:val="en-US" w:eastAsia="zh-CN"/>
              </w:rPr>
              <w:t>完成市级下发抽检任务。</w:t>
            </w:r>
            <w:r>
              <w:rPr>
                <w:rFonts w:hint="eastAsia"/>
                <w:i w:val="0"/>
                <w:iCs w:val="0"/>
                <w:color w:val="auto"/>
                <w:spacing w:val="-3"/>
                <w:sz w:val="28"/>
                <w:highlight w:val="none"/>
              </w:rPr>
              <w:t>按照全市统一部署，开展对溶剂型VOCs产品的专项抽检工作。</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5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rFonts w:hint="eastAsia"/>
                <w:i w:val="0"/>
                <w:iCs w:val="0"/>
                <w:color w:val="auto"/>
                <w:sz w:val="28"/>
                <w:highlight w:val="none"/>
              </w:rPr>
            </w:pPr>
            <w:r>
              <w:rPr>
                <w:rFonts w:hint="eastAsia"/>
                <w:i w:val="0"/>
                <w:iCs w:val="0"/>
                <w:color w:val="auto"/>
                <w:sz w:val="28"/>
                <w:highlight w:val="none"/>
              </w:rPr>
              <w:t>工程建设领域大力推广绿色环保产品，在政府投资建设工程中，优先使用低VOCs含量产品。住房城乡建设、城市管理、交通等行业主管部门指导各区，组织施工工地建设单位通过招标文件等方式对施工单位提出使用符合北京市《建筑类涂料与胶粘剂挥发性有机化合物含量限值标准》（DB11/ 1983-2022）产品的相关要求。</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行业主管部门应对台账、检测报告等材料开展定期检查，并对10%的工地开展抽检。</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hanging="3"/>
              <w:jc w:val="center"/>
              <w:textAlignment w:val="auto"/>
              <w:outlineLvl w:val="9"/>
              <w:rPr>
                <w:i w:val="0"/>
                <w:iCs w:val="0"/>
                <w:color w:val="auto"/>
                <w:spacing w:val="-2"/>
                <w:sz w:val="28"/>
                <w:highlight w:val="none"/>
              </w:rPr>
            </w:pPr>
            <w:r>
              <w:rPr>
                <w:i w:val="0"/>
                <w:iCs w:val="0"/>
                <w:color w:val="auto"/>
                <w:spacing w:val="-2"/>
                <w:sz w:val="28"/>
                <w:highlight w:val="none"/>
              </w:rPr>
              <w:t xml:space="preserve">区住建委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hanging="3"/>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hanging="3"/>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hanging="3" w:firstLineChars="0"/>
              <w:jc w:val="center"/>
              <w:textAlignment w:val="auto"/>
              <w:outlineLvl w:val="9"/>
              <w:rPr>
                <w:i w:val="0"/>
                <w:iCs w:val="0"/>
                <w:color w:val="auto"/>
                <w:sz w:val="28"/>
                <w:highlight w:val="none"/>
              </w:rPr>
            </w:pPr>
            <w:r>
              <w:rPr>
                <w:i w:val="0"/>
                <w:iCs w:val="0"/>
                <w:color w:val="auto"/>
                <w:spacing w:val="-2"/>
                <w:sz w:val="28"/>
                <w:highlight w:val="none"/>
              </w:rPr>
              <w:t>区财政局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98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5</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6" w:right="107" w:firstLine="14"/>
              <w:jc w:val="left"/>
              <w:textAlignment w:val="auto"/>
              <w:outlineLvl w:val="9"/>
              <w:rPr>
                <w:i w:val="0"/>
                <w:iCs w:val="0"/>
                <w:color w:val="auto"/>
                <w:sz w:val="28"/>
                <w:highlight w:val="none"/>
              </w:rPr>
            </w:pPr>
            <w:r>
              <w:rPr>
                <w:i w:val="0"/>
                <w:iCs w:val="0"/>
                <w:color w:val="auto"/>
                <w:spacing w:val="-8"/>
                <w:sz w:val="28"/>
                <w:highlight w:val="none"/>
              </w:rPr>
              <w:t>推进</w:t>
            </w:r>
            <w:r>
              <w:rPr>
                <w:i w:val="0"/>
                <w:iCs w:val="0"/>
                <w:color w:val="auto"/>
                <w:sz w:val="28"/>
                <w:highlight w:val="none"/>
              </w:rPr>
              <w:t>低VOCs</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r>
              <w:rPr>
                <w:i w:val="0"/>
                <w:iCs w:val="0"/>
                <w:color w:val="auto"/>
                <w:spacing w:val="-8"/>
                <w:sz w:val="28"/>
                <w:highlight w:val="none"/>
              </w:rPr>
              <w:t>含量产品源头</w:t>
            </w:r>
            <w:r>
              <w:rPr>
                <w:i w:val="0"/>
                <w:iCs w:val="0"/>
                <w:color w:val="auto"/>
                <w:spacing w:val="-9"/>
                <w:sz w:val="28"/>
                <w:highlight w:val="none"/>
              </w:rPr>
              <w:t>替代</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区经信局</w:t>
            </w:r>
            <w:r>
              <w:rPr>
                <w:rFonts w:hint="eastAsia"/>
                <w:i w:val="0"/>
                <w:iCs w:val="0"/>
                <w:color w:val="auto"/>
                <w:sz w:val="28"/>
                <w:highlight w:val="none"/>
              </w:rPr>
              <w:t>鼓励工业涂装企业使用符合国家和本市标准的涂料、胶粘剂等低VOCs含量原辅材料。生态环境部门开展专项执法检查，对发现的含VOCs原辅材料检测超标线索移交市场监管部门，市场监管部门定期反馈处置结果。</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加强执法检查，督促工业涂装企业建立原辅材料台账，并使用符合标准的低VOCs含量产品。</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按照本市沥青混合料绿色评价技术指南，组织对沥青混合料开展分级评价；并研究鼓励政策，推进优先使用污染排放、能耗低的产品。</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区公路分局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6</w:t>
            </w:r>
          </w:p>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6" w:right="108" w:firstLine="14"/>
              <w:jc w:val="left"/>
              <w:textAlignment w:val="auto"/>
              <w:outlineLvl w:val="9"/>
              <w:rPr>
                <w:i w:val="0"/>
                <w:iCs w:val="0"/>
                <w:color w:val="auto"/>
                <w:sz w:val="28"/>
                <w:highlight w:val="none"/>
              </w:rPr>
            </w:pPr>
            <w:r>
              <w:rPr>
                <w:i w:val="0"/>
                <w:iCs w:val="0"/>
                <w:color w:val="auto"/>
                <w:sz w:val="28"/>
                <w:highlight w:val="none"/>
              </w:rPr>
              <w:t>加强重点行业VOCs</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i w:val="0"/>
                <w:iCs w:val="0"/>
                <w:color w:val="auto"/>
                <w:sz w:val="28"/>
                <w:highlight w:val="none"/>
              </w:rPr>
              <w:t>全流程管控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组织重点行业企业依法开展强制性清洁生产审核，完成市级下达任务。</w:t>
            </w:r>
            <w:r>
              <w:rPr>
                <w:rFonts w:hint="eastAsia"/>
                <w:i w:val="0"/>
                <w:iCs w:val="0"/>
                <w:color w:val="auto"/>
                <w:sz w:val="28"/>
                <w:highlight w:val="none"/>
              </w:rPr>
              <w:t>强化对审核企业的监管，对不实施强制性清洁生产审核或者不报告审核结果的企业依法责令限期改正。</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8"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8"/>
                <w:sz w:val="28"/>
                <w:highlight w:val="none"/>
              </w:rPr>
              <w:t>积极推行“一厂一策”制度，组织</w:t>
            </w:r>
            <w:r>
              <w:rPr>
                <w:i w:val="0"/>
                <w:iCs w:val="0"/>
                <w:color w:val="auto"/>
                <w:sz w:val="28"/>
                <w:highlight w:val="none"/>
              </w:rPr>
              <w:t>4</w:t>
            </w:r>
            <w:r>
              <w:rPr>
                <w:i w:val="0"/>
                <w:iCs w:val="0"/>
                <w:color w:val="auto"/>
                <w:spacing w:val="-18"/>
                <w:sz w:val="28"/>
                <w:highlight w:val="none"/>
              </w:rPr>
              <w:t>家重点</w:t>
            </w:r>
            <w:r>
              <w:rPr>
                <w:i w:val="0"/>
                <w:iCs w:val="0"/>
                <w:color w:val="auto"/>
                <w:spacing w:val="-4"/>
                <w:sz w:val="28"/>
                <w:highlight w:val="none"/>
              </w:rPr>
              <w:t>行业企业开展精细化治理</w:t>
            </w:r>
            <w:r>
              <w:rPr>
                <w:i w:val="0"/>
                <w:iCs w:val="0"/>
                <w:color w:val="auto"/>
                <w:spacing w:val="-3"/>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3"/>
                <w:sz w:val="28"/>
                <w:highlight w:val="none"/>
              </w:rPr>
              <w:t>组织重点企业实施绿色诊断，支持企业对标行业先进资源能源消耗水平和污染物排放水平等开展绿色化技术改造。</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区经信局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8"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rFonts w:hint="eastAsia" w:eastAsia="仿宋_GB2312"/>
                <w:i w:val="0"/>
                <w:iCs w:val="0"/>
                <w:color w:val="auto"/>
                <w:sz w:val="28"/>
                <w:highlight w:val="none"/>
                <w:lang w:val="en-US" w:eastAsia="zh-CN"/>
              </w:rPr>
            </w:pPr>
            <w:r>
              <w:rPr>
                <w:rFonts w:hint="eastAsia" w:cs="仿宋_GB2312"/>
                <w:i w:val="0"/>
                <w:iCs w:val="0"/>
                <w:color w:val="auto"/>
                <w:spacing w:val="-3"/>
                <w:sz w:val="28"/>
                <w:szCs w:val="22"/>
                <w:highlight w:val="none"/>
                <w:lang w:val="en-US" w:eastAsia="zh-CN" w:bidi="ar-SA"/>
              </w:rPr>
              <w:t>落实北京市新修订</w:t>
            </w:r>
            <w:r>
              <w:rPr>
                <w:rFonts w:hint="eastAsia" w:ascii="仿宋_GB2312" w:hAnsi="仿宋_GB2312" w:eastAsia="仿宋_GB2312" w:cs="仿宋_GB2312"/>
                <w:i w:val="0"/>
                <w:iCs w:val="0"/>
                <w:color w:val="auto"/>
                <w:spacing w:val="-3"/>
                <w:sz w:val="28"/>
                <w:szCs w:val="22"/>
                <w:highlight w:val="none"/>
                <w:lang w:val="en-US" w:eastAsia="en-US" w:bidi="ar-SA"/>
              </w:rPr>
              <w:t>《汽车制造业大气污染物排放标准》《印刷工业大气污染物排放标准》</w:t>
            </w:r>
            <w:r>
              <w:rPr>
                <w:rFonts w:hint="eastAsia" w:cs="仿宋_GB2312"/>
                <w:i w:val="0"/>
                <w:iCs w:val="0"/>
                <w:color w:val="auto"/>
                <w:spacing w:val="-3"/>
                <w:sz w:val="28"/>
                <w:szCs w:val="22"/>
                <w:highlight w:val="none"/>
                <w:lang w:val="en-US" w:eastAsia="zh-CN" w:bidi="ar-SA"/>
              </w:rPr>
              <w:t>，加大宣传、执法力度。</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年底前</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市场监管局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649"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8"/>
                <w:highlight w:val="none"/>
                <w:lang w:val="en-US" w:eastAsia="zh-CN"/>
              </w:rPr>
              <w:t>7</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235" w:line="400" w:lineRule="exact"/>
              <w:ind w:left="106" w:right="107" w:firstLine="14"/>
              <w:jc w:val="left"/>
              <w:textAlignment w:val="auto"/>
              <w:outlineLvl w:val="9"/>
              <w:rPr>
                <w:i w:val="0"/>
                <w:iCs w:val="0"/>
                <w:color w:val="auto"/>
                <w:sz w:val="28"/>
                <w:highlight w:val="none"/>
              </w:rPr>
            </w:pPr>
            <w:r>
              <w:rPr>
                <w:i w:val="0"/>
                <w:iCs w:val="0"/>
                <w:color w:val="auto"/>
                <w:spacing w:val="-8"/>
                <w:sz w:val="28"/>
                <w:highlight w:val="none"/>
              </w:rPr>
              <w:t>推进</w:t>
            </w:r>
            <w:r>
              <w:rPr>
                <w:i w:val="0"/>
                <w:iCs w:val="0"/>
                <w:color w:val="auto"/>
                <w:sz w:val="28"/>
                <w:highlight w:val="none"/>
              </w:rPr>
              <w:t>产业园区企业集群VOCs</w:t>
            </w:r>
          </w:p>
          <w:p>
            <w:pPr>
              <w:pStyle w:val="16"/>
              <w:keepNext w:val="0"/>
              <w:keepLines w:val="0"/>
              <w:pageBreakBefore w:val="0"/>
              <w:widowControl w:val="0"/>
              <w:kinsoku/>
              <w:wordWrap/>
              <w:overflowPunct/>
              <w:topLinePunct w:val="0"/>
              <w:autoSpaceDE w:val="0"/>
              <w:autoSpaceDN w:val="0"/>
              <w:bidi w:val="0"/>
              <w:adjustRightInd/>
              <w:snapToGrid/>
              <w:spacing w:before="10" w:line="400" w:lineRule="exact"/>
              <w:ind w:left="101" w:leftChars="0" w:right="90" w:rightChars="0"/>
              <w:jc w:val="left"/>
              <w:textAlignment w:val="auto"/>
              <w:outlineLvl w:val="9"/>
              <w:rPr>
                <w:i w:val="0"/>
                <w:iCs w:val="0"/>
                <w:color w:val="auto"/>
                <w:sz w:val="28"/>
                <w:highlight w:val="none"/>
              </w:rPr>
            </w:pPr>
            <w:r>
              <w:rPr>
                <w:i w:val="0"/>
                <w:iCs w:val="0"/>
                <w:color w:val="auto"/>
                <w:spacing w:val="-1"/>
                <w:sz w:val="28"/>
                <w:highlight w:val="none"/>
              </w:rPr>
              <w:t>治理</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0"/>
                <w:sz w:val="28"/>
                <w:highlight w:val="none"/>
              </w:rPr>
              <w:t>配合市相关部门</w:t>
            </w:r>
            <w:r>
              <w:rPr>
                <w:rFonts w:hint="eastAsia"/>
                <w:i w:val="0"/>
                <w:iCs w:val="0"/>
                <w:color w:val="auto"/>
                <w:spacing w:val="0"/>
                <w:sz w:val="28"/>
                <w:highlight w:val="none"/>
                <w:lang w:val="en-US" w:eastAsia="zh-CN"/>
              </w:rPr>
              <w:t>完成园区规划环评，明确“十四五”时期VOCs排放总量和减排路径；</w:t>
            </w:r>
            <w:r>
              <w:rPr>
                <w:rFonts w:hint="eastAsia"/>
                <w:i w:val="0"/>
                <w:iCs w:val="0"/>
                <w:color w:val="auto"/>
                <w:spacing w:val="0"/>
                <w:sz w:val="28"/>
                <w:highlight w:val="none"/>
              </w:rPr>
              <w:t>园区结合自身产业结构和VOCs排放特点，制定2023年VOCs治理措施清单并组织实施。</w:t>
            </w:r>
            <w:r>
              <w:rPr>
                <w:i w:val="0"/>
                <w:iCs w:val="0"/>
                <w:color w:val="auto"/>
                <w:spacing w:val="0"/>
                <w:sz w:val="28"/>
                <w:highlight w:val="none"/>
              </w:rPr>
              <w:t>推进</w:t>
            </w:r>
            <w:r>
              <w:rPr>
                <w:rFonts w:hint="eastAsia"/>
                <w:i w:val="0"/>
                <w:iCs w:val="0"/>
                <w:color w:val="auto"/>
                <w:spacing w:val="0"/>
                <w:sz w:val="28"/>
                <w:highlight w:val="none"/>
              </w:rPr>
              <w:t>VOCs</w:t>
            </w:r>
            <w:r>
              <w:rPr>
                <w:i w:val="0"/>
                <w:iCs w:val="0"/>
                <w:color w:val="auto"/>
                <w:spacing w:val="0"/>
                <w:sz w:val="28"/>
                <w:highlight w:val="none"/>
              </w:rPr>
              <w:t>排放持续下降，确保“十四五”期末达到国家和市级减排要求。</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区经信局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1"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8</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40" w:lineRule="exact"/>
              <w:ind w:left="119"/>
              <w:jc w:val="left"/>
              <w:textAlignment w:val="auto"/>
              <w:outlineLvl w:val="9"/>
              <w:rPr>
                <w:i w:val="0"/>
                <w:iCs w:val="0"/>
                <w:color w:val="auto"/>
                <w:sz w:val="28"/>
                <w:highlight w:val="none"/>
              </w:rPr>
            </w:pPr>
            <w:r>
              <w:rPr>
                <w:i w:val="0"/>
                <w:iCs w:val="0"/>
                <w:color w:val="auto"/>
                <w:spacing w:val="0"/>
                <w:sz w:val="28"/>
                <w:highlight w:val="none"/>
              </w:rPr>
              <w:t>促进油品和储运环节油气减排</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pacing w:val="0"/>
                <w:sz w:val="28"/>
                <w:highlight w:val="none"/>
              </w:rPr>
            </w:pPr>
            <w:r>
              <w:rPr>
                <w:rFonts w:hint="eastAsia"/>
                <w:i w:val="0"/>
                <w:iCs w:val="0"/>
                <w:color w:val="auto"/>
                <w:spacing w:val="0"/>
                <w:sz w:val="28"/>
                <w:highlight w:val="none"/>
              </w:rPr>
              <w:t>市场监管部门依法对生产、销售和使用环节的机动车和非道路移动机械用油品及清净剂、还原剂等产品质量开展监督检查，开展重型车和非道路移动机械实际使用柴油和尿素抽测，依法查处以假充真、以次充好等生产、销售伪劣产品行为。</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5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r>
              <w:rPr>
                <w:i w:val="0"/>
                <w:iCs w:val="0"/>
                <w:color w:val="auto"/>
                <w:sz w:val="28"/>
                <w:highlight w:val="none"/>
              </w:rPr>
              <w:t>促进油品和储运环节油气减排</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pacing w:val="0"/>
                <w:sz w:val="28"/>
                <w:highlight w:val="none"/>
              </w:rPr>
            </w:pPr>
            <w:r>
              <w:rPr>
                <w:i w:val="0"/>
                <w:iCs w:val="0"/>
                <w:color w:val="auto"/>
                <w:spacing w:val="0"/>
                <w:sz w:val="28"/>
                <w:highlight w:val="none"/>
              </w:rPr>
              <w:t>区公安分局</w:t>
            </w:r>
            <w:r>
              <w:rPr>
                <w:rFonts w:hint="eastAsia"/>
                <w:i w:val="0"/>
                <w:iCs w:val="0"/>
                <w:color w:val="auto"/>
                <w:spacing w:val="0"/>
                <w:sz w:val="28"/>
                <w:highlight w:val="none"/>
              </w:rPr>
              <w:t>依法打击通过“自备罐”“流动加油车”“黑加油站点”等非法储存、运输、销售成品油的违法犯罪行为，及时宣传曝光典型案例，营造高压态势。</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区公安分局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0"/>
                <w:sz w:val="28"/>
                <w:highlight w:val="none"/>
              </w:rPr>
            </w:pPr>
            <w:r>
              <w:rPr>
                <w:i w:val="0"/>
                <w:iCs w:val="0"/>
                <w:color w:val="auto"/>
                <w:spacing w:val="0"/>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pacing w:val="0"/>
                <w:sz w:val="28"/>
                <w:highlight w:val="none"/>
              </w:rPr>
            </w:pPr>
            <w:r>
              <w:rPr>
                <w:i w:val="0"/>
                <w:iCs w:val="0"/>
                <w:color w:val="auto"/>
                <w:spacing w:val="0"/>
                <w:sz w:val="28"/>
                <w:highlight w:val="none"/>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0"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各行业部门督促本行业非道路移动机械使用符合标准的燃料。</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4"/>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1"/>
                <w:sz w:val="28"/>
                <w:highlight w:val="none"/>
              </w:rPr>
            </w:pPr>
            <w:r>
              <w:rPr>
                <w:i w:val="0"/>
                <w:iCs w:val="0"/>
                <w:color w:val="auto"/>
                <w:spacing w:val="-1"/>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5"/>
                <w:sz w:val="28"/>
                <w:highlight w:val="none"/>
              </w:rPr>
              <w:t>区公路分局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2"/>
                <w:sz w:val="28"/>
                <w:highlight w:val="none"/>
              </w:rPr>
              <w:t>夏季</w:t>
            </w:r>
            <w:r>
              <w:rPr>
                <w:i w:val="0"/>
                <w:iCs w:val="0"/>
                <w:color w:val="auto"/>
                <w:sz w:val="28"/>
                <w:highlight w:val="none"/>
              </w:rPr>
              <w:t>（6—9</w:t>
            </w:r>
            <w:r>
              <w:rPr>
                <w:i w:val="0"/>
                <w:iCs w:val="0"/>
                <w:color w:val="auto"/>
                <w:spacing w:val="-36"/>
                <w:sz w:val="28"/>
                <w:highlight w:val="none"/>
              </w:rPr>
              <w:t>月</w:t>
            </w:r>
            <w:r>
              <w:rPr>
                <w:i w:val="0"/>
                <w:iCs w:val="0"/>
                <w:color w:val="auto"/>
                <w:sz w:val="28"/>
                <w:highlight w:val="none"/>
              </w:rPr>
              <w:t>）</w:t>
            </w:r>
            <w:r>
              <w:rPr>
                <w:i w:val="0"/>
                <w:iCs w:val="0"/>
                <w:color w:val="auto"/>
                <w:spacing w:val="-3"/>
                <w:sz w:val="28"/>
                <w:highlight w:val="none"/>
              </w:rPr>
              <w:t>，</w:t>
            </w:r>
            <w:r>
              <w:rPr>
                <w:rFonts w:hint="eastAsia"/>
                <w:i w:val="0"/>
                <w:iCs w:val="0"/>
                <w:color w:val="auto"/>
                <w:spacing w:val="-3"/>
                <w:sz w:val="28"/>
                <w:highlight w:val="none"/>
              </w:rPr>
              <w:t>加油站和储油库实施错峰装卸油，引导加油站出台鼓励夜间加油的措施。</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6-9月</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right="0"/>
              <w:jc w:val="center"/>
              <w:textAlignment w:val="auto"/>
              <w:outlineLvl w:val="9"/>
              <w:rPr>
                <w:i w:val="0"/>
                <w:iCs w:val="0"/>
                <w:color w:val="auto"/>
                <w:spacing w:val="-1"/>
                <w:sz w:val="28"/>
                <w:highlight w:val="none"/>
              </w:rPr>
            </w:pPr>
            <w:r>
              <w:rPr>
                <w:i w:val="0"/>
                <w:iCs w:val="0"/>
                <w:color w:val="auto"/>
                <w:spacing w:val="-1"/>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pacing w:val="-5"/>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1"/>
                <w:sz w:val="28"/>
                <w:highlight w:val="none"/>
              </w:rPr>
            </w:pPr>
            <w:r>
              <w:rPr>
                <w:i w:val="0"/>
                <w:iCs w:val="0"/>
                <w:color w:val="auto"/>
                <w:spacing w:val="-1"/>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4"/>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区武装部</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85"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ascii="黑体" w:eastAsia="黑体"/>
                <w:i w:val="0"/>
                <w:iCs w:val="0"/>
                <w:color w:val="auto"/>
                <w:sz w:val="28"/>
                <w:highlight w:val="none"/>
              </w:rPr>
              <w:t>三、实施氮氧化物（NOx）减排专项行动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9</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i w:val="0"/>
                <w:iCs w:val="0"/>
                <w:color w:val="auto"/>
                <w:sz w:val="28"/>
                <w:highlight w:val="none"/>
              </w:rPr>
              <w:t>削减固定源NOx 排放</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推进无煤区建设。在保证群众安全取暖过冬的前提下，有序推进</w:t>
            </w:r>
            <w:r>
              <w:rPr>
                <w:rFonts w:hint="eastAsia"/>
                <w:i w:val="0"/>
                <w:iCs w:val="0"/>
                <w:color w:val="auto"/>
                <w:sz w:val="28"/>
                <w:highlight w:val="none"/>
                <w:lang w:val="en-US" w:eastAsia="zh-CN"/>
              </w:rPr>
              <w:t>40</w:t>
            </w:r>
            <w:r>
              <w:rPr>
                <w:i w:val="0"/>
                <w:iCs w:val="0"/>
                <w:color w:val="auto"/>
                <w:sz w:val="28"/>
                <w:highlight w:val="none"/>
              </w:rPr>
              <w:t>个山区村庄煤改清洁能源和配套电力基础设施建设工作。对未实施煤改清洁能源替代地区，建立台账，细化到镇街、村及户数，确保实现洁净煤替代散煤全覆盖。</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11月15日前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相关镇街</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国家电网密云供电公司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9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9</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i w:val="0"/>
                <w:iCs w:val="0"/>
                <w:color w:val="auto"/>
                <w:sz w:val="28"/>
                <w:highlight w:val="none"/>
              </w:rPr>
              <w:t>削减固定源NOx 排放</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right="0"/>
              <w:jc w:val="both"/>
              <w:textAlignment w:val="auto"/>
              <w:outlineLvl w:val="9"/>
              <w:rPr>
                <w:i w:val="0"/>
                <w:iCs w:val="0"/>
                <w:color w:val="auto"/>
                <w:sz w:val="28"/>
                <w:highlight w:val="none"/>
              </w:rPr>
            </w:pPr>
            <w:r>
              <w:rPr>
                <w:rFonts w:hint="eastAsia"/>
                <w:i w:val="0"/>
                <w:iCs w:val="0"/>
                <w:color w:val="auto"/>
                <w:sz w:val="28"/>
                <w:highlight w:val="none"/>
                <w:lang w:val="en-US" w:eastAsia="zh-CN"/>
              </w:rPr>
              <w:t>持续推进</w:t>
            </w:r>
            <w:r>
              <w:rPr>
                <w:i w:val="0"/>
                <w:iCs w:val="0"/>
                <w:color w:val="auto"/>
                <w:sz w:val="28"/>
                <w:highlight w:val="none"/>
              </w:rPr>
              <w:t>城区范围内燃烧散煤户煤改清洁能源工作</w:t>
            </w:r>
            <w:r>
              <w:rPr>
                <w:rFonts w:hint="eastAsia"/>
                <w:i w:val="0"/>
                <w:iCs w:val="0"/>
                <w:color w:val="auto"/>
                <w:sz w:val="28"/>
                <w:highlight w:val="none"/>
                <w:lang w:eastAsia="zh-CN"/>
              </w:rPr>
              <w:t>，</w:t>
            </w:r>
            <w:r>
              <w:rPr>
                <w:i w:val="0"/>
                <w:iCs w:val="0"/>
                <w:color w:val="auto"/>
                <w:sz w:val="28"/>
                <w:highlight w:val="none"/>
              </w:rPr>
              <w:t>制定改造计划，明确时间表、路线图。</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z w:val="28"/>
                <w:highlight w:val="none"/>
              </w:rPr>
            </w:pPr>
            <w:r>
              <w:rPr>
                <w:i w:val="0"/>
                <w:iCs w:val="0"/>
                <w:color w:val="auto"/>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相关镇街</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right="0" w:firstLine="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国家电网密云供电公司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3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108" w:right="0"/>
              <w:jc w:val="both"/>
              <w:textAlignment w:val="auto"/>
              <w:outlineLvl w:val="9"/>
              <w:rPr>
                <w:i w:val="0"/>
                <w:iCs w:val="0"/>
                <w:color w:val="auto"/>
                <w:sz w:val="28"/>
                <w:highlight w:val="none"/>
              </w:rPr>
            </w:pPr>
            <w:r>
              <w:rPr>
                <w:rFonts w:hint="eastAsia"/>
                <w:i w:val="0"/>
                <w:iCs w:val="0"/>
                <w:color w:val="auto"/>
                <w:sz w:val="28"/>
                <w:highlight w:val="none"/>
              </w:rPr>
              <w:t>按照北京市《低硫煤及制品环保技术要求》加强生产、流通环节有营业执照主体煤质检查。</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0" w:right="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区市场监管局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3"/>
                <w:sz w:val="28"/>
                <w:highlight w:val="none"/>
              </w:rPr>
              <w:t xml:space="preserve"> </w:t>
            </w: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4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已完成煤改清洁能源替代地区巩固“无煤化”成果。</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 xml:space="preserve"> 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3"/>
                <w:sz w:val="28"/>
                <w:highlight w:val="none"/>
              </w:rPr>
              <w:t xml:space="preserve"> </w:t>
            </w: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8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区城管委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42"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10</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r>
              <w:rPr>
                <w:rFonts w:hint="eastAsia"/>
                <w:i w:val="0"/>
                <w:iCs w:val="0"/>
                <w:color w:val="auto"/>
                <w:sz w:val="28"/>
                <w:highlight w:val="none"/>
              </w:rPr>
              <w:t>推动机动车清洁化</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right="0"/>
              <w:jc w:val="both"/>
              <w:textAlignment w:val="auto"/>
              <w:outlineLvl w:val="9"/>
              <w:rPr>
                <w:i w:val="0"/>
                <w:iCs w:val="0"/>
                <w:color w:val="auto"/>
                <w:spacing w:val="-5"/>
                <w:sz w:val="28"/>
                <w:highlight w:val="none"/>
              </w:rPr>
            </w:pPr>
            <w:r>
              <w:rPr>
                <w:rFonts w:hint="eastAsia"/>
                <w:i w:val="0"/>
                <w:iCs w:val="0"/>
                <w:color w:val="auto"/>
                <w:spacing w:val="-5"/>
                <w:sz w:val="28"/>
                <w:highlight w:val="none"/>
              </w:rPr>
              <w:t>新增和更新的公交车（不含应急保障车辆、山区线路车辆）为新能源车，新增和更新的巡游出租车（个体车辆和社会保障车辆除外）、市内旅游客运班线车辆为纯电动或氢燃料电池车。鼓励新增和更新的驾校C2培训车和考试用车为纯电动或氢燃料电池汽车。</w:t>
            </w:r>
          </w:p>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5"/>
                <w:sz w:val="28"/>
                <w:highlight w:val="none"/>
                <w:lang w:val="en-US" w:eastAsia="zh-CN"/>
              </w:rPr>
              <w:t>落实</w:t>
            </w:r>
            <w:r>
              <w:rPr>
                <w:rFonts w:hint="eastAsia"/>
                <w:i w:val="0"/>
                <w:iCs w:val="0"/>
                <w:color w:val="auto"/>
                <w:spacing w:val="-5"/>
                <w:sz w:val="28"/>
                <w:highlight w:val="none"/>
              </w:rPr>
              <w:t>网约车新能源化工作方案，引导各平台公司加快推进网约车新能源化，优化网约车行业车辆能源结构。</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区交通局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区文旅局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20"/>
                <w:w w:val="95"/>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4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10</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rFonts w:hint="eastAsia"/>
                <w:i w:val="0"/>
                <w:iCs w:val="0"/>
                <w:color w:val="auto"/>
                <w:sz w:val="28"/>
                <w:highlight w:val="none"/>
              </w:rPr>
              <w:t>推动机动车清洁化</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按照全市统一部署，</w:t>
            </w:r>
            <w:r>
              <w:rPr>
                <w:rFonts w:hint="eastAsia"/>
                <w:i w:val="0"/>
                <w:iCs w:val="0"/>
                <w:color w:val="auto"/>
                <w:sz w:val="28"/>
                <w:highlight w:val="none"/>
              </w:rPr>
              <w:t>新增和更新的商超、快递等轻型物流配送车辆纯电动或氢燃料电池车</w:t>
            </w:r>
            <w:r>
              <w:rPr>
                <w:rFonts w:hint="eastAsia"/>
                <w:i w:val="0"/>
                <w:iCs w:val="0"/>
                <w:color w:val="auto"/>
                <w:sz w:val="28"/>
                <w:highlight w:val="none"/>
                <w:lang w:val="en-US" w:eastAsia="zh-CN"/>
              </w:rPr>
              <w:t>比例达到市级要求</w:t>
            </w:r>
            <w:r>
              <w:rPr>
                <w:rFonts w:hint="eastAsia"/>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区商务局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6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08" w:line="400" w:lineRule="exact"/>
              <w:ind w:left="108" w:right="0"/>
              <w:jc w:val="both"/>
              <w:textAlignment w:val="auto"/>
              <w:outlineLvl w:val="9"/>
              <w:rPr>
                <w:i w:val="0"/>
                <w:iCs w:val="0"/>
                <w:color w:val="auto"/>
                <w:sz w:val="28"/>
                <w:highlight w:val="none"/>
              </w:rPr>
            </w:pPr>
            <w:r>
              <w:rPr>
                <w:rFonts w:hint="eastAsia"/>
                <w:i w:val="0"/>
                <w:iCs w:val="0"/>
                <w:color w:val="auto"/>
                <w:sz w:val="28"/>
                <w:highlight w:val="none"/>
                <w:lang w:val="en-US" w:eastAsia="zh-CN"/>
              </w:rPr>
              <w:t>按照全市统一部署，</w:t>
            </w:r>
            <w:r>
              <w:rPr>
                <w:i w:val="0"/>
                <w:iCs w:val="0"/>
                <w:color w:val="auto"/>
                <w:spacing w:val="-11"/>
                <w:sz w:val="28"/>
                <w:highlight w:val="none"/>
              </w:rPr>
              <w:t xml:space="preserve">区城管委组织推进 </w:t>
            </w:r>
            <w:r>
              <w:rPr>
                <w:i w:val="0"/>
                <w:iCs w:val="0"/>
                <w:color w:val="auto"/>
                <w:sz w:val="28"/>
                <w:highlight w:val="none"/>
              </w:rPr>
              <w:t>4.5</w:t>
            </w:r>
            <w:r>
              <w:rPr>
                <w:i w:val="0"/>
                <w:iCs w:val="0"/>
                <w:color w:val="auto"/>
                <w:spacing w:val="-10"/>
                <w:sz w:val="28"/>
                <w:highlight w:val="none"/>
              </w:rPr>
              <w:t xml:space="preserve"> 吨以下环卫车新增和</w:t>
            </w:r>
            <w:r>
              <w:rPr>
                <w:i w:val="0"/>
                <w:iCs w:val="0"/>
                <w:color w:val="auto"/>
                <w:sz w:val="28"/>
                <w:highlight w:val="none"/>
              </w:rPr>
              <w:t>更新为纯电动车或氢燃料电池车，</w:t>
            </w:r>
            <w:r>
              <w:rPr>
                <w:rFonts w:hint="eastAsia"/>
                <w:i w:val="0"/>
                <w:iCs w:val="0"/>
                <w:color w:val="auto"/>
                <w:sz w:val="28"/>
                <w:highlight w:val="none"/>
              </w:rPr>
              <w:t>新增和更新4.5吨以上环卫作业车中，纯电动或氢燃料电池车比例达到</w:t>
            </w:r>
            <w:r>
              <w:rPr>
                <w:rFonts w:hint="eastAsia"/>
                <w:i w:val="0"/>
                <w:iCs w:val="0"/>
                <w:color w:val="auto"/>
                <w:sz w:val="28"/>
                <w:highlight w:val="none"/>
                <w:lang w:val="en-US" w:eastAsia="zh-CN"/>
              </w:rPr>
              <w:t>市级要求</w:t>
            </w:r>
            <w:r>
              <w:rPr>
                <w:rFonts w:hint="eastAsia"/>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区城管委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区财政局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08" w:right="0"/>
              <w:jc w:val="both"/>
              <w:textAlignment w:val="auto"/>
              <w:outlineLvl w:val="9"/>
              <w:rPr>
                <w:i w:val="0"/>
                <w:iCs w:val="0"/>
                <w:color w:val="auto"/>
                <w:sz w:val="28"/>
                <w:highlight w:val="none"/>
              </w:rPr>
            </w:pPr>
            <w:r>
              <w:rPr>
                <w:rFonts w:hint="eastAsia"/>
                <w:i w:val="0"/>
                <w:iCs w:val="0"/>
                <w:color w:val="auto"/>
                <w:sz w:val="28"/>
                <w:highlight w:val="none"/>
                <w:lang w:val="en-US" w:eastAsia="zh-CN"/>
              </w:rPr>
              <w:t>按照全市统一部署，</w:t>
            </w:r>
            <w:r>
              <w:rPr>
                <w:i w:val="0"/>
                <w:iCs w:val="0"/>
                <w:color w:val="auto"/>
                <w:spacing w:val="-24"/>
                <w:sz w:val="28"/>
                <w:highlight w:val="none"/>
              </w:rPr>
              <w:t xml:space="preserve">组织 </w:t>
            </w:r>
            <w:r>
              <w:rPr>
                <w:i w:val="0"/>
                <w:iCs w:val="0"/>
                <w:color w:val="auto"/>
                <w:sz w:val="28"/>
                <w:highlight w:val="none"/>
              </w:rPr>
              <w:t>4.5</w:t>
            </w:r>
            <w:r>
              <w:rPr>
                <w:i w:val="0"/>
                <w:iCs w:val="0"/>
                <w:color w:val="auto"/>
                <w:spacing w:val="-12"/>
                <w:sz w:val="28"/>
                <w:highlight w:val="none"/>
              </w:rPr>
              <w:t xml:space="preserve"> 吨以下的邮政车</w:t>
            </w:r>
            <w:r>
              <w:rPr>
                <w:i w:val="0"/>
                <w:iCs w:val="0"/>
                <w:color w:val="auto"/>
                <w:sz w:val="28"/>
                <w:highlight w:val="none"/>
              </w:rPr>
              <w:t>（</w:t>
            </w:r>
            <w:r>
              <w:rPr>
                <w:i w:val="0"/>
                <w:iCs w:val="0"/>
                <w:color w:val="auto"/>
                <w:spacing w:val="-3"/>
                <w:sz w:val="28"/>
                <w:highlight w:val="none"/>
              </w:rPr>
              <w:t>机要通信车辆和郊区邮路盘驳邮政车辆除外</w:t>
            </w:r>
            <w:r>
              <w:rPr>
                <w:i w:val="0"/>
                <w:iCs w:val="0"/>
                <w:color w:val="auto"/>
                <w:spacing w:val="-10"/>
                <w:sz w:val="28"/>
                <w:highlight w:val="none"/>
              </w:rPr>
              <w:t>）</w:t>
            </w:r>
            <w:r>
              <w:rPr>
                <w:i w:val="0"/>
                <w:iCs w:val="0"/>
                <w:color w:val="auto"/>
                <w:spacing w:val="-3"/>
                <w:sz w:val="28"/>
                <w:highlight w:val="none"/>
              </w:rPr>
              <w:t>新增和更新为</w:t>
            </w:r>
            <w:r>
              <w:rPr>
                <w:i w:val="0"/>
                <w:iCs w:val="0"/>
                <w:color w:val="auto"/>
                <w:spacing w:val="-9"/>
                <w:sz w:val="28"/>
                <w:highlight w:val="none"/>
              </w:rPr>
              <w:t>纯电动车或氢燃料电池车，</w:t>
            </w:r>
            <w:r>
              <w:rPr>
                <w:rFonts w:hint="eastAsia"/>
                <w:i w:val="0"/>
                <w:iCs w:val="0"/>
                <w:color w:val="auto"/>
                <w:spacing w:val="-9"/>
                <w:sz w:val="28"/>
                <w:highlight w:val="none"/>
              </w:rPr>
              <w:t>到2023年底，纯电动或氢燃料电池车比例均达到</w:t>
            </w:r>
            <w:r>
              <w:rPr>
                <w:rFonts w:hint="eastAsia"/>
                <w:i w:val="0"/>
                <w:iCs w:val="0"/>
                <w:color w:val="auto"/>
                <w:spacing w:val="-9"/>
                <w:sz w:val="28"/>
                <w:highlight w:val="none"/>
                <w:lang w:val="en-US" w:eastAsia="zh-CN"/>
              </w:rPr>
              <w:t>市级要求</w:t>
            </w:r>
            <w:r>
              <w:rPr>
                <w:rFonts w:hint="eastAsia"/>
                <w:i w:val="0"/>
                <w:iCs w:val="0"/>
                <w:color w:val="auto"/>
                <w:spacing w:val="-9"/>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中国邮政密云分公司</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rFonts w:hint="eastAsia" w:eastAsia="仿宋_GB2312"/>
                <w:i w:val="0"/>
                <w:iCs w:val="0"/>
                <w:color w:val="auto"/>
                <w:sz w:val="28"/>
                <w:highlight w:val="none"/>
                <w:lang w:eastAsia="zh-CN"/>
              </w:rPr>
            </w:pPr>
            <w:r>
              <w:rPr>
                <w:rFonts w:hint="eastAsia"/>
                <w:i w:val="0"/>
                <w:iCs w:val="0"/>
                <w:color w:val="auto"/>
                <w:spacing w:val="-9"/>
                <w:sz w:val="28"/>
                <w:highlight w:val="none"/>
                <w:lang w:val="en-US" w:eastAsia="zh-CN"/>
              </w:rPr>
              <w:t>落实</w:t>
            </w:r>
            <w:r>
              <w:rPr>
                <w:rFonts w:hint="eastAsia"/>
                <w:i w:val="0"/>
                <w:iCs w:val="0"/>
                <w:color w:val="auto"/>
                <w:spacing w:val="-9"/>
                <w:sz w:val="28"/>
                <w:highlight w:val="none"/>
              </w:rPr>
              <w:t>本市新能源物流配送车辆优先通行的政策，进一步严格申请办理货车通行证的新能源化及联网要求，优先保障纯电动和氢燃料电池车辆申报</w:t>
            </w:r>
            <w:r>
              <w:rPr>
                <w:rFonts w:hint="eastAsia"/>
                <w:i w:val="0"/>
                <w:iCs w:val="0"/>
                <w:color w:val="auto"/>
                <w:spacing w:val="-9"/>
                <w:sz w:val="28"/>
                <w:highlight w:val="none"/>
                <w:lang w:eastAsia="zh-CN"/>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按时间节点完成</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区交通</w:t>
            </w:r>
            <w:r>
              <w:rPr>
                <w:rFonts w:hint="eastAsia"/>
                <w:i w:val="0"/>
                <w:iCs w:val="0"/>
                <w:color w:val="auto"/>
                <w:sz w:val="28"/>
                <w:highlight w:val="none"/>
                <w:lang w:val="en-US" w:eastAsia="zh-CN"/>
              </w:rPr>
              <w:t>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right="-68" w:rightChars="-31"/>
              <w:jc w:val="center"/>
              <w:textAlignment w:val="auto"/>
              <w:outlineLvl w:val="9"/>
              <w:rPr>
                <w:rFonts w:hint="eastAsia" w:ascii="仿宋_GB2312" w:hAnsi="仿宋_GB2312" w:eastAsia="仿宋_GB2312" w:cs="仿宋_GB2312"/>
                <w:i w:val="0"/>
                <w:iCs w:val="0"/>
                <w:color w:val="auto"/>
                <w:spacing w:val="-20"/>
                <w:w w:val="95"/>
                <w:sz w:val="28"/>
                <w:szCs w:val="22"/>
                <w:highlight w:val="none"/>
                <w:lang w:val="en-US" w:eastAsia="zh-CN" w:bidi="ar-SA"/>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68" w:rightChars="-31"/>
              <w:jc w:val="center"/>
              <w:textAlignment w:val="auto"/>
              <w:outlineLvl w:val="9"/>
              <w:rPr>
                <w:i w:val="0"/>
                <w:iCs w:val="0"/>
                <w:color w:val="auto"/>
                <w:sz w:val="28"/>
                <w:highlight w:val="none"/>
              </w:rPr>
            </w:pPr>
            <w:r>
              <w:rPr>
                <w:rFonts w:hint="eastAsia" w:cs="仿宋_GB2312"/>
                <w:i w:val="0"/>
                <w:iCs w:val="0"/>
                <w:color w:val="auto"/>
                <w:sz w:val="28"/>
                <w:szCs w:val="22"/>
                <w:highlight w:val="none"/>
                <w:lang w:val="en-US" w:eastAsia="zh-CN" w:bidi="ar-SA"/>
              </w:rPr>
              <w:t>区</w:t>
            </w:r>
            <w:r>
              <w:rPr>
                <w:rFonts w:hint="eastAsia" w:ascii="仿宋_GB2312" w:hAnsi="仿宋_GB2312" w:eastAsia="仿宋_GB2312" w:cs="仿宋_GB2312"/>
                <w:i w:val="0"/>
                <w:iCs w:val="0"/>
                <w:color w:val="auto"/>
                <w:sz w:val="28"/>
                <w:szCs w:val="22"/>
                <w:highlight w:val="none"/>
                <w:lang w:val="en-US" w:eastAsia="en-US" w:bidi="ar-SA"/>
              </w:rPr>
              <w:t>商务局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771"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10</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r>
              <w:rPr>
                <w:rFonts w:hint="eastAsia"/>
                <w:i w:val="0"/>
                <w:iCs w:val="0"/>
                <w:color w:val="auto"/>
                <w:sz w:val="28"/>
                <w:highlight w:val="none"/>
              </w:rPr>
              <w:t>推动机动车清洁化</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区住建委牵头落实</w:t>
            </w:r>
            <w:r>
              <w:rPr>
                <w:rFonts w:hint="eastAsia"/>
                <w:i w:val="0"/>
                <w:iCs w:val="0"/>
                <w:color w:val="auto"/>
                <w:sz w:val="28"/>
                <w:highlight w:val="none"/>
              </w:rPr>
              <w:t>推广纯电动或氢燃料混凝土搅拌车的鼓励政策。</w:t>
            </w:r>
          </w:p>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区城管委牵头落实</w:t>
            </w:r>
            <w:r>
              <w:rPr>
                <w:rFonts w:hint="eastAsia"/>
                <w:i w:val="0"/>
                <w:iCs w:val="0"/>
                <w:color w:val="auto"/>
                <w:sz w:val="28"/>
                <w:highlight w:val="none"/>
              </w:rPr>
              <w:t>推广使用纯电动或氢燃料渣土运输车、4.5吨以上环卫车的鼓励政策。</w:t>
            </w:r>
          </w:p>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区交通局牵头落实</w:t>
            </w:r>
            <w:r>
              <w:rPr>
                <w:rFonts w:hint="eastAsia"/>
                <w:i w:val="0"/>
                <w:iCs w:val="0"/>
                <w:color w:val="auto"/>
                <w:sz w:val="28"/>
                <w:highlight w:val="none"/>
              </w:rPr>
              <w:t>经济激励、优先通行等交通管理政策，疏堵结合，加快推进国四排放标准营运柴油货车淘汰，轻微型货车电动化。</w:t>
            </w:r>
          </w:p>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区经信局牵头落实</w:t>
            </w:r>
            <w:r>
              <w:rPr>
                <w:rFonts w:hint="eastAsia"/>
                <w:i w:val="0"/>
                <w:iCs w:val="0"/>
                <w:color w:val="auto"/>
                <w:sz w:val="28"/>
                <w:highlight w:val="none"/>
              </w:rPr>
              <w:t>推动开展氢燃料汽车示范城市建设，有序开展中重型货车氢燃料电池等示范，研究开展零排放货车通道试点。</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rPr>
              <w:t>6月底前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w:t>
            </w:r>
            <w:r>
              <w:rPr>
                <w:rFonts w:hint="eastAsia"/>
                <w:i w:val="0"/>
                <w:iCs w:val="0"/>
                <w:color w:val="auto"/>
                <w:sz w:val="28"/>
                <w:highlight w:val="none"/>
              </w:rPr>
              <w:t>交通</w:t>
            </w:r>
            <w:r>
              <w:rPr>
                <w:rFonts w:hint="eastAsia"/>
                <w:i w:val="0"/>
                <w:iCs w:val="0"/>
                <w:color w:val="auto"/>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20"/>
                <w:w w:val="95"/>
                <w:sz w:val="28"/>
                <w:szCs w:val="22"/>
                <w:highlight w:val="none"/>
                <w:lang w:val="en-US" w:eastAsia="zh-CN" w:bidi="ar-SA"/>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区发改委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32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11</w:t>
            </w:r>
          </w:p>
        </w:tc>
        <w:tc>
          <w:tcPr>
            <w:tcW w:w="85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left"/>
              <w:textAlignment w:val="auto"/>
              <w:outlineLvl w:val="9"/>
              <w:rPr>
                <w:i w:val="0"/>
                <w:iCs w:val="0"/>
                <w:color w:val="auto"/>
                <w:sz w:val="28"/>
                <w:highlight w:val="none"/>
              </w:rPr>
            </w:pPr>
            <w:r>
              <w:rPr>
                <w:rFonts w:hint="eastAsia"/>
                <w:i w:val="0"/>
                <w:iCs w:val="0"/>
                <w:color w:val="auto"/>
                <w:sz w:val="28"/>
                <w:highlight w:val="none"/>
              </w:rPr>
              <w:t>非道路移动机械综合治理</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严格实施国四非道路移动机械排放标准。</w:t>
            </w:r>
          </w:p>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住房城乡建设、城市管理、交通、水务、园林绿化、农业农村等部门加强对本行业在用非道路移动机械监管，做好编码登记和进出场使用管理，要求企业使用规范合格油品，保证达标排放；鼓励本行业施工单位优先使用国三及以上排放标准机械，将机械使用情况纳入绿牌工地评定办法；推进行业管理的施工工地优先使用纯电动或氢燃料非道路移动机械，鼓励国二及以下(含x阶段)排放标准非道路移动机械淘汰。政府投资建设项目优先使用国三及以上排放标准和电动机械。</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6"/>
                <w:sz w:val="28"/>
                <w:highlight w:val="none"/>
              </w:rPr>
            </w:pPr>
            <w:r>
              <w:rPr>
                <w:i w:val="0"/>
                <w:iCs w:val="0"/>
                <w:color w:val="auto"/>
                <w:spacing w:val="-6"/>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pacing w:val="-6"/>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3"/>
                <w:sz w:val="28"/>
                <w:highlight w:val="none"/>
              </w:rPr>
            </w:pPr>
            <w:r>
              <w:rPr>
                <w:i w:val="0"/>
                <w:iCs w:val="0"/>
                <w:color w:val="auto"/>
                <w:spacing w:val="-3"/>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pacing w:val="-1"/>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pacing w:val="-2"/>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区园林绿化中心</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09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组织推进重点企业、工业园区、铁路货场、物流园区的国四货车、国二及以下(含x阶段)排放标准非道路移动机械淘汰,加速自有及使用的机动车和非道路移动机械电动化。</w:t>
            </w:r>
          </w:p>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区生态环境局加强对非道路移动机械排放、编码登记状况的监督检查。</w:t>
            </w:r>
          </w:p>
          <w:p>
            <w:pPr>
              <w:pStyle w:val="16"/>
              <w:keepNext w:val="0"/>
              <w:keepLines w:val="0"/>
              <w:pageBreakBefore w:val="0"/>
              <w:widowControl w:val="0"/>
              <w:kinsoku/>
              <w:wordWrap/>
              <w:overflowPunct/>
              <w:topLinePunct w:val="0"/>
              <w:autoSpaceDE w:val="0"/>
              <w:autoSpaceDN w:val="0"/>
              <w:bidi w:val="0"/>
              <w:adjustRightInd/>
              <w:snapToGrid/>
              <w:spacing w:before="11" w:line="34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区住房城乡建设委依法将使用未经信息编码登记或者不符合排放标准的非道路移动机械的建设单位或者施工单位，记入信用信息记录，并开展行业督导。</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区国资委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6"/>
                <w:sz w:val="28"/>
                <w:highlight w:val="none"/>
                <w:lang w:val="en-US" w:eastAsia="zh-CN"/>
              </w:rPr>
              <w:t>区交通局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9" w:hRule="atLeast"/>
        </w:trPr>
        <w:tc>
          <w:tcPr>
            <w:tcW w:w="554"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8"/>
                <w:highlight w:val="none"/>
                <w:lang w:val="en-US" w:eastAsia="zh-CN"/>
              </w:rPr>
              <w:t>12</w:t>
            </w:r>
          </w:p>
        </w:tc>
        <w:tc>
          <w:tcPr>
            <w:tcW w:w="85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left"/>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强化移动源排放监管</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严格实施国六b机动车排放标准。</w:t>
            </w:r>
            <w:r>
              <w:rPr>
                <w:rFonts w:hint="eastAsia"/>
                <w:i w:val="0"/>
                <w:iCs w:val="0"/>
                <w:color w:val="auto"/>
                <w:sz w:val="28"/>
                <w:highlight w:val="none"/>
              </w:rPr>
              <w:t>生态环境部门做好轻型汽油车新阶段标准实施的宣传引导，公安交管部门做好符合新阶段标准车辆的注册登记工作。</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pacing w:val="-6"/>
                <w:sz w:val="28"/>
                <w:highlight w:val="none"/>
                <w:lang w:val="en-US" w:eastAsia="zh-CN"/>
              </w:rPr>
            </w:pPr>
            <w:r>
              <w:rPr>
                <w:rFonts w:hint="eastAsia"/>
                <w:i w:val="0"/>
                <w:iCs w:val="0"/>
                <w:color w:val="auto"/>
                <w:spacing w:val="-6"/>
                <w:sz w:val="28"/>
                <w:highlight w:val="none"/>
                <w:lang w:val="en-US" w:eastAsia="zh-CN"/>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pacing w:val="-6"/>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91"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i w:val="0"/>
                <w:iCs w:val="0"/>
                <w:color w:val="auto"/>
                <w:spacing w:val="-5"/>
                <w:sz w:val="28"/>
                <w:highlight w:val="none"/>
              </w:rPr>
              <w:t>交通、公安交管、生态环境部门全年在进京</w:t>
            </w:r>
            <w:r>
              <w:rPr>
                <w:i w:val="0"/>
                <w:iCs w:val="0"/>
                <w:color w:val="auto"/>
                <w:spacing w:val="-9"/>
                <w:sz w:val="28"/>
                <w:highlight w:val="none"/>
              </w:rPr>
              <w:t>路口和</w:t>
            </w:r>
            <w:r>
              <w:rPr>
                <w:rFonts w:hint="eastAsia"/>
                <w:i w:val="0"/>
                <w:iCs w:val="0"/>
                <w:color w:val="auto"/>
                <w:spacing w:val="-9"/>
                <w:sz w:val="28"/>
                <w:highlight w:val="none"/>
                <w:lang w:val="en-US" w:eastAsia="zh-CN"/>
              </w:rPr>
              <w:t>辖区</w:t>
            </w:r>
            <w:r>
              <w:rPr>
                <w:i w:val="0"/>
                <w:iCs w:val="0"/>
                <w:color w:val="auto"/>
                <w:spacing w:val="-9"/>
                <w:sz w:val="28"/>
                <w:highlight w:val="none"/>
              </w:rPr>
              <w:t>内主要道路完成</w:t>
            </w:r>
            <w:r>
              <w:rPr>
                <w:i w:val="0"/>
                <w:iCs w:val="0"/>
                <w:color w:val="auto"/>
                <w:sz w:val="28"/>
                <w:highlight w:val="none"/>
              </w:rPr>
              <w:t>24.</w:t>
            </w:r>
            <w:r>
              <w:rPr>
                <w:rFonts w:hint="eastAsia"/>
                <w:i w:val="0"/>
                <w:iCs w:val="0"/>
                <w:color w:val="auto"/>
                <w:sz w:val="28"/>
                <w:highlight w:val="none"/>
                <w:lang w:val="en-US" w:eastAsia="zh-CN"/>
              </w:rPr>
              <w:t>5</w:t>
            </w:r>
            <w:r>
              <w:rPr>
                <w:i w:val="0"/>
                <w:iCs w:val="0"/>
                <w:color w:val="auto"/>
                <w:spacing w:val="-14"/>
                <w:sz w:val="28"/>
                <w:highlight w:val="none"/>
              </w:rPr>
              <w:t>万辆次以上</w:t>
            </w:r>
            <w:r>
              <w:rPr>
                <w:i w:val="0"/>
                <w:iCs w:val="0"/>
                <w:color w:val="auto"/>
                <w:spacing w:val="-4"/>
                <w:sz w:val="28"/>
                <w:highlight w:val="none"/>
              </w:rPr>
              <w:t>的重型柴油车人工检查。</w:t>
            </w:r>
            <w:r>
              <w:rPr>
                <w:rFonts w:hint="eastAsia"/>
                <w:i w:val="0"/>
                <w:iCs w:val="0"/>
                <w:color w:val="auto"/>
                <w:spacing w:val="-4"/>
                <w:sz w:val="28"/>
                <w:highlight w:val="none"/>
              </w:rPr>
              <w:t>加强对低速货车的路检抽查。加大</w:t>
            </w:r>
            <w:r>
              <w:rPr>
                <w:rFonts w:hint="eastAsia"/>
                <w:i w:val="0"/>
                <w:iCs w:val="0"/>
                <w:color w:val="auto"/>
                <w:spacing w:val="-17"/>
                <w:sz w:val="28"/>
                <w:highlight w:val="none"/>
              </w:rPr>
              <w:t>对摩托车非法上路行驶和非法改装的执法处罚力度。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064"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1"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5"/>
                <w:sz w:val="28"/>
                <w:highlight w:val="none"/>
              </w:rPr>
              <w:t>区市场监管</w:t>
            </w:r>
            <w:r>
              <w:rPr>
                <w:rFonts w:hint="eastAsia"/>
                <w:i w:val="0"/>
                <w:iCs w:val="0"/>
                <w:color w:val="auto"/>
                <w:spacing w:val="-5"/>
                <w:sz w:val="28"/>
                <w:highlight w:val="none"/>
                <w:lang w:val="en-US" w:eastAsia="zh-CN"/>
              </w:rPr>
              <w:t>部门</w:t>
            </w:r>
            <w:r>
              <w:rPr>
                <w:rFonts w:hint="eastAsia"/>
                <w:i w:val="0"/>
                <w:iCs w:val="0"/>
                <w:color w:val="auto"/>
                <w:spacing w:val="-5"/>
                <w:sz w:val="28"/>
                <w:highlight w:val="none"/>
              </w:rPr>
              <w:t>按照市场监管总局、北京市市场</w:t>
            </w:r>
            <w:r>
              <w:rPr>
                <w:rFonts w:hint="eastAsia"/>
                <w:i w:val="0"/>
                <w:iCs w:val="0"/>
                <w:color w:val="auto"/>
                <w:spacing w:val="-5"/>
                <w:sz w:val="28"/>
                <w:highlight w:val="none"/>
                <w:lang w:val="en-US" w:eastAsia="zh-CN"/>
              </w:rPr>
              <w:t>监管</w:t>
            </w:r>
            <w:r>
              <w:rPr>
                <w:rFonts w:hint="eastAsia"/>
                <w:i w:val="0"/>
                <w:iCs w:val="0"/>
                <w:color w:val="auto"/>
                <w:spacing w:val="-5"/>
                <w:sz w:val="28"/>
                <w:highlight w:val="none"/>
              </w:rPr>
              <w:t>局工作部署和要求</w:t>
            </w:r>
            <w:r>
              <w:rPr>
                <w:rFonts w:hint="eastAsia"/>
                <w:i w:val="0"/>
                <w:iCs w:val="0"/>
                <w:color w:val="auto"/>
                <w:spacing w:val="-5"/>
                <w:sz w:val="28"/>
                <w:highlight w:val="none"/>
                <w:lang w:eastAsia="zh-CN"/>
              </w:rPr>
              <w:t>，</w:t>
            </w:r>
            <w:r>
              <w:rPr>
                <w:rFonts w:hint="eastAsia"/>
                <w:i w:val="0"/>
                <w:iCs w:val="0"/>
                <w:color w:val="auto"/>
                <w:spacing w:val="-5"/>
                <w:sz w:val="28"/>
                <w:highlight w:val="none"/>
              </w:rPr>
              <w:t>牵头开展机动车检验领域专项整治行动，严惩违法违规行为，加大曝光力度，市场监管、生态环境、公安交管等部门按照职责分工，对机动车检验机构的违法行为及其他部分和规范的行为进行计分。</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hanging="72"/>
              <w:jc w:val="center"/>
              <w:textAlignment w:val="auto"/>
              <w:outlineLvl w:val="9"/>
              <w:rPr>
                <w:i w:val="0"/>
                <w:iCs w:val="0"/>
                <w:color w:val="auto"/>
                <w:spacing w:val="-3"/>
                <w:sz w:val="28"/>
                <w:highlight w:val="none"/>
              </w:rPr>
            </w:pPr>
            <w:r>
              <w:rPr>
                <w:i w:val="0"/>
                <w:iCs w:val="0"/>
                <w:color w:val="auto"/>
                <w:spacing w:val="-3"/>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right="0" w:hanging="72"/>
              <w:jc w:val="center"/>
              <w:textAlignment w:val="auto"/>
              <w:outlineLvl w:val="9"/>
              <w:rPr>
                <w:i w:val="0"/>
                <w:iCs w:val="0"/>
                <w:color w:val="auto"/>
                <w:spacing w:val="-3"/>
                <w:sz w:val="28"/>
                <w:highlight w:val="none"/>
              </w:rPr>
            </w:pPr>
            <w:r>
              <w:rPr>
                <w:i w:val="0"/>
                <w:iCs w:val="0"/>
                <w:color w:val="auto"/>
                <w:spacing w:val="-3"/>
                <w:sz w:val="28"/>
                <w:highlight w:val="none"/>
              </w:rPr>
              <w:t xml:space="preserve">区生态环境局  </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hanging="72" w:firstLineChars="0"/>
              <w:jc w:val="center"/>
              <w:textAlignment w:val="auto"/>
              <w:outlineLvl w:val="9"/>
              <w:rPr>
                <w:i w:val="0"/>
                <w:iCs w:val="0"/>
                <w:color w:val="auto"/>
                <w:sz w:val="28"/>
                <w:highlight w:val="none"/>
              </w:rPr>
            </w:pPr>
            <w:r>
              <w:rPr>
                <w:rFonts w:hint="eastAsia"/>
                <w:i w:val="0"/>
                <w:iCs w:val="0"/>
                <w:color w:val="auto"/>
                <w:spacing w:val="-3"/>
                <w:sz w:val="28"/>
                <w:highlight w:val="none"/>
                <w:lang w:val="en-US" w:eastAsia="zh-CN"/>
              </w:rPr>
              <w:t>区公安分局交通支队</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13</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60" w:lineRule="exact"/>
              <w:ind w:left="120"/>
              <w:jc w:val="left"/>
              <w:textAlignment w:val="auto"/>
              <w:outlineLvl w:val="9"/>
              <w:rPr>
                <w:i w:val="0"/>
                <w:iCs w:val="0"/>
                <w:color w:val="auto"/>
                <w:sz w:val="28"/>
                <w:highlight w:val="none"/>
              </w:rPr>
            </w:pPr>
            <w:r>
              <w:rPr>
                <w:rFonts w:hint="eastAsia"/>
                <w:i w:val="0"/>
                <w:iCs w:val="0"/>
                <w:color w:val="auto"/>
                <w:sz w:val="28"/>
                <w:highlight w:val="none"/>
              </w:rPr>
              <w:t>推进运输结构调整工作</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落实</w:t>
            </w:r>
            <w:r>
              <w:rPr>
                <w:rFonts w:hint="eastAsia"/>
                <w:i w:val="0"/>
                <w:iCs w:val="0"/>
                <w:color w:val="auto"/>
                <w:sz w:val="28"/>
                <w:highlight w:val="none"/>
              </w:rPr>
              <w:t>本市“十四五”时期推进重点大宗物资运输结构优化调整行动计划，持续推进重点大宗货类“公转铁”，全市货物到发铁路运输比重进一步提高。</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pacing w:val="-2"/>
                <w:w w:val="110"/>
                <w:sz w:val="28"/>
                <w:highlight w:val="none"/>
                <w:lang w:val="en-US" w:eastAsia="zh-CN"/>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区交通局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区国资委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z w:val="28"/>
                <w:highlight w:val="none"/>
              </w:rPr>
              <w:t>区商务局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20"/>
                <w:w w:val="95"/>
                <w:sz w:val="28"/>
                <w:szCs w:val="22"/>
                <w:highlight w:val="none"/>
                <w:lang w:val="en-US" w:eastAsia="zh-CN" w:bidi="ar-SA"/>
              </w:rPr>
              <w:t>中国邮政密云分公司</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区规自分局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3"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3"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鼓励重点企业开展零排放货物运输车队试点。鼓励重点企业等用车单位与运输企业（个人）签订合作协议等方式实现清洁运输。</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区经信局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3"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积极推进“外集内配”的城市物流公铁联运方式，试点推广“铁路+新能源车”“全程新能源车”等绿色运输模式。</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区交通局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98"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4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四、提升城市环境精细化管控水平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81"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14</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rFonts w:hint="eastAsia"/>
                <w:i w:val="0"/>
                <w:iCs w:val="0"/>
                <w:color w:val="auto"/>
                <w:sz w:val="28"/>
                <w:highlight w:val="none"/>
              </w:rPr>
            </w:pPr>
            <w:r>
              <w:rPr>
                <w:rFonts w:hint="eastAsia"/>
                <w:i w:val="0"/>
                <w:iCs w:val="0"/>
                <w:color w:val="auto"/>
                <w:sz w:val="28"/>
                <w:highlight w:val="none"/>
              </w:rPr>
              <w:t>严控</w:t>
            </w:r>
          </w:p>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r>
              <w:rPr>
                <w:rFonts w:hint="eastAsia"/>
                <w:i w:val="0"/>
                <w:iCs w:val="0"/>
                <w:color w:val="auto"/>
                <w:sz w:val="28"/>
                <w:highlight w:val="none"/>
              </w:rPr>
              <w:t>降尘量</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jc w:val="both"/>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13"/>
                <w:sz w:val="28"/>
                <w:highlight w:val="none"/>
              </w:rPr>
              <w:t xml:space="preserve">降尘量控制在 </w:t>
            </w:r>
            <w:r>
              <w:rPr>
                <w:i w:val="0"/>
                <w:iCs w:val="0"/>
                <w:color w:val="auto"/>
                <w:sz w:val="28"/>
                <w:highlight w:val="none"/>
              </w:rPr>
              <w:t>5</w:t>
            </w:r>
            <w:r>
              <w:rPr>
                <w:i w:val="0"/>
                <w:iCs w:val="0"/>
                <w:color w:val="auto"/>
                <w:spacing w:val="-35"/>
                <w:sz w:val="28"/>
                <w:highlight w:val="none"/>
              </w:rPr>
              <w:t xml:space="preserve"> 吨</w:t>
            </w:r>
            <w:r>
              <w:rPr>
                <w:i w:val="0"/>
                <w:iCs w:val="0"/>
                <w:color w:val="auto"/>
                <w:sz w:val="28"/>
                <w:highlight w:val="none"/>
              </w:rPr>
              <w:t>/</w:t>
            </w:r>
            <w:r>
              <w:rPr>
                <w:i w:val="0"/>
                <w:iCs w:val="0"/>
                <w:color w:val="auto"/>
                <w:spacing w:val="-2"/>
                <w:sz w:val="28"/>
                <w:highlight w:val="none"/>
              </w:rPr>
              <w:t>平方公里</w:t>
            </w:r>
            <w:r>
              <w:rPr>
                <w:i w:val="0"/>
                <w:iCs w:val="0"/>
                <w:color w:val="auto"/>
                <w:sz w:val="28"/>
                <w:highlight w:val="none"/>
              </w:rPr>
              <w:t>·</w:t>
            </w:r>
            <w:r>
              <w:rPr>
                <w:i w:val="0"/>
                <w:iCs w:val="0"/>
                <w:color w:val="auto"/>
                <w:spacing w:val="-2"/>
                <w:sz w:val="28"/>
                <w:highlight w:val="none"/>
              </w:rPr>
              <w:t>月左右</w:t>
            </w:r>
            <w:r>
              <w:rPr>
                <w:i w:val="0"/>
                <w:iCs w:val="0"/>
                <w:color w:val="auto"/>
                <w:sz w:val="28"/>
                <w:highlight w:val="none"/>
              </w:rPr>
              <w:t>（扣</w:t>
            </w:r>
            <w:r>
              <w:rPr>
                <w:i w:val="0"/>
                <w:iCs w:val="0"/>
                <w:color w:val="auto"/>
                <w:spacing w:val="-3"/>
                <w:sz w:val="28"/>
                <w:highlight w:val="none"/>
              </w:rPr>
              <w:t>除沙尘影响</w:t>
            </w:r>
            <w:r>
              <w:rPr>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区园林绿化中心</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right="0"/>
              <w:jc w:val="center"/>
              <w:textAlignment w:val="auto"/>
              <w:outlineLvl w:val="9"/>
              <w:rPr>
                <w:i w:val="0"/>
                <w:iCs w:val="0"/>
                <w:color w:val="auto"/>
                <w:spacing w:val="-2"/>
                <w:sz w:val="28"/>
                <w:highlight w:val="none"/>
              </w:rPr>
            </w:pPr>
            <w:r>
              <w:rPr>
                <w:i w:val="0"/>
                <w:iCs w:val="0"/>
                <w:color w:val="auto"/>
                <w:spacing w:val="-2"/>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right="0" w:firstLine="0"/>
              <w:jc w:val="center"/>
              <w:textAlignment w:val="auto"/>
              <w:outlineLvl w:val="9"/>
              <w:rPr>
                <w:i w:val="0"/>
                <w:iCs w:val="0"/>
                <w:color w:val="auto"/>
                <w:spacing w:val="-5"/>
                <w:sz w:val="28"/>
                <w:highlight w:val="none"/>
              </w:rPr>
            </w:pPr>
            <w:r>
              <w:rPr>
                <w:i w:val="0"/>
                <w:iCs w:val="0"/>
                <w:color w:val="auto"/>
                <w:spacing w:val="-2"/>
                <w:sz w:val="28"/>
                <w:highlight w:val="none"/>
              </w:rPr>
              <w:t>区水务局</w:t>
            </w:r>
            <w:r>
              <w:rPr>
                <w:i w:val="0"/>
                <w:iCs w:val="0"/>
                <w:color w:val="auto"/>
                <w:spacing w:val="-5"/>
                <w:sz w:val="28"/>
                <w:highlight w:val="none"/>
              </w:rPr>
              <w:t>等行业主管部门</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2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7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各镇街（地区）、中关村密云园TSP 浓度同比改善或持平。</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2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0"/>
                <w:sz w:val="28"/>
                <w:highlight w:val="none"/>
              </w:rPr>
              <w:t>定期通报各</w:t>
            </w:r>
            <w:r>
              <w:rPr>
                <w:i w:val="0"/>
                <w:iCs w:val="0"/>
                <w:color w:val="auto"/>
                <w:sz w:val="28"/>
                <w:highlight w:val="none"/>
              </w:rPr>
              <w:t>镇街（地区）</w:t>
            </w:r>
            <w:r>
              <w:rPr>
                <w:rFonts w:hint="eastAsia"/>
                <w:i w:val="0"/>
                <w:iCs w:val="0"/>
                <w:color w:val="auto"/>
                <w:spacing w:val="0"/>
                <w:sz w:val="28"/>
                <w:highlight w:val="none"/>
              </w:rPr>
              <w:t>降尘量、粗颗粒物（TSP）浓度、道路尘负荷等排名情况。</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 xml:space="preserve">各镇街（地区）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3318"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15</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r>
              <w:rPr>
                <w:i w:val="0"/>
                <w:iCs w:val="0"/>
                <w:color w:val="auto"/>
                <w:sz w:val="28"/>
                <w:highlight w:val="none"/>
              </w:rPr>
              <w:t>加强重点区域精细化治理</w:t>
            </w:r>
          </w:p>
        </w:tc>
        <w:tc>
          <w:tcPr>
            <w:tcW w:w="5884" w:type="dxa"/>
            <w:vAlign w:val="top"/>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87" w:rightChars="0"/>
              <w:jc w:val="both"/>
              <w:textAlignment w:val="auto"/>
              <w:outlineLvl w:val="9"/>
              <w:rPr>
                <w:i w:val="0"/>
                <w:iCs w:val="0"/>
                <w:color w:val="auto"/>
                <w:sz w:val="28"/>
                <w:highlight w:val="none"/>
              </w:rPr>
            </w:pPr>
            <w:r>
              <w:rPr>
                <w:i w:val="0"/>
                <w:iCs w:val="0"/>
                <w:color w:val="auto"/>
                <w:sz w:val="28"/>
                <w:highlight w:val="none"/>
              </w:rPr>
              <w:t>组织鼓楼街道、果园街道、密云镇</w:t>
            </w:r>
            <w:r>
              <w:rPr>
                <w:rFonts w:hint="eastAsia"/>
                <w:i w:val="0"/>
                <w:iCs w:val="0"/>
                <w:color w:val="auto"/>
                <w:sz w:val="28"/>
                <w:highlight w:val="none"/>
                <w:lang w:val="en-US" w:eastAsia="zh-CN"/>
              </w:rPr>
              <w:t>以及</w:t>
            </w:r>
            <w:r>
              <w:rPr>
                <w:i w:val="0"/>
                <w:iCs w:val="0"/>
                <w:color w:val="auto"/>
                <w:sz w:val="28"/>
                <w:highlight w:val="none"/>
              </w:rPr>
              <w:t>西田各庄镇部分地区，继续开展重点区域精细化管理工作。依据《北京市生态环境保护工作职责分工》及《北京市街道办事处条例》，加强精细化管理工作，定期开展巡查检查，完善更新污染源台账，充分发挥环保网格化管理及“街乡吹哨、部门报到”机制作用，对突出环境问题及时发现、快速解决，全面提升属地精细化管理水平。开展重点区域周围精准作业提升项目；重点区域内党政机关、小区道路积尘负荷浓度同比改善或持平。</w:t>
            </w:r>
          </w:p>
        </w:tc>
        <w:tc>
          <w:tcPr>
            <w:tcW w:w="1229" w:type="dxa"/>
            <w:vAlign w:val="top"/>
          </w:tcPr>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145" w:rightChars="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145" w:right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184" w:line="400" w:lineRule="exact"/>
              <w:ind w:left="0" w:leftChars="0" w:right="58"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鼓楼街道</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果园街道</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密云镇</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西田各庄镇</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87" w:rightChars="0"/>
              <w:jc w:val="center"/>
              <w:textAlignment w:val="auto"/>
              <w:outlineLvl w:val="9"/>
              <w:rPr>
                <w:i w:val="0"/>
                <w:iCs w:val="0"/>
                <w:color w:val="auto"/>
                <w:sz w:val="28"/>
                <w:highlight w:val="none"/>
              </w:rPr>
            </w:pPr>
            <w:r>
              <w:rPr>
                <w:i w:val="0"/>
                <w:iCs w:val="0"/>
                <w:color w:val="auto"/>
                <w:sz w:val="28"/>
                <w:highlight w:val="none"/>
              </w:rPr>
              <w:t>区园林绿化中心</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right="87" w:rightChars="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0" w:leftChars="0" w:right="87" w:rightChars="0"/>
              <w:jc w:val="center"/>
              <w:textAlignment w:val="auto"/>
              <w:outlineLvl w:val="9"/>
              <w:rPr>
                <w:i w:val="0"/>
                <w:iCs w:val="0"/>
                <w:color w:val="auto"/>
                <w:sz w:val="28"/>
                <w:highlight w:val="none"/>
              </w:rPr>
            </w:pPr>
            <w:r>
              <w:rPr>
                <w:i w:val="0"/>
                <w:iCs w:val="0"/>
                <w:color w:val="auto"/>
                <w:sz w:val="28"/>
                <w:highlight w:val="none"/>
              </w:rPr>
              <w:t>区城管执法局等相关单位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4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16</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20" w:lineRule="exact"/>
              <w:ind w:left="120"/>
              <w:jc w:val="left"/>
              <w:textAlignment w:val="auto"/>
              <w:outlineLvl w:val="9"/>
              <w:rPr>
                <w:i w:val="0"/>
                <w:iCs w:val="0"/>
                <w:color w:val="auto"/>
                <w:sz w:val="28"/>
                <w:highlight w:val="none"/>
              </w:rPr>
            </w:pPr>
            <w:r>
              <w:rPr>
                <w:rFonts w:hint="eastAsia"/>
                <w:i w:val="0"/>
                <w:iCs w:val="0"/>
                <w:color w:val="auto"/>
                <w:sz w:val="28"/>
                <w:highlight w:val="none"/>
              </w:rPr>
              <w:t>强化施工扬尘精细化管控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32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加强扬尘防治精细化管理，在重点地区及有条件的施工现场积极推行土石方施工阶段防尘天幕、预拌流态固化土代替常规灰土肥槽回填等抑尘措施；深入推进扬尘治理“绿牌”工地创建工作，充分发挥标杆引领、正向激励作用，有效推动扬尘治理水平整体提升。</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pacing w:before="9" w:line="400" w:lineRule="exact"/>
              <w:ind w:left="377" w:right="363" w:hanging="3"/>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pacing w:before="9" w:line="400" w:lineRule="exact"/>
              <w:ind w:left="377" w:right="363" w:hanging="3"/>
              <w:jc w:val="center"/>
              <w:textAlignment w:val="auto"/>
              <w:outlineLvl w:val="9"/>
              <w:rPr>
                <w:i w:val="0"/>
                <w:iCs w:val="0"/>
                <w:color w:val="auto"/>
                <w:sz w:val="28"/>
                <w:highlight w:val="none"/>
              </w:rPr>
            </w:pPr>
            <w:r>
              <w:rPr>
                <w:i w:val="0"/>
                <w:iCs w:val="0"/>
                <w:color w:val="auto"/>
                <w:spacing w:val="-5"/>
                <w:sz w:val="28"/>
                <w:highlight w:val="none"/>
              </w:rPr>
              <w:t>区公路分局</w:t>
            </w: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区园林绿化局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16</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left"/>
              <w:textAlignment w:val="auto"/>
              <w:outlineLvl w:val="9"/>
              <w:rPr>
                <w:i w:val="0"/>
                <w:iCs w:val="0"/>
                <w:color w:val="auto"/>
                <w:sz w:val="28"/>
                <w:highlight w:val="none"/>
              </w:rPr>
            </w:pPr>
            <w:r>
              <w:rPr>
                <w:rFonts w:hint="eastAsia"/>
                <w:i w:val="0"/>
                <w:iCs w:val="0"/>
                <w:color w:val="auto"/>
                <w:sz w:val="28"/>
                <w:highlight w:val="none"/>
              </w:rPr>
              <w:t>强化施工扬尘精细化管控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pacing w:val="-4"/>
                <w:sz w:val="28"/>
                <w:highlight w:val="none"/>
              </w:rPr>
              <w:t>区住建委强化指导，做好施工工地扬尘视频监管平台日常管理运维，完善扬尘问题智能</w:t>
            </w:r>
            <w:r>
              <w:rPr>
                <w:i w:val="0"/>
                <w:iCs w:val="0"/>
                <w:color w:val="auto"/>
                <w:spacing w:val="-12"/>
                <w:sz w:val="28"/>
                <w:highlight w:val="none"/>
              </w:rPr>
              <w:t>化识别、</w:t>
            </w:r>
            <w:r>
              <w:rPr>
                <w:i w:val="0"/>
                <w:iCs w:val="0"/>
                <w:color w:val="auto"/>
                <w:sz w:val="28"/>
                <w:highlight w:val="none"/>
              </w:rPr>
              <w:t>24</w:t>
            </w:r>
            <w:r>
              <w:rPr>
                <w:i w:val="0"/>
                <w:iCs w:val="0"/>
                <w:color w:val="auto"/>
                <w:spacing w:val="-12"/>
                <w:sz w:val="28"/>
                <w:highlight w:val="none"/>
              </w:rPr>
              <w:t xml:space="preserve"> 小时自动值守等功能；监控值守</w:t>
            </w:r>
            <w:r>
              <w:rPr>
                <w:i w:val="0"/>
                <w:iCs w:val="0"/>
                <w:color w:val="auto"/>
                <w:sz w:val="28"/>
                <w:highlight w:val="none"/>
              </w:rPr>
              <w:t>及扬尘问题报警信息向各行业主管部门及属地镇街（地区）推送共享。</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各行业主管部门及属地镇街（地区）充分利用扬尘视频监管平台，加大推送问题核实及主动巡查频次，保证平台使用效能。</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9"/>
                <w:sz w:val="28"/>
                <w:highlight w:val="none"/>
              </w:rPr>
            </w:pPr>
            <w:r>
              <w:rPr>
                <w:i w:val="0"/>
                <w:iCs w:val="0"/>
                <w:color w:val="auto"/>
                <w:spacing w:val="-9"/>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9"/>
                <w:sz w:val="28"/>
                <w:highlight w:val="none"/>
              </w:rPr>
            </w:pPr>
            <w:r>
              <w:rPr>
                <w:i w:val="0"/>
                <w:iCs w:val="0"/>
                <w:color w:val="auto"/>
                <w:spacing w:val="-9"/>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4"/>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4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4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highlight w:val="none"/>
              </w:rPr>
              <w:t>行业主管部门组织工地（场站）严格落实扬尘管控措施及“门前三包”，强化工地（场站）出口100米范围内遗撒情况巡查，强化渣土车辆管控，做到“进门查证、出门查车”，杜绝车辆违规、带泥上路行驶。</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长期</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区住建委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9"/>
                <w:sz w:val="28"/>
                <w:highlight w:val="none"/>
              </w:rPr>
            </w:pPr>
            <w:r>
              <w:rPr>
                <w:i w:val="0"/>
                <w:iCs w:val="0"/>
                <w:color w:val="auto"/>
                <w:spacing w:val="-9"/>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4"/>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16</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rFonts w:hint="eastAsia"/>
                <w:i w:val="0"/>
                <w:iCs w:val="0"/>
                <w:color w:val="auto"/>
                <w:sz w:val="28"/>
                <w:highlight w:val="none"/>
              </w:rPr>
              <w:t>强化施工扬尘精细化管控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rPr>
                <w:i w:val="0"/>
                <w:iCs w:val="0"/>
                <w:color w:val="auto"/>
                <w:sz w:val="28"/>
                <w:highlight w:val="none"/>
              </w:rPr>
            </w:pPr>
            <w:r>
              <w:rPr>
                <w:i w:val="0"/>
                <w:iCs w:val="0"/>
                <w:color w:val="auto"/>
                <w:spacing w:val="12"/>
                <w:sz w:val="28"/>
                <w:highlight w:val="none"/>
              </w:rPr>
              <w:t>区住建委</w:t>
            </w:r>
            <w:r>
              <w:rPr>
                <w:rFonts w:hint="eastAsia"/>
                <w:i w:val="0"/>
                <w:iCs w:val="0"/>
                <w:color w:val="auto"/>
                <w:spacing w:val="12"/>
                <w:sz w:val="28"/>
                <w:highlight w:val="none"/>
              </w:rPr>
              <w:t>组织土石方工程、建筑垃圾消纳场，安装建筑垃圾运输车辆车牌识别和洗轮机监测功能视频设备，并与北京市施工扬尘视频监管平台联网。</w:t>
            </w:r>
          </w:p>
        </w:tc>
        <w:tc>
          <w:tcPr>
            <w:tcW w:w="1229" w:type="dxa"/>
            <w:vAlign w:val="center"/>
          </w:tcPr>
          <w:p>
            <w:pPr>
              <w:snapToGrid w:val="0"/>
              <w:spacing w:line="360" w:lineRule="exact"/>
              <w:ind w:left="0" w:leftChars="0" w:right="0" w:rightChars="0"/>
              <w:jc w:val="center"/>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i w:val="0"/>
                <w:iCs w:val="0"/>
                <w:color w:val="auto"/>
                <w:spacing w:val="-3"/>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i w:val="0"/>
                <w:iCs w:val="0"/>
                <w:color w:val="auto"/>
                <w:spacing w:val="-3"/>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eastAsia="仿宋_GB2312"/>
                <w:i w:val="0"/>
                <w:iCs w:val="0"/>
                <w:color w:val="auto"/>
                <w:spacing w:val="-3"/>
                <w:sz w:val="28"/>
                <w:highlight w:val="none"/>
                <w:lang w:val="en-US" w:eastAsia="zh-CN"/>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交通</w:t>
            </w:r>
            <w:r>
              <w:rPr>
                <w:rFonts w:hint="eastAsia"/>
                <w:i w:val="0"/>
                <w:iCs w:val="0"/>
                <w:color w:val="auto"/>
                <w:spacing w:val="-3"/>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rFonts w:hint="eastAsia"/>
                <w:i w:val="0"/>
                <w:iCs w:val="0"/>
                <w:color w:val="auto"/>
                <w:spacing w:val="-3"/>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hanging="3" w:firstLineChars="0"/>
              <w:jc w:val="center"/>
              <w:textAlignment w:val="auto"/>
              <w:outlineLvl w:val="9"/>
              <w:rPr>
                <w:i w:val="0"/>
                <w:iCs w:val="0"/>
                <w:color w:val="auto"/>
                <w:sz w:val="28"/>
                <w:highlight w:val="none"/>
              </w:rPr>
            </w:pPr>
            <w:r>
              <w:rPr>
                <w:rFonts w:hint="eastAsia"/>
                <w:i w:val="0"/>
                <w:iCs w:val="0"/>
                <w:color w:val="auto"/>
                <w:spacing w:val="-3"/>
                <w:sz w:val="28"/>
                <w:highlight w:val="none"/>
                <w:lang w:val="en-US" w:eastAsia="zh-CN"/>
              </w:rPr>
              <w:t>区</w:t>
            </w:r>
            <w:r>
              <w:rPr>
                <w:rFonts w:hint="eastAsia"/>
                <w:i w:val="0"/>
                <w:iCs w:val="0"/>
                <w:color w:val="auto"/>
                <w:spacing w:val="-3"/>
                <w:sz w:val="28"/>
                <w:highlight w:val="none"/>
              </w:rPr>
              <w:t>园林绿化局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rPr>
                <w:i w:val="0"/>
                <w:iCs w:val="0"/>
                <w:color w:val="auto"/>
                <w:sz w:val="28"/>
                <w:highlight w:val="none"/>
              </w:rPr>
            </w:pPr>
            <w:r>
              <w:rPr>
                <w:i w:val="0"/>
                <w:iCs w:val="0"/>
                <w:color w:val="auto"/>
                <w:spacing w:val="12"/>
                <w:sz w:val="28"/>
                <w:highlight w:val="none"/>
              </w:rPr>
              <w:t>区级城管执法部门加强对属地扬尘执法工作的指导，提升属地扬尘执法效能，重点加强对空气质量排名靠后镇街（地区）的执法检查，做好各类扬尘执法数据的汇总分析并及时向同级相关行业主管部门推送；曝光扬尘违法行为，营造扬尘执法高压态势。</w:t>
            </w:r>
          </w:p>
        </w:tc>
        <w:tc>
          <w:tcPr>
            <w:tcW w:w="1229" w:type="dxa"/>
            <w:vAlign w:val="center"/>
          </w:tcPr>
          <w:p>
            <w:pPr>
              <w:snapToGrid w:val="0"/>
              <w:spacing w:line="360" w:lineRule="exact"/>
              <w:ind w:left="0" w:leftChars="0" w:right="0" w:rightChars="0"/>
              <w:jc w:val="center"/>
              <w:rPr>
                <w:rFonts w:hint="eastAsia"/>
                <w:i w:val="0"/>
                <w:iCs w:val="0"/>
                <w:color w:val="auto"/>
                <w:sz w:val="28"/>
                <w:highlight w:val="none"/>
              </w:rPr>
            </w:pPr>
            <w:r>
              <w:rPr>
                <w:rFonts w:hint="eastAsia"/>
                <w:i w:val="0"/>
                <w:iCs w:val="0"/>
                <w:color w:val="auto"/>
                <w:sz w:val="28"/>
                <w:highlight w:val="none"/>
              </w:rPr>
              <w:t>长期</w:t>
            </w:r>
          </w:p>
          <w:p>
            <w:pPr>
              <w:snapToGrid w:val="0"/>
              <w:spacing w:line="360" w:lineRule="exact"/>
              <w:ind w:left="0" w:leftChars="0" w:right="0" w:rightChars="0"/>
              <w:jc w:val="center"/>
              <w:rPr>
                <w:i w:val="0"/>
                <w:iCs w:val="0"/>
                <w:color w:val="auto"/>
                <w:sz w:val="28"/>
                <w:highlight w:val="none"/>
              </w:rPr>
            </w:pPr>
            <w:r>
              <w:rPr>
                <w:rFonts w:hint="eastAsia"/>
                <w:i w:val="0"/>
                <w:iCs w:val="0"/>
                <w:color w:val="auto"/>
                <w:sz w:val="28"/>
                <w:highlight w:val="none"/>
              </w:rPr>
              <w:t>实施</w:t>
            </w:r>
          </w:p>
        </w:tc>
        <w:tc>
          <w:tcPr>
            <w:tcW w:w="2056" w:type="dxa"/>
            <w:gridSpan w:val="4"/>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区城管执法局</w:t>
            </w:r>
          </w:p>
        </w:tc>
        <w:tc>
          <w:tcPr>
            <w:tcW w:w="2280" w:type="dxa"/>
            <w:gridSpan w:val="2"/>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hanging="3"/>
              <w:jc w:val="center"/>
              <w:textAlignment w:val="auto"/>
              <w:outlineLvl w:val="9"/>
              <w:rPr>
                <w:i w:val="0"/>
                <w:iCs w:val="0"/>
                <w:color w:val="auto"/>
                <w:spacing w:val="-3"/>
                <w:sz w:val="28"/>
                <w:highlight w:val="none"/>
              </w:rPr>
            </w:pPr>
            <w:r>
              <w:rPr>
                <w:i w:val="0"/>
                <w:iCs w:val="0"/>
                <w:color w:val="auto"/>
                <w:spacing w:val="-3"/>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hanging="3" w:firstLineChars="0"/>
              <w:jc w:val="center"/>
              <w:textAlignment w:val="auto"/>
              <w:outlineLvl w:val="9"/>
              <w:rPr>
                <w:i w:val="0"/>
                <w:iCs w:val="0"/>
                <w:color w:val="auto"/>
                <w:spacing w:val="-13"/>
                <w:sz w:val="28"/>
                <w:highlight w:val="none"/>
              </w:rPr>
            </w:pPr>
            <w:r>
              <w:rPr>
                <w:i w:val="0"/>
                <w:iCs w:val="0"/>
                <w:color w:val="auto"/>
                <w:spacing w:val="-3"/>
                <w:sz w:val="28"/>
                <w:highlight w:val="none"/>
              </w:rPr>
              <w:t xml:space="preserve"> </w:t>
            </w: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hanging="3"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rPr>
                <w:i w:val="0"/>
                <w:iCs w:val="0"/>
                <w:color w:val="auto"/>
                <w:sz w:val="28"/>
                <w:highlight w:val="none"/>
              </w:rPr>
            </w:pPr>
            <w:r>
              <w:rPr>
                <w:rFonts w:hint="eastAsia"/>
                <w:i w:val="0"/>
                <w:iCs w:val="0"/>
                <w:color w:val="auto"/>
                <w:spacing w:val="12"/>
                <w:sz w:val="28"/>
                <w:highlight w:val="none"/>
              </w:rPr>
              <w:t>组织街道（乡镇）定期更新辖区内各类施工工地、拆迁拆违、线性工程、“小微工程”、</w:t>
            </w:r>
            <w:r>
              <w:rPr>
                <w:rFonts w:hint="eastAsia"/>
                <w:i w:val="0"/>
                <w:iCs w:val="0"/>
                <w:color w:val="auto"/>
                <w:spacing w:val="-6"/>
                <w:sz w:val="28"/>
                <w:highlight w:val="none"/>
              </w:rPr>
              <w:t>裸地等扬尘管控台账，按月开展全覆盖检查。</w:t>
            </w:r>
          </w:p>
        </w:tc>
        <w:tc>
          <w:tcPr>
            <w:tcW w:w="1229" w:type="dxa"/>
            <w:vAlign w:val="center"/>
          </w:tcPr>
          <w:p>
            <w:pPr>
              <w:snapToGrid w:val="0"/>
              <w:spacing w:line="360" w:lineRule="exact"/>
              <w:ind w:left="0" w:leftChars="0" w:right="0" w:rightChars="0"/>
              <w:jc w:val="center"/>
              <w:rPr>
                <w:rFonts w:hint="eastAsia"/>
                <w:i w:val="0"/>
                <w:iCs w:val="0"/>
                <w:color w:val="auto"/>
                <w:sz w:val="28"/>
                <w:highlight w:val="none"/>
              </w:rPr>
            </w:pPr>
            <w:r>
              <w:rPr>
                <w:rFonts w:hint="eastAsia"/>
                <w:i w:val="0"/>
                <w:iCs w:val="0"/>
                <w:color w:val="auto"/>
                <w:sz w:val="28"/>
                <w:highlight w:val="none"/>
              </w:rPr>
              <w:t>长期</w:t>
            </w:r>
          </w:p>
          <w:p>
            <w:pPr>
              <w:snapToGrid w:val="0"/>
              <w:spacing w:line="360" w:lineRule="exact"/>
              <w:ind w:left="0" w:leftChars="0" w:right="0" w:rightChars="0"/>
              <w:jc w:val="center"/>
              <w:rPr>
                <w:i w:val="0"/>
                <w:iCs w:val="0"/>
                <w:color w:val="auto"/>
                <w:sz w:val="28"/>
                <w:highlight w:val="none"/>
              </w:rPr>
            </w:pPr>
            <w:r>
              <w:rPr>
                <w:rFonts w:hint="eastAsia"/>
                <w:i w:val="0"/>
                <w:iCs w:val="0"/>
                <w:color w:val="auto"/>
                <w:sz w:val="28"/>
                <w:highlight w:val="none"/>
              </w:rPr>
              <w:t>实施</w:t>
            </w:r>
          </w:p>
        </w:tc>
        <w:tc>
          <w:tcPr>
            <w:tcW w:w="2056" w:type="dxa"/>
            <w:gridSpan w:val="4"/>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p>
        </w:tc>
        <w:tc>
          <w:tcPr>
            <w:tcW w:w="2280" w:type="dxa"/>
            <w:gridSpan w:val="2"/>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p>
        </w:tc>
        <w:tc>
          <w:tcPr>
            <w:tcW w:w="2332"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17</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i w:val="0"/>
                <w:iCs w:val="0"/>
                <w:color w:val="auto"/>
                <w:sz w:val="28"/>
                <w:highlight w:val="none"/>
              </w:rPr>
              <w:t>强化道路扬尘管控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both"/>
              <w:textAlignment w:val="auto"/>
              <w:outlineLvl w:val="9"/>
              <w:rPr>
                <w:i w:val="0"/>
                <w:iCs w:val="0"/>
                <w:color w:val="auto"/>
                <w:sz w:val="28"/>
                <w:highlight w:val="none"/>
              </w:rPr>
            </w:pPr>
            <w:r>
              <w:rPr>
                <w:i w:val="0"/>
                <w:iCs w:val="0"/>
                <w:color w:val="auto"/>
                <w:sz w:val="28"/>
                <w:highlight w:val="none"/>
              </w:rPr>
              <w:t>提升道路清扫保洁水平，</w:t>
            </w:r>
            <w:r>
              <w:rPr>
                <w:rFonts w:hint="eastAsia"/>
                <w:i w:val="0"/>
                <w:iCs w:val="0"/>
                <w:color w:val="auto"/>
                <w:sz w:val="28"/>
                <w:highlight w:val="none"/>
              </w:rPr>
              <w:t>不断降低道路尘土残存量。</w:t>
            </w:r>
            <w:r>
              <w:rPr>
                <w:i w:val="0"/>
                <w:iCs w:val="0"/>
                <w:color w:val="auto"/>
                <w:sz w:val="28"/>
                <w:highlight w:val="none"/>
              </w:rPr>
              <w:t>沙尘天气后及时强化道路清扫保洁。</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区城管委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firstLine="0" w:firstLineChars="0"/>
              <w:jc w:val="center"/>
              <w:textAlignment w:val="auto"/>
              <w:outlineLvl w:val="9"/>
              <w:rPr>
                <w:i w:val="0"/>
                <w:iCs w:val="0"/>
                <w:color w:val="auto"/>
                <w:spacing w:val="-12"/>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2"/>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0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按照《普通公路清扫保洁质量与作业要求指南》，提升辖区内县级及以上公路清扫保洁水平</w:t>
            </w:r>
            <w:r>
              <w:rPr>
                <w:i w:val="0"/>
                <w:iCs w:val="0"/>
                <w:color w:val="auto"/>
                <w:sz w:val="28"/>
                <w:highlight w:val="none"/>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区公路分局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i w:val="0"/>
                <w:iCs w:val="0"/>
                <w:color w:val="auto"/>
                <w:sz w:val="28"/>
                <w:highlight w:val="none"/>
              </w:rPr>
            </w:pPr>
            <w:r>
              <w:rPr>
                <w:i w:val="0"/>
                <w:iCs w:val="0"/>
                <w:color w:val="auto"/>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i w:val="0"/>
                <w:iCs w:val="0"/>
                <w:color w:val="auto"/>
                <w:sz w:val="28"/>
                <w:highlight w:val="none"/>
              </w:rPr>
            </w:pPr>
            <w:r>
              <w:rPr>
                <w:i w:val="0"/>
                <w:iCs w:val="0"/>
                <w:color w:val="auto"/>
                <w:sz w:val="28"/>
                <w:highlight w:val="none"/>
              </w:rPr>
              <w:t>中关村密云园</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首发集团</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jc w:val="center"/>
              <w:textAlignment w:val="auto"/>
              <w:outlineLvl w:val="9"/>
              <w:rPr>
                <w:rFonts w:ascii="Times New Roman"/>
                <w:i w:val="0"/>
                <w:iCs w:val="0"/>
                <w:color w:val="auto"/>
                <w:sz w:val="28"/>
                <w:highlight w:val="none"/>
              </w:rPr>
            </w:pP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8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指导推进辖区农村道路和街巷规范化清扫保洁工作。</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各镇</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108" w:leftChars="0" w:right="0" w:rightChars="0"/>
              <w:textAlignment w:val="auto"/>
              <w:outlineLvl w:val="9"/>
              <w:rPr>
                <w:i w:val="0"/>
                <w:iCs w:val="0"/>
                <w:color w:val="auto"/>
                <w:sz w:val="28"/>
                <w:highlight w:val="none"/>
              </w:rPr>
            </w:pPr>
            <w:r>
              <w:rPr>
                <w:rFonts w:hint="eastAsia" w:cs="仿宋_GB2312"/>
                <w:i w:val="0"/>
                <w:iCs w:val="0"/>
                <w:color w:val="auto"/>
                <w:spacing w:val="-4"/>
                <w:sz w:val="28"/>
                <w:szCs w:val="22"/>
                <w:highlight w:val="none"/>
                <w:lang w:val="en-US" w:eastAsia="zh-CN" w:bidi="ar-SA"/>
              </w:rPr>
              <w:t>继续</w:t>
            </w:r>
            <w:r>
              <w:rPr>
                <w:rFonts w:hint="eastAsia" w:ascii="仿宋_GB2312" w:hAnsi="仿宋_GB2312" w:eastAsia="仿宋_GB2312" w:cs="仿宋_GB2312"/>
                <w:i w:val="0"/>
                <w:iCs w:val="0"/>
                <w:color w:val="auto"/>
                <w:spacing w:val="-4"/>
                <w:sz w:val="28"/>
                <w:szCs w:val="22"/>
                <w:highlight w:val="none"/>
                <w:lang w:val="en-US" w:eastAsia="en-US" w:bidi="ar-SA"/>
              </w:rPr>
              <w:t>组织开展道路尘负荷</w:t>
            </w:r>
            <w:r>
              <w:rPr>
                <w:rFonts w:hint="eastAsia" w:cs="仿宋_GB2312"/>
                <w:i w:val="0"/>
                <w:iCs w:val="0"/>
                <w:color w:val="auto"/>
                <w:spacing w:val="-4"/>
                <w:sz w:val="28"/>
                <w:szCs w:val="22"/>
                <w:highlight w:val="none"/>
                <w:lang w:val="en-US" w:eastAsia="zh-CN" w:bidi="ar-SA"/>
              </w:rPr>
              <w:t>监测，</w:t>
            </w:r>
            <w:r>
              <w:rPr>
                <w:rFonts w:hint="eastAsia" w:ascii="仿宋_GB2312" w:hAnsi="仿宋_GB2312" w:eastAsia="仿宋_GB2312" w:cs="仿宋_GB2312"/>
                <w:i w:val="0"/>
                <w:iCs w:val="0"/>
                <w:color w:val="auto"/>
                <w:spacing w:val="-4"/>
                <w:sz w:val="28"/>
                <w:szCs w:val="22"/>
                <w:highlight w:val="none"/>
                <w:lang w:val="en-US" w:eastAsia="en-US" w:bidi="ar-SA"/>
              </w:rPr>
              <w:t>对于道路尘负荷较高的道路，</w:t>
            </w:r>
            <w:r>
              <w:rPr>
                <w:rFonts w:hint="eastAsia" w:cs="仿宋_GB2312"/>
                <w:i w:val="0"/>
                <w:iCs w:val="0"/>
                <w:color w:val="auto"/>
                <w:spacing w:val="-4"/>
                <w:sz w:val="28"/>
                <w:szCs w:val="22"/>
                <w:highlight w:val="none"/>
                <w:lang w:val="en-US" w:eastAsia="zh-CN" w:bidi="ar-SA"/>
              </w:rPr>
              <w:t>行业部门、各镇街（地区）、</w:t>
            </w:r>
            <w:r>
              <w:rPr>
                <w:i w:val="0"/>
                <w:iCs w:val="0"/>
                <w:color w:val="auto"/>
                <w:spacing w:val="-3"/>
                <w:sz w:val="28"/>
                <w:highlight w:val="none"/>
              </w:rPr>
              <w:t>中关村密云园</w:t>
            </w:r>
            <w:r>
              <w:rPr>
                <w:rFonts w:hint="eastAsia" w:ascii="仿宋_GB2312" w:hAnsi="仿宋_GB2312" w:eastAsia="仿宋_GB2312" w:cs="仿宋_GB2312"/>
                <w:i w:val="0"/>
                <w:iCs w:val="0"/>
                <w:color w:val="auto"/>
                <w:spacing w:val="-4"/>
                <w:sz w:val="28"/>
                <w:szCs w:val="22"/>
                <w:highlight w:val="none"/>
                <w:lang w:val="en-US" w:eastAsia="en-US" w:bidi="ar-SA"/>
              </w:rPr>
              <w:t>组织</w:t>
            </w:r>
            <w:r>
              <w:rPr>
                <w:rFonts w:hint="eastAsia" w:ascii="仿宋_GB2312" w:hAnsi="仿宋_GB2312" w:eastAsia="仿宋_GB2312" w:cs="仿宋_GB2312"/>
                <w:i w:val="0"/>
                <w:iCs w:val="0"/>
                <w:color w:val="auto"/>
                <w:spacing w:val="-4"/>
                <w:sz w:val="28"/>
                <w:szCs w:val="22"/>
                <w:highlight w:val="none"/>
                <w:lang w:val="en-US" w:eastAsia="zh-CN" w:bidi="ar-SA"/>
              </w:rPr>
              <w:t>及时</w:t>
            </w:r>
            <w:r>
              <w:rPr>
                <w:rFonts w:hint="eastAsia" w:ascii="仿宋_GB2312" w:hAnsi="仿宋_GB2312" w:eastAsia="仿宋_GB2312" w:cs="仿宋_GB2312"/>
                <w:i w:val="0"/>
                <w:iCs w:val="0"/>
                <w:color w:val="auto"/>
                <w:spacing w:val="-4"/>
                <w:sz w:val="28"/>
                <w:szCs w:val="22"/>
                <w:highlight w:val="none"/>
                <w:lang w:val="en-US" w:eastAsia="en-US" w:bidi="ar-SA"/>
              </w:rPr>
              <w:t>整改。</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jc w:val="center"/>
              <w:textAlignment w:val="auto"/>
              <w:outlineLvl w:val="9"/>
              <w:rPr>
                <w:rFonts w:hint="eastAsia" w:ascii="仿宋_GB2312" w:hAnsi="仿宋_GB2312" w:eastAsia="仿宋_GB2312" w:cs="仿宋_GB2312"/>
                <w:i w:val="0"/>
                <w:iCs w:val="0"/>
                <w:color w:val="auto"/>
                <w:spacing w:val="-7"/>
                <w:sz w:val="28"/>
                <w:szCs w:val="22"/>
                <w:highlight w:val="none"/>
                <w:lang w:val="en-US" w:eastAsia="en-US" w:bidi="ar-SA"/>
              </w:rPr>
            </w:pPr>
            <w:r>
              <w:rPr>
                <w:rFonts w:hint="eastAsia" w:ascii="仿宋_GB2312" w:hAnsi="仿宋_GB2312" w:eastAsia="仿宋_GB2312" w:cs="仿宋_GB2312"/>
                <w:i w:val="0"/>
                <w:iCs w:val="0"/>
                <w:color w:val="auto"/>
                <w:spacing w:val="-7"/>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7"/>
                <w:sz w:val="28"/>
                <w:szCs w:val="22"/>
                <w:highlight w:val="none"/>
                <w:lang w:val="en-US" w:eastAsia="en-US" w:bidi="ar-SA"/>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right="0" w:firstLine="0"/>
              <w:jc w:val="center"/>
              <w:textAlignment w:val="auto"/>
              <w:outlineLvl w:val="9"/>
              <w:rPr>
                <w:i w:val="0"/>
                <w:iCs w:val="0"/>
                <w:color w:val="auto"/>
                <w:spacing w:val="-2"/>
                <w:sz w:val="28"/>
                <w:highlight w:val="none"/>
              </w:rPr>
            </w:pPr>
            <w:r>
              <w:rPr>
                <w:i w:val="0"/>
                <w:iCs w:val="0"/>
                <w:color w:val="auto"/>
                <w:spacing w:val="-2"/>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pacing w:val="-12"/>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2"/>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i w:val="0"/>
                <w:iCs w:val="0"/>
                <w:color w:val="auto"/>
                <w:sz w:val="28"/>
                <w:highlight w:val="none"/>
              </w:rPr>
              <w:t>强化裸地扬尘管控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持续推进“基本无裸露区”建设。</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实现全区裸露区域面积控制在1平方公里以内，未完成创建的镇街裸露区域面积控制在辖区总面积的万分之五以内。已完成创建的镇街、施工工地、建筑垃圾消纳场所巩固创建成果。</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3"/>
                <w:sz w:val="28"/>
                <w:highlight w:val="none"/>
                <w:lang w:val="en-US" w:eastAsia="zh-CN"/>
              </w:rPr>
            </w:pPr>
            <w:r>
              <w:rPr>
                <w:rFonts w:hint="eastAsia"/>
                <w:i w:val="0"/>
                <w:iCs w:val="0"/>
                <w:color w:val="auto"/>
                <w:spacing w:val="-3"/>
                <w:sz w:val="28"/>
                <w:highlight w:val="none"/>
                <w:lang w:val="en-US" w:eastAsia="zh-CN"/>
              </w:rPr>
              <w:t>区生态环境局加大督查检查力度，对不符合创建要求的，及时通报，并要求整改，必要时取消授予的称号。</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6"/>
                <w:sz w:val="28"/>
                <w:highlight w:val="none"/>
              </w:rPr>
            </w:pPr>
            <w:r>
              <w:rPr>
                <w:i w:val="0"/>
                <w:iCs w:val="0"/>
                <w:color w:val="auto"/>
                <w:spacing w:val="-6"/>
                <w:sz w:val="28"/>
                <w:highlight w:val="none"/>
              </w:rPr>
              <w:t>区住建委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6"/>
                <w:sz w:val="28"/>
                <w:highlight w:val="none"/>
              </w:rPr>
            </w:pPr>
            <w:r>
              <w:rPr>
                <w:i w:val="0"/>
                <w:iCs w:val="0"/>
                <w:color w:val="auto"/>
                <w:spacing w:val="-6"/>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6"/>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区水务局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区农业服务中心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4"/>
                <w:sz w:val="28"/>
                <w:highlight w:val="none"/>
              </w:rPr>
              <w:t>强化绿化过程技术指导，开展裸地生态治理和林下植被种植。对短期无建设或利用计划的裸地通过硬化、绿化等方式减少扬尘。</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区园林绿化局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区园林绿化局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区园林绿化中心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区发改委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641"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18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i w:val="0"/>
                <w:iCs w:val="0"/>
                <w:color w:val="auto"/>
                <w:sz w:val="28"/>
                <w:highlight w:val="none"/>
              </w:rPr>
              <w:t>强化裸地扬尘管控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4"/>
                <w:sz w:val="28"/>
                <w:highlight w:val="none"/>
              </w:rPr>
              <w:t>强化农作物耕收技术指导，完善农作物秸秆资源台账并开展综合利用，结合实际种植越冬作物，避免耕地长期裸露。</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区农业农村局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3"/>
                <w:sz w:val="28"/>
                <w:highlight w:val="none"/>
              </w:rPr>
            </w:pPr>
            <w:r>
              <w:rPr>
                <w:i w:val="0"/>
                <w:iCs w:val="0"/>
                <w:color w:val="auto"/>
                <w:spacing w:val="-3"/>
                <w:sz w:val="28"/>
                <w:highlight w:val="none"/>
              </w:rPr>
              <w:t>区农业农村局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4"/>
                <w:sz w:val="28"/>
                <w:highlight w:val="none"/>
              </w:rPr>
            </w:pPr>
            <w:r>
              <w:rPr>
                <w:i w:val="0"/>
                <w:iCs w:val="0"/>
                <w:color w:val="auto"/>
                <w:spacing w:val="-24"/>
                <w:sz w:val="28"/>
                <w:highlight w:val="none"/>
              </w:rPr>
              <w:t>区农业服务中心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w:t>
            </w:r>
          </w:p>
        </w:tc>
        <w:tc>
          <w:tcPr>
            <w:tcW w:w="2332"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5"/>
                <w:sz w:val="28"/>
                <w:highlight w:val="none"/>
              </w:rPr>
              <w:t>区园林绿化局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11"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10"/>
                <w:sz w:val="28"/>
                <w:highlight w:val="none"/>
              </w:rPr>
              <w:t>开展农作物秸秆综合利用，建立健全农作物秸</w:t>
            </w:r>
            <w:r>
              <w:rPr>
                <w:i w:val="0"/>
                <w:iCs w:val="0"/>
                <w:color w:val="auto"/>
                <w:spacing w:val="-4"/>
                <w:sz w:val="28"/>
                <w:highlight w:val="none"/>
              </w:rPr>
              <w:t>秆资源台账。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22"/>
                <w:sz w:val="28"/>
                <w:highlight w:val="none"/>
              </w:rPr>
              <w:t>区农业服务中心</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4"/>
                <w:sz w:val="28"/>
                <w:highlight w:val="none"/>
              </w:rPr>
            </w:pPr>
            <w:r>
              <w:rPr>
                <w:i w:val="0"/>
                <w:iCs w:val="0"/>
                <w:color w:val="auto"/>
                <w:spacing w:val="-24"/>
                <w:sz w:val="28"/>
                <w:highlight w:val="none"/>
              </w:rPr>
              <w:t>区农业服务中心</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w:t>
            </w:r>
          </w:p>
        </w:tc>
        <w:tc>
          <w:tcPr>
            <w:tcW w:w="2332"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both"/>
              <w:textAlignment w:val="auto"/>
              <w:outlineLvl w:val="9"/>
              <w:rPr>
                <w:i w:val="0"/>
                <w:iCs w:val="0"/>
                <w:color w:val="auto"/>
                <w:sz w:val="28"/>
                <w:highlight w:val="none"/>
              </w:rPr>
            </w:pPr>
            <w:r>
              <w:rPr>
                <w:i w:val="0"/>
                <w:iCs w:val="0"/>
                <w:color w:val="auto"/>
                <w:sz w:val="28"/>
                <w:highlight w:val="none"/>
              </w:rPr>
              <w:t>各镇街（地区）定期更新台账，包括裸地、</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“小微工程”、拆迁拆违、架空线入地工程等，做好扬尘精细化管理。</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 xml:space="preserve">各镇街（地区）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区住建委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5"/>
                <w:sz w:val="28"/>
                <w:highlight w:val="none"/>
              </w:rPr>
              <w:t>区规自分局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9"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8"/>
                <w:highlight w:val="none"/>
                <w:lang w:val="en-US" w:eastAsia="zh-CN"/>
              </w:rPr>
              <w:t>19</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9" w:line="400" w:lineRule="exact"/>
              <w:ind w:left="119" w:leftChars="0" w:right="0" w:rightChars="0"/>
              <w:jc w:val="left"/>
              <w:textAlignment w:val="auto"/>
              <w:outlineLvl w:val="9"/>
              <w:rPr>
                <w:i w:val="0"/>
                <w:iCs w:val="0"/>
                <w:color w:val="auto"/>
                <w:sz w:val="28"/>
                <w:highlight w:val="none"/>
              </w:rPr>
            </w:pPr>
            <w:r>
              <w:rPr>
                <w:rFonts w:hint="eastAsia"/>
                <w:i w:val="0"/>
                <w:iCs w:val="0"/>
                <w:color w:val="auto"/>
                <w:sz w:val="28"/>
                <w:highlight w:val="none"/>
              </w:rPr>
              <w:t>加强餐饮油烟源头管控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依据北京市新增产业的禁止和限制目录（2022年版）中关于餐饮业生态环境保护管理措施的有关要求，市场监管部门与生态环境部门依托大数据平台加强餐饮项目办理营业执照、食品经营许可证等信息的推送共享。生态环境部门加强研判，结合实际情况开展事前帮扶指导，并做好事中事后监管。</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right="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78"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20</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19" w:right="107"/>
              <w:jc w:val="left"/>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加强氨排放</w:t>
            </w:r>
            <w:r>
              <w:rPr>
                <w:rFonts w:hint="eastAsia" w:cs="仿宋_GB2312"/>
                <w:i w:val="0"/>
                <w:iCs w:val="0"/>
                <w:color w:val="auto"/>
                <w:sz w:val="28"/>
                <w:szCs w:val="22"/>
                <w:highlight w:val="none"/>
                <w:lang w:val="en-US" w:eastAsia="zh-CN" w:bidi="ar-SA"/>
              </w:rPr>
              <w:t>、恶</w:t>
            </w:r>
            <w:r>
              <w:rPr>
                <w:rFonts w:hint="eastAsia" w:ascii="仿宋_GB2312" w:hAnsi="仿宋_GB2312" w:eastAsia="仿宋_GB2312" w:cs="仿宋_GB2312"/>
                <w:i w:val="0"/>
                <w:iCs w:val="0"/>
                <w:color w:val="auto"/>
                <w:sz w:val="28"/>
                <w:szCs w:val="22"/>
                <w:highlight w:val="none"/>
                <w:lang w:val="en-US" w:eastAsia="en-US" w:bidi="ar-SA"/>
              </w:rPr>
              <w:t>臭</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119" w:right="107"/>
              <w:jc w:val="left"/>
              <w:textAlignment w:val="auto"/>
              <w:outlineLvl w:val="9"/>
              <w:rPr>
                <w:i w:val="0"/>
                <w:iCs w:val="0"/>
                <w:color w:val="auto"/>
                <w:sz w:val="28"/>
                <w:highlight w:val="none"/>
              </w:rPr>
            </w:pPr>
            <w:r>
              <w:rPr>
                <w:rFonts w:hint="eastAsia" w:cs="仿宋_GB2312"/>
                <w:i w:val="0"/>
                <w:iCs w:val="0"/>
                <w:color w:val="auto"/>
                <w:sz w:val="28"/>
                <w:szCs w:val="22"/>
                <w:highlight w:val="none"/>
                <w:lang w:val="en-US" w:eastAsia="zh-CN" w:bidi="ar-SA"/>
              </w:rPr>
              <w:t>、</w:t>
            </w:r>
            <w:r>
              <w:rPr>
                <w:rFonts w:hint="eastAsia" w:ascii="仿宋_GB2312" w:hAnsi="仿宋_GB2312" w:eastAsia="仿宋_GB2312" w:cs="仿宋_GB2312"/>
                <w:i w:val="0"/>
                <w:iCs w:val="0"/>
                <w:color w:val="auto"/>
                <w:sz w:val="28"/>
                <w:szCs w:val="22"/>
                <w:highlight w:val="none"/>
                <w:lang w:val="en-US" w:eastAsia="en-US" w:bidi="ar-SA"/>
              </w:rPr>
              <w:t>烟花爆竹等管控</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jc w:val="both"/>
              <w:textAlignment w:val="auto"/>
              <w:outlineLvl w:val="9"/>
              <w:rPr>
                <w:i w:val="0"/>
                <w:iCs w:val="0"/>
                <w:color w:val="auto"/>
                <w:sz w:val="28"/>
                <w:highlight w:val="none"/>
              </w:rPr>
            </w:pPr>
            <w:r>
              <w:rPr>
                <w:rFonts w:hint="eastAsia" w:ascii="仿宋_GB2312" w:eastAsia="仿宋_GB2312"/>
                <w:color w:val="auto"/>
                <w:sz w:val="28"/>
                <w:szCs w:val="28"/>
                <w:highlight w:val="none"/>
              </w:rPr>
              <w:t>持续做好本市消耗臭氧层物质企业备案管理，加强</w:t>
            </w:r>
            <w:r>
              <w:rPr>
                <w:rFonts w:hint="eastAsia" w:ascii="仿宋_GB2312" w:eastAsia="仿宋_GB2312"/>
                <w:color w:val="auto"/>
                <w:spacing w:val="-11"/>
                <w:sz w:val="28"/>
                <w:szCs w:val="28"/>
                <w:highlight w:val="none"/>
              </w:rPr>
              <w:t>对使用未备案及淘汰物质违法行为的执法检查。</w:t>
            </w:r>
          </w:p>
        </w:tc>
        <w:tc>
          <w:tcPr>
            <w:tcW w:w="1229" w:type="dxa"/>
            <w:vAlign w:val="center"/>
          </w:tcPr>
          <w:p>
            <w:pPr>
              <w:keepNext w:val="0"/>
              <w:keepLines w:val="0"/>
              <w:pageBreakBefore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长期</w:t>
            </w:r>
          </w:p>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实施</w:t>
            </w:r>
          </w:p>
        </w:tc>
        <w:tc>
          <w:tcPr>
            <w:tcW w:w="2043" w:type="dxa"/>
            <w:gridSpan w:val="3"/>
            <w:vAlign w:val="center"/>
          </w:tcPr>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szCs w:val="28"/>
                <w:highlight w:val="none"/>
                <w:lang w:val="en-US" w:eastAsia="zh-CN"/>
              </w:rPr>
              <w:t>区生态环境局</w:t>
            </w:r>
          </w:p>
        </w:tc>
        <w:tc>
          <w:tcPr>
            <w:tcW w:w="2293" w:type="dxa"/>
            <w:gridSpan w:val="3"/>
            <w:vAlign w:val="center"/>
          </w:tcPr>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区经信局</w:t>
            </w:r>
          </w:p>
        </w:tc>
        <w:tc>
          <w:tcPr>
            <w:tcW w:w="2332"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1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rPr>
              <w:t>引导采用绿色生态化养殖工艺，推进粪污氨排放源头削减。</w:t>
            </w:r>
          </w:p>
        </w:tc>
        <w:tc>
          <w:tcPr>
            <w:tcW w:w="1229"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年底前</w:t>
            </w:r>
          </w:p>
        </w:tc>
        <w:tc>
          <w:tcPr>
            <w:tcW w:w="4336" w:type="dxa"/>
            <w:gridSpan w:val="6"/>
            <w:vAlign w:val="center"/>
          </w:tcPr>
          <w:p>
            <w:pPr>
              <w:keepNext w:val="0"/>
              <w:keepLines w:val="0"/>
              <w:pageBreakBefore w:val="0"/>
              <w:widowControl/>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农业农村局</w:t>
            </w:r>
          </w:p>
          <w:p>
            <w:pPr>
              <w:keepNext w:val="0"/>
              <w:keepLines w:val="0"/>
              <w:pageBreakBefore w:val="0"/>
              <w:widowControl/>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生态环境局</w:t>
            </w:r>
          </w:p>
        </w:tc>
        <w:tc>
          <w:tcPr>
            <w:tcW w:w="2332"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3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108" w:leftChars="0" w:right="0" w:rightChars="0"/>
              <w:jc w:val="both"/>
              <w:textAlignment w:val="auto"/>
              <w:outlineLvl w:val="9"/>
              <w:rPr>
                <w:i w:val="0"/>
                <w:iCs w:val="0"/>
                <w:color w:val="auto"/>
                <w:sz w:val="28"/>
                <w:highlight w:val="none"/>
              </w:rPr>
            </w:pPr>
            <w:r>
              <w:rPr>
                <w:rFonts w:hint="eastAsia" w:ascii="仿宋_GB2312" w:eastAsia="仿宋_GB2312"/>
                <w:color w:val="auto"/>
                <w:sz w:val="28"/>
                <w:szCs w:val="28"/>
                <w:highlight w:val="none"/>
              </w:rPr>
              <w:t>落实《城镇污水处理厂大气污染物排放标准》（DB11/ 2007—2022），以处理规模在</w:t>
            </w:r>
            <w:r>
              <w:rPr>
                <w:rFonts w:hint="eastAsia"/>
                <w:color w:val="auto"/>
                <w:sz w:val="28"/>
                <w:szCs w:val="28"/>
                <w:highlight w:val="none"/>
                <w:lang w:val="en-US" w:eastAsia="zh-CN"/>
              </w:rPr>
              <w:t>5</w:t>
            </w:r>
            <w:r>
              <w:rPr>
                <w:rFonts w:hint="eastAsia" w:ascii="仿宋_GB2312" w:eastAsia="仿宋_GB2312"/>
                <w:color w:val="auto"/>
                <w:sz w:val="28"/>
                <w:szCs w:val="28"/>
                <w:highlight w:val="none"/>
              </w:rPr>
              <w:t>万吨/日以上的城镇污水处理厂为对象，开展大气污染物排放联合专项执法。</w:t>
            </w:r>
          </w:p>
        </w:tc>
        <w:tc>
          <w:tcPr>
            <w:tcW w:w="1229"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年底前</w:t>
            </w:r>
          </w:p>
        </w:tc>
        <w:tc>
          <w:tcPr>
            <w:tcW w:w="2043" w:type="dxa"/>
            <w:gridSpan w:val="3"/>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szCs w:val="28"/>
                <w:highlight w:val="none"/>
                <w:lang w:val="en-US" w:eastAsia="zh-CN"/>
              </w:rPr>
              <w:t>区生态环境局</w:t>
            </w:r>
          </w:p>
        </w:tc>
        <w:tc>
          <w:tcPr>
            <w:tcW w:w="2293" w:type="dxa"/>
            <w:gridSpan w:val="3"/>
            <w:vAlign w:val="center"/>
          </w:tcPr>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i w:val="0"/>
                <w:iCs w:val="0"/>
                <w:color w:val="auto"/>
                <w:sz w:val="28"/>
                <w:szCs w:val="28"/>
                <w:highlight w:val="none"/>
                <w:lang w:val="en-US" w:eastAsia="zh-CN"/>
              </w:rPr>
            </w:pPr>
            <w:r>
              <w:rPr>
                <w:rFonts w:hint="eastAsia"/>
                <w:i w:val="0"/>
                <w:iCs w:val="0"/>
                <w:color w:val="auto"/>
                <w:sz w:val="28"/>
                <w:szCs w:val="28"/>
                <w:highlight w:val="none"/>
                <w:lang w:val="en-US" w:eastAsia="zh-CN"/>
              </w:rPr>
              <w:t>区生态环境局</w:t>
            </w:r>
          </w:p>
          <w:p>
            <w:pPr>
              <w:keepNext w:val="0"/>
              <w:keepLines w:val="0"/>
              <w:pageBreakBefore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szCs w:val="28"/>
                <w:highlight w:val="none"/>
                <w:lang w:val="en-US" w:eastAsia="zh-CN"/>
              </w:rPr>
              <w:t>区水务局</w:t>
            </w:r>
          </w:p>
        </w:tc>
        <w:tc>
          <w:tcPr>
            <w:tcW w:w="2332" w:type="dxa"/>
            <w:vAlign w:val="center"/>
          </w:tcPr>
          <w:p>
            <w:pPr>
              <w:keepNext w:val="0"/>
              <w:keepLines w:val="0"/>
              <w:pageBreakBefore w:val="0"/>
              <w:kinsoku/>
              <w:wordWrap/>
              <w:overflowPunct/>
              <w:topLinePunct w:val="0"/>
              <w:autoSpaceDE w:val="0"/>
              <w:autoSpaceDN w:val="0"/>
              <w:bidi w:val="0"/>
              <w:adjustRightInd/>
              <w:snapToGrid w:val="0"/>
              <w:spacing w:line="400" w:lineRule="exact"/>
              <w:ind w:left="-110" w:leftChars="-50" w:right="-110" w:rightChars="-50"/>
              <w:jc w:val="center"/>
              <w:textAlignment w:val="auto"/>
              <w:outlineLvl w:val="9"/>
              <w:rPr>
                <w:i w:val="0"/>
                <w:iCs w:val="0"/>
                <w:color w:val="auto"/>
                <w:sz w:val="28"/>
                <w:highlight w:val="none"/>
              </w:rPr>
            </w:pPr>
            <w:r>
              <w:rPr>
                <w:i w:val="0"/>
                <w:iCs w:val="0"/>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18"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i w:val="0"/>
                <w:iCs w:val="0"/>
                <w:color w:val="auto"/>
                <w:spacing w:val="-11"/>
                <w:sz w:val="28"/>
                <w:highlight w:val="none"/>
              </w:rPr>
              <w:t>根据《北京市密云区人民政府关于行政区域内禁止燃放烟花爆竹的通告》（密政发〔2021〕18 号）规定，密云区全部行政区域内全年禁止燃放、销售烟花爆竹。</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区公安分局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区公安分局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区应急局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i w:val="0"/>
                <w:iCs w:val="0"/>
                <w:color w:val="auto"/>
                <w:sz w:val="28"/>
                <w:highlight w:val="none"/>
              </w:rPr>
              <w:t>引导市民遵守文明行为规范，倡导文明、低碳、绿色祭祀。</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2"/>
                <w:sz w:val="28"/>
                <w:highlight w:val="none"/>
              </w:rPr>
              <w:t>区民政局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区民政局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5"/>
                <w:sz w:val="28"/>
                <w:highlight w:val="none"/>
              </w:rPr>
            </w:pPr>
            <w:r>
              <w:rPr>
                <w:i w:val="0"/>
                <w:iCs w:val="0"/>
                <w:color w:val="auto"/>
                <w:spacing w:val="-5"/>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区文明办</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pacing w:val="-13"/>
                <w:sz w:val="28"/>
                <w:highlight w:val="none"/>
              </w:rPr>
            </w:pPr>
            <w:r>
              <w:rPr>
                <w:i w:val="0"/>
                <w:iCs w:val="0"/>
                <w:color w:val="auto"/>
                <w:spacing w:val="-2"/>
                <w:sz w:val="28"/>
                <w:highlight w:val="none"/>
              </w:rPr>
              <w:t>各镇街</w:t>
            </w:r>
            <w:r>
              <w:rPr>
                <w:i w:val="0"/>
                <w:iCs w:val="0"/>
                <w:color w:val="auto"/>
                <w:sz w:val="28"/>
                <w:highlight w:val="none"/>
              </w:rPr>
              <w:t>（</w:t>
            </w:r>
            <w:r>
              <w:rPr>
                <w:i w:val="0"/>
                <w:iCs w:val="0"/>
                <w:color w:val="auto"/>
                <w:spacing w:val="-2"/>
                <w:sz w:val="28"/>
                <w:highlight w:val="none"/>
              </w:rPr>
              <w:t>地区</w:t>
            </w:r>
            <w:r>
              <w:rPr>
                <w:i w:val="0"/>
                <w:iCs w:val="0"/>
                <w:color w:val="auto"/>
                <w:spacing w:val="-13"/>
                <w:sz w:val="28"/>
                <w:highlight w:val="none"/>
              </w:rPr>
              <w:t>）</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pacing w:val="-3"/>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0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21</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rFonts w:hint="eastAsia" w:ascii="仿宋_GB2312" w:eastAsia="仿宋_GB2312"/>
                <w:color w:val="auto"/>
                <w:sz w:val="28"/>
                <w:szCs w:val="28"/>
                <w:highlight w:val="none"/>
              </w:rPr>
              <w:t>加强噪声污染治理</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rPr>
              <w:t>完成声环境功能区划分情况评估工作</w:t>
            </w:r>
            <w:r>
              <w:rPr>
                <w:rFonts w:hint="eastAsia" w:ascii="仿宋_GB2312" w:eastAsia="仿宋_GB2312"/>
                <w:color w:val="auto"/>
                <w:sz w:val="28"/>
                <w:szCs w:val="28"/>
                <w:highlight w:val="none"/>
                <w:lang w:eastAsia="zh-CN"/>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6月底前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color w:val="auto"/>
                <w:sz w:val="28"/>
                <w:szCs w:val="28"/>
                <w:highlight w:val="none"/>
                <w:lang w:val="en-US" w:eastAsia="zh-CN"/>
              </w:rPr>
              <w:t>区生态环境局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2"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rPr>
              <w:t>加大</w:t>
            </w:r>
            <w:r>
              <w:rPr>
                <w:rFonts w:hint="eastAsia" w:ascii="仿宋_GB2312" w:eastAsia="仿宋_GB2312"/>
                <w:color w:val="auto"/>
                <w:sz w:val="28"/>
                <w:szCs w:val="28"/>
                <w:highlight w:val="none"/>
                <w:lang w:val="en-US" w:eastAsia="zh-CN"/>
              </w:rPr>
              <w:t>对</w:t>
            </w:r>
            <w:r>
              <w:rPr>
                <w:rFonts w:hint="eastAsia" w:ascii="仿宋_GB2312" w:eastAsia="仿宋_GB2312"/>
                <w:color w:val="auto"/>
                <w:sz w:val="28"/>
                <w:szCs w:val="28"/>
                <w:highlight w:val="none"/>
              </w:rPr>
              <w:t>夜间施工</w:t>
            </w:r>
            <w:r>
              <w:rPr>
                <w:rFonts w:hint="eastAsia" w:ascii="仿宋_GB2312" w:eastAsia="仿宋_GB2312"/>
                <w:color w:val="auto"/>
                <w:sz w:val="28"/>
                <w:szCs w:val="28"/>
                <w:highlight w:val="none"/>
                <w:lang w:val="en-US" w:eastAsia="zh-CN"/>
              </w:rPr>
              <w:t>噪声扰民的违法行为</w:t>
            </w:r>
            <w:r>
              <w:rPr>
                <w:rFonts w:hint="eastAsia" w:ascii="仿宋_GB2312" w:eastAsia="仿宋_GB2312"/>
                <w:color w:val="auto"/>
                <w:sz w:val="28"/>
                <w:szCs w:val="28"/>
                <w:highlight w:val="none"/>
              </w:rPr>
              <w:t>查处力度。优化夜间施工证明办理条件和程序</w:t>
            </w:r>
            <w:r>
              <w:rPr>
                <w:rFonts w:hint="eastAsia" w:ascii="仿宋_GB2312" w:eastAsia="仿宋_GB2312"/>
                <w:color w:val="auto"/>
                <w:sz w:val="28"/>
                <w:szCs w:val="28"/>
                <w:highlight w:val="none"/>
                <w:lang w:eastAsia="zh-CN"/>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长期</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实施</w:t>
            </w:r>
          </w:p>
        </w:tc>
        <w:tc>
          <w:tcPr>
            <w:tcW w:w="2018"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560" w:firstLineChars="200"/>
              <w:jc w:val="both"/>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区住建委</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firstLine="560" w:firstLineChars="200"/>
              <w:jc w:val="both"/>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区城管委</w:t>
            </w:r>
          </w:p>
        </w:tc>
        <w:tc>
          <w:tcPr>
            <w:tcW w:w="2318" w:type="dxa"/>
            <w:gridSpan w:val="5"/>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各镇街（地区）</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3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rFonts w:hint="eastAsia" w:eastAsia="仿宋_GB2312"/>
                <w:i w:val="0"/>
                <w:iCs w:val="0"/>
                <w:color w:val="auto"/>
                <w:sz w:val="28"/>
                <w:highlight w:val="none"/>
                <w:lang w:eastAsia="zh-CN"/>
              </w:rPr>
            </w:pPr>
            <w:r>
              <w:rPr>
                <w:rFonts w:hint="eastAsia" w:ascii="仿宋_GB2312" w:eastAsia="仿宋_GB2312"/>
                <w:color w:val="auto"/>
                <w:spacing w:val="-11"/>
                <w:sz w:val="28"/>
                <w:szCs w:val="28"/>
                <w:highlight w:val="none"/>
                <w:lang w:val="en-US" w:eastAsia="zh-CN"/>
              </w:rPr>
              <w:t>加大</w:t>
            </w:r>
            <w:r>
              <w:rPr>
                <w:rFonts w:hint="eastAsia" w:ascii="仿宋_GB2312" w:eastAsia="仿宋_GB2312"/>
                <w:color w:val="auto"/>
                <w:spacing w:val="-11"/>
                <w:sz w:val="28"/>
                <w:szCs w:val="28"/>
                <w:highlight w:val="none"/>
              </w:rPr>
              <w:t>对工业噪声固定设备和生产经营活动噪声扰民的</w:t>
            </w:r>
            <w:r>
              <w:rPr>
                <w:rFonts w:hint="eastAsia" w:ascii="仿宋_GB2312" w:eastAsia="仿宋_GB2312"/>
                <w:color w:val="auto"/>
                <w:spacing w:val="-11"/>
                <w:sz w:val="28"/>
                <w:szCs w:val="28"/>
                <w:highlight w:val="none"/>
                <w:lang w:val="en-US" w:eastAsia="zh-CN"/>
              </w:rPr>
              <w:t>违法行为查处力度</w:t>
            </w:r>
            <w:r>
              <w:rPr>
                <w:rFonts w:hint="eastAsia" w:ascii="仿宋_GB2312" w:eastAsia="仿宋_GB2312"/>
                <w:color w:val="auto"/>
                <w:spacing w:val="-11"/>
                <w:sz w:val="28"/>
                <w:szCs w:val="28"/>
                <w:highlight w:val="none"/>
              </w:rPr>
              <w:t>。督促提醒工业企业固定设备运行使用过程中，落实噪声控制措施，减少噪声扰民</w:t>
            </w:r>
            <w:r>
              <w:rPr>
                <w:rFonts w:hint="eastAsia"/>
                <w:color w:val="auto"/>
                <w:spacing w:val="-11"/>
                <w:sz w:val="28"/>
                <w:szCs w:val="28"/>
                <w:highlight w:val="none"/>
                <w:lang w:eastAsia="zh-CN"/>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长期</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实施</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中关村密云园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36"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加大</w:t>
            </w:r>
            <w:r>
              <w:rPr>
                <w:rFonts w:hint="eastAsia" w:ascii="仿宋_GB2312" w:eastAsia="仿宋_GB2312"/>
                <w:color w:val="auto"/>
                <w:sz w:val="28"/>
                <w:szCs w:val="28"/>
                <w:highlight w:val="none"/>
              </w:rPr>
              <w:t>对商业、服务业固定设备和经营活动等噪声扰民的</w:t>
            </w:r>
            <w:r>
              <w:rPr>
                <w:rFonts w:hint="eastAsia" w:ascii="仿宋_GB2312" w:eastAsia="仿宋_GB2312"/>
                <w:color w:val="auto"/>
                <w:sz w:val="28"/>
                <w:szCs w:val="28"/>
                <w:highlight w:val="none"/>
                <w:lang w:val="en-US" w:eastAsia="zh-CN"/>
              </w:rPr>
              <w:t>违法行为查处力度</w:t>
            </w:r>
            <w:r>
              <w:rPr>
                <w:rFonts w:hint="eastAsia" w:ascii="仿宋_GB2312" w:eastAsia="仿宋_GB2312"/>
                <w:color w:val="auto"/>
                <w:sz w:val="28"/>
                <w:szCs w:val="28"/>
                <w:highlight w:val="none"/>
              </w:rPr>
              <w:t>。各镇街（地区）、中关村密云园结合日常巡查检查，督促提醒商业企业在装卸货、固定设备运行、音响器材使用等过程中，落实噪声控制措施，减少噪声扰民。</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长期</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实施</w:t>
            </w:r>
          </w:p>
        </w:tc>
        <w:tc>
          <w:tcPr>
            <w:tcW w:w="2018"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i w:val="0"/>
                <w:iCs w:val="0"/>
                <w:color w:val="auto"/>
                <w:sz w:val="28"/>
                <w:highlight w:val="none"/>
              </w:rPr>
            </w:pPr>
            <w:r>
              <w:rPr>
                <w:rFonts w:hint="eastAsia" w:ascii="仿宋_GB2312" w:hAnsi="仿宋_GB2312" w:eastAsia="仿宋_GB2312" w:cs="仿宋_GB2312"/>
                <w:color w:val="auto"/>
                <w:sz w:val="28"/>
                <w:szCs w:val="28"/>
                <w:highlight w:val="none"/>
                <w:lang w:val="en-US" w:eastAsia="zh-CN" w:bidi="ar-SA"/>
              </w:rPr>
              <w:t>区生态环境局</w:t>
            </w:r>
          </w:p>
        </w:tc>
        <w:tc>
          <w:tcPr>
            <w:tcW w:w="2318" w:type="dxa"/>
            <w:gridSpan w:val="5"/>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rPr>
              <w:t>各镇街（地区）</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中关村密云园</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06"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加大</w:t>
            </w:r>
            <w:r>
              <w:rPr>
                <w:rFonts w:hint="eastAsia" w:ascii="仿宋_GB2312" w:eastAsia="仿宋_GB2312"/>
                <w:color w:val="auto"/>
                <w:sz w:val="28"/>
                <w:szCs w:val="28"/>
                <w:highlight w:val="none"/>
              </w:rPr>
              <w:t>对</w:t>
            </w:r>
            <w:r>
              <w:rPr>
                <w:rFonts w:hint="eastAsia" w:ascii="仿宋_GB2312" w:eastAsia="仿宋_GB2312"/>
                <w:color w:val="auto"/>
                <w:sz w:val="28"/>
                <w:szCs w:val="28"/>
                <w:highlight w:val="none"/>
                <w:lang w:val="en-US" w:eastAsia="zh-CN"/>
              </w:rPr>
              <w:t>街道、公园、广场等公共场所社会</w:t>
            </w:r>
            <w:r>
              <w:rPr>
                <w:rFonts w:hint="eastAsia" w:ascii="仿宋_GB2312" w:eastAsia="仿宋_GB2312"/>
                <w:color w:val="auto"/>
                <w:sz w:val="28"/>
                <w:szCs w:val="28"/>
                <w:highlight w:val="none"/>
              </w:rPr>
              <w:t>噪声扰民的</w:t>
            </w:r>
            <w:r>
              <w:rPr>
                <w:rFonts w:hint="eastAsia" w:ascii="仿宋_GB2312" w:eastAsia="仿宋_GB2312"/>
                <w:color w:val="auto"/>
                <w:sz w:val="28"/>
                <w:szCs w:val="28"/>
                <w:highlight w:val="none"/>
                <w:lang w:val="en-US" w:eastAsia="zh-CN"/>
              </w:rPr>
              <w:t>违法行为查处力度</w:t>
            </w:r>
            <w:r>
              <w:rPr>
                <w:rFonts w:hint="eastAsia" w:ascii="仿宋_GB2312" w:eastAsia="仿宋_GB2312"/>
                <w:color w:val="auto"/>
                <w:sz w:val="28"/>
                <w:szCs w:val="28"/>
                <w:highlight w:val="none"/>
              </w:rPr>
              <w:t>。</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长期</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实施</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区公安分局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32"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21</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rFonts w:hint="eastAsia" w:ascii="仿宋_GB2312" w:eastAsia="仿宋_GB2312"/>
                <w:color w:val="auto"/>
                <w:sz w:val="28"/>
                <w:szCs w:val="28"/>
                <w:highlight w:val="none"/>
              </w:rPr>
              <w:t>加强噪声污染治理</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中、高考期间对考点周边及重点区域的施工、餐饮、健身、娱乐等商业经营场所进行巡查检查。</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长期</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实施</w:t>
            </w:r>
          </w:p>
        </w:tc>
        <w:tc>
          <w:tcPr>
            <w:tcW w:w="204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w:t>
            </w:r>
            <w:r>
              <w:rPr>
                <w:rFonts w:hint="eastAsia"/>
                <w:color w:val="auto"/>
                <w:sz w:val="28"/>
                <w:szCs w:val="28"/>
                <w:highlight w:val="none"/>
                <w:lang w:val="en-US" w:eastAsia="zh-CN"/>
              </w:rPr>
              <w:t>生态环境局</w:t>
            </w:r>
          </w:p>
        </w:tc>
        <w:tc>
          <w:tcPr>
            <w:tcW w:w="229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区教委</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color w:val="auto"/>
                <w:sz w:val="28"/>
                <w:szCs w:val="28"/>
                <w:highlight w:val="none"/>
                <w:lang w:val="en-US" w:eastAsia="zh-CN"/>
              </w:rPr>
            </w:pPr>
            <w:r>
              <w:rPr>
                <w:rFonts w:hint="eastAsia"/>
                <w:color w:val="auto"/>
                <w:sz w:val="28"/>
                <w:szCs w:val="28"/>
                <w:highlight w:val="none"/>
                <w:lang w:val="en-US" w:eastAsia="zh-CN"/>
              </w:rPr>
              <w:t>区住建委</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区公安分局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999"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加强本区交通噪声污染防治，针对交通噪声扰民突出区域制定交通噪声缓解方案。</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年底前</w:t>
            </w:r>
          </w:p>
        </w:tc>
        <w:tc>
          <w:tcPr>
            <w:tcW w:w="204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区交通综合治理专班</w:t>
            </w:r>
          </w:p>
        </w:tc>
        <w:tc>
          <w:tcPr>
            <w:tcW w:w="2293" w:type="dxa"/>
            <w:gridSpan w:val="3"/>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color w:val="auto"/>
                <w:sz w:val="28"/>
                <w:szCs w:val="28"/>
                <w:highlight w:val="none"/>
                <w:lang w:val="en-US" w:eastAsia="zh-CN"/>
              </w:rPr>
              <w:t>区交通局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区城管委</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区公路分局</w:t>
            </w:r>
          </w:p>
        </w:tc>
        <w:tc>
          <w:tcPr>
            <w:tcW w:w="2332"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i w:val="0"/>
                <w:iCs w:val="0"/>
                <w:color w:val="auto"/>
                <w:sz w:val="28"/>
                <w:highlight w:val="none"/>
              </w:rPr>
            </w:pPr>
            <w:r>
              <w:rPr>
                <w:rFonts w:hint="eastAsia" w:ascii="仿宋_GB2312" w:eastAsia="仿宋_GB2312"/>
                <w:color w:val="auto"/>
                <w:sz w:val="28"/>
                <w:szCs w:val="28"/>
                <w:highlight w:val="none"/>
                <w:lang w:val="en-US" w:eastAsia="zh-CN"/>
              </w:rPr>
              <w:t>相关镇街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w w:val="100"/>
                <w:sz w:val="28"/>
                <w:highlight w:val="none"/>
              </w:rPr>
            </w:pPr>
            <w:r>
              <w:rPr>
                <w:rFonts w:hint="eastAsia"/>
                <w:i w:val="0"/>
                <w:iCs w:val="0"/>
                <w:color w:val="auto"/>
                <w:sz w:val="2"/>
                <w:szCs w:val="2"/>
                <w:highlight w:val="none"/>
                <w:lang w:val="en-US" w:eastAsia="zh-CN"/>
              </w:rPr>
              <w:t>191</w:t>
            </w:r>
            <w:r>
              <w:rPr>
                <w:rFonts w:hint="eastAsia" w:cs="仿宋_GB2312"/>
                <w:i w:val="0"/>
                <w:iCs w:val="0"/>
                <w:color w:val="auto"/>
                <w:sz w:val="28"/>
                <w:szCs w:val="22"/>
                <w:highlight w:val="none"/>
                <w:lang w:val="en-US" w:eastAsia="zh-CN" w:bidi="ar-SA"/>
              </w:rPr>
              <w:t>22</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left"/>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提升接诉即办工作成效</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108" w:leftChars="0" w:right="0" w:rightChars="0"/>
              <w:jc w:val="both"/>
              <w:textAlignment w:val="auto"/>
              <w:outlineLvl w:val="9"/>
              <w:rPr>
                <w:i w:val="0"/>
                <w:iCs w:val="0"/>
                <w:color w:val="auto"/>
                <w:sz w:val="28"/>
                <w:highlight w:val="none"/>
              </w:rPr>
            </w:pPr>
            <w:r>
              <w:rPr>
                <w:rFonts w:hint="eastAsia" w:ascii="仿宋_GB2312" w:hAnsi="仿宋_GB2312" w:eastAsia="仿宋_GB2312" w:cs="仿宋_GB2312"/>
                <w:color w:val="auto"/>
                <w:sz w:val="28"/>
                <w:szCs w:val="28"/>
                <w:highlight w:val="none"/>
                <w:lang w:val="en-US" w:eastAsia="zh-CN" w:bidi="ar-SA"/>
              </w:rPr>
              <w:t>加强生态环境类诉求办理工作，全区结合生态环境治理工作，健全生态环境接诉即办“管家”机制，落实属地责任，加强日常巡查检查，重点解决市民反映集中的油烟、噪声等共性问题，进一步提升诉求办理解决率和满意率。</w:t>
            </w:r>
          </w:p>
        </w:tc>
        <w:tc>
          <w:tcPr>
            <w:tcW w:w="1229" w:type="dxa"/>
            <w:vAlign w:val="center"/>
          </w:tcPr>
          <w:p>
            <w:pPr>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rFonts w:hint="eastAsia" w:ascii="仿宋_GB2312" w:hAnsi="仿宋_GB2312" w:eastAsia="仿宋_GB2312" w:cs="仿宋_GB2312"/>
                <w:i w:val="0"/>
                <w:iCs w:val="0"/>
                <w:color w:val="auto"/>
                <w:spacing w:val="-8"/>
                <w:sz w:val="28"/>
                <w:szCs w:val="22"/>
                <w:highlight w:val="none"/>
                <w:lang w:val="en-US" w:eastAsia="en-US" w:bidi="ar-SA"/>
              </w:rPr>
            </w:pPr>
            <w:r>
              <w:rPr>
                <w:rFonts w:hint="eastAsia" w:ascii="仿宋_GB2312" w:hAnsi="仿宋_GB2312" w:eastAsia="仿宋_GB2312" w:cs="仿宋_GB2312"/>
                <w:i w:val="0"/>
                <w:iCs w:val="0"/>
                <w:color w:val="auto"/>
                <w:spacing w:val="-8"/>
                <w:sz w:val="28"/>
                <w:szCs w:val="22"/>
                <w:highlight w:val="none"/>
                <w:lang w:val="en-US" w:eastAsia="en-US" w:bidi="ar-SA"/>
              </w:rPr>
              <w:t>长期</w:t>
            </w:r>
          </w:p>
          <w:p>
            <w:pPr>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pacing w:val="-8"/>
                <w:sz w:val="28"/>
                <w:szCs w:val="22"/>
                <w:highlight w:val="none"/>
                <w:lang w:val="en-US" w:eastAsia="en-US" w:bidi="ar-SA"/>
              </w:rPr>
              <w:t>实施</w:t>
            </w: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生态环境局</w:t>
            </w:r>
          </w:p>
        </w:tc>
        <w:tc>
          <w:tcPr>
            <w:tcW w:w="2306" w:type="dxa"/>
            <w:gridSpan w:val="4"/>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生态环境局</w:t>
            </w:r>
          </w:p>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rFonts w:hint="eastAsia"/>
                <w:color w:val="auto"/>
                <w:sz w:val="28"/>
                <w:szCs w:val="28"/>
                <w:highlight w:val="none"/>
                <w:lang w:val="en-US" w:eastAsia="zh-CN"/>
              </w:rPr>
            </w:pPr>
            <w:r>
              <w:rPr>
                <w:rFonts w:hint="eastAsia" w:ascii="仿宋_GB2312" w:eastAsia="仿宋_GB2312"/>
                <w:color w:val="auto"/>
                <w:sz w:val="28"/>
                <w:szCs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71"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五、“一微克”行动区级示范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01" w:hRule="atLeast"/>
        </w:trPr>
        <w:tc>
          <w:tcPr>
            <w:tcW w:w="554" w:type="dxa"/>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i w:val="0"/>
                <w:iCs w:val="0"/>
                <w:color w:val="auto"/>
                <w:w w:val="100"/>
                <w:sz w:val="28"/>
                <w:highlight w:val="none"/>
              </w:rPr>
            </w:pPr>
            <w:r>
              <w:rPr>
                <w:rFonts w:hint="eastAsia" w:cs="仿宋_GB2312"/>
                <w:i w:val="0"/>
                <w:iCs w:val="0"/>
                <w:color w:val="auto"/>
                <w:sz w:val="28"/>
                <w:szCs w:val="22"/>
                <w:highlight w:val="none"/>
                <w:lang w:val="en-US" w:eastAsia="zh-CN" w:bidi="ar-SA"/>
              </w:rPr>
              <w:t>23</w:t>
            </w:r>
          </w:p>
        </w:tc>
        <w:tc>
          <w:tcPr>
            <w:tcW w:w="855" w:type="dxa"/>
            <w:vAlign w:val="center"/>
          </w:tcPr>
          <w:p>
            <w:pPr>
              <w:keepNext w:val="0"/>
              <w:keepLines w:val="0"/>
              <w:pageBreakBefore w:val="0"/>
              <w:widowControl w:val="0"/>
              <w:kinsoku/>
              <w:wordWrap/>
              <w:overflowPunct/>
              <w:topLinePunct w:val="0"/>
              <w:autoSpaceDE w:val="0"/>
              <w:autoSpaceDN w:val="0"/>
              <w:bidi w:val="0"/>
              <w:adjustRightInd/>
              <w:snapToGrid/>
              <w:spacing w:line="320" w:lineRule="exact"/>
              <w:ind w:left="0" w:leftChars="0" w:right="0" w:rightChars="0"/>
              <w:jc w:val="center"/>
              <w:textAlignment w:val="auto"/>
              <w:outlineLvl w:val="9"/>
              <w:rPr>
                <w:i w:val="0"/>
                <w:iCs w:val="0"/>
                <w:color w:val="auto"/>
                <w:sz w:val="28"/>
                <w:highlight w:val="none"/>
              </w:rPr>
            </w:pPr>
            <w:r>
              <w:rPr>
                <w:rFonts w:hint="eastAsia" w:ascii="仿宋_GB2312" w:hAnsi="仿宋_GB2312" w:eastAsia="仿宋_GB2312" w:cs="仿宋_GB2312"/>
                <w:i w:val="0"/>
                <w:iCs w:val="0"/>
                <w:color w:val="auto"/>
                <w:sz w:val="28"/>
                <w:szCs w:val="22"/>
                <w:highlight w:val="none"/>
                <w:lang w:val="en-US" w:eastAsia="en-US" w:bidi="ar-SA"/>
              </w:rPr>
              <w:t>燃气锅炉深度治理</w:t>
            </w:r>
            <w:r>
              <w:rPr>
                <w:rFonts w:hint="eastAsia" w:cs="仿宋_GB2312"/>
                <w:i w:val="0"/>
                <w:iCs w:val="0"/>
                <w:color w:val="auto"/>
                <w:sz w:val="28"/>
                <w:szCs w:val="22"/>
                <w:highlight w:val="none"/>
                <w:lang w:val="en-US" w:eastAsia="zh-CN" w:bidi="ar-SA"/>
              </w:rPr>
              <w:t>、叉车电动化</w:t>
            </w:r>
            <w:r>
              <w:rPr>
                <w:rFonts w:hint="eastAsia" w:ascii="仿宋_GB2312" w:hAnsi="仿宋_GB2312" w:eastAsia="仿宋_GB2312" w:cs="仿宋_GB2312"/>
                <w:i w:val="0"/>
                <w:iCs w:val="0"/>
                <w:color w:val="auto"/>
                <w:sz w:val="28"/>
                <w:szCs w:val="22"/>
                <w:highlight w:val="none"/>
                <w:lang w:val="en-US" w:eastAsia="en-US" w:bidi="ar-SA"/>
              </w:rPr>
              <w:t>示范项目</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left"/>
              <w:textAlignment w:val="auto"/>
              <w:outlineLvl w:val="9"/>
              <w:rPr>
                <w:i w:val="0"/>
                <w:iCs w:val="0"/>
                <w:color w:val="auto"/>
                <w:sz w:val="28"/>
                <w:highlight w:val="none"/>
              </w:rPr>
            </w:pPr>
            <w:r>
              <w:rPr>
                <w:rFonts w:hint="eastAsia" w:cs="仿宋_GB2312"/>
                <w:color w:val="auto"/>
                <w:sz w:val="28"/>
                <w:szCs w:val="28"/>
                <w:highlight w:val="none"/>
                <w:lang w:val="en-US" w:eastAsia="zh-CN" w:bidi="ar-SA"/>
              </w:rPr>
              <w:t>按照全市统一部署，积极稳妥</w:t>
            </w:r>
            <w:r>
              <w:rPr>
                <w:rFonts w:hint="eastAsia" w:ascii="仿宋_GB2312" w:hAnsi="仿宋_GB2312" w:eastAsia="仿宋_GB2312" w:cs="仿宋_GB2312"/>
                <w:color w:val="auto"/>
                <w:sz w:val="28"/>
                <w:szCs w:val="28"/>
                <w:highlight w:val="none"/>
                <w:lang w:val="en-US" w:eastAsia="en-US" w:bidi="ar-SA"/>
              </w:rPr>
              <w:t>组织</w:t>
            </w:r>
            <w:r>
              <w:rPr>
                <w:rFonts w:hint="eastAsia" w:ascii="仿宋_GB2312" w:hAnsi="仿宋_GB2312" w:eastAsia="仿宋_GB2312" w:cs="仿宋_GB2312"/>
                <w:color w:val="auto"/>
                <w:sz w:val="28"/>
                <w:szCs w:val="28"/>
                <w:highlight w:val="none"/>
                <w:lang w:val="en-US" w:eastAsia="zh-CN" w:bidi="ar-SA"/>
              </w:rPr>
              <w:t>城西北集中供热中心160蒸吨</w:t>
            </w:r>
            <w:r>
              <w:rPr>
                <w:rFonts w:hint="eastAsia" w:ascii="仿宋_GB2312" w:hAnsi="仿宋_GB2312" w:eastAsia="仿宋_GB2312" w:cs="仿宋_GB2312"/>
                <w:color w:val="auto"/>
                <w:sz w:val="28"/>
                <w:szCs w:val="28"/>
                <w:highlight w:val="none"/>
                <w:lang w:val="en-US" w:eastAsia="en-US" w:bidi="ar-SA"/>
              </w:rPr>
              <w:t>燃气锅炉开展深度低氮改造。</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按时间</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eastAsia="zh-CN"/>
              </w:rPr>
            </w:pPr>
            <w:r>
              <w:rPr>
                <w:rFonts w:hint="eastAsia"/>
                <w:i w:val="0"/>
                <w:iCs w:val="0"/>
                <w:color w:val="auto"/>
                <w:sz w:val="28"/>
                <w:highlight w:val="none"/>
                <w:lang w:val="en-US" w:eastAsia="zh-CN"/>
              </w:rPr>
              <w:t>节点</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eastAsia="仿宋_GB2312"/>
                <w:i w:val="0"/>
                <w:iCs w:val="0"/>
                <w:color w:val="auto"/>
                <w:sz w:val="28"/>
                <w:highlight w:val="none"/>
                <w:lang w:val="en-US" w:eastAsia="zh-CN"/>
              </w:rPr>
            </w:pPr>
            <w:r>
              <w:rPr>
                <w:rFonts w:hint="eastAsia"/>
                <w:i w:val="0"/>
                <w:iCs w:val="0"/>
                <w:color w:val="auto"/>
                <w:sz w:val="28"/>
                <w:highlight w:val="none"/>
                <w:lang w:val="en-US" w:eastAsia="zh-CN"/>
              </w:rPr>
              <w:t>区国资委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区财政局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8" w:hRule="atLeast"/>
        </w:trPr>
        <w:tc>
          <w:tcPr>
            <w:tcW w:w="554" w:type="dxa"/>
            <w:vMerge w:val="restart"/>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rFonts w:hint="eastAsia" w:cs="仿宋_GB2312"/>
                <w:i w:val="0"/>
                <w:iCs w:val="0"/>
                <w:color w:val="auto"/>
                <w:sz w:val="28"/>
                <w:szCs w:val="22"/>
                <w:highlight w:val="none"/>
                <w:lang w:val="en-US" w:eastAsia="zh-CN" w:bidi="ar-SA"/>
              </w:rPr>
            </w:pPr>
            <w:r>
              <w:rPr>
                <w:rFonts w:hint="eastAsia" w:cs="仿宋_GB2312"/>
                <w:i w:val="0"/>
                <w:iCs w:val="0"/>
                <w:color w:val="auto"/>
                <w:sz w:val="28"/>
                <w:szCs w:val="22"/>
                <w:highlight w:val="none"/>
                <w:lang w:val="en-US" w:eastAsia="zh-CN" w:bidi="ar-SA"/>
              </w:rPr>
              <w:t>23</w:t>
            </w:r>
          </w:p>
        </w:tc>
        <w:tc>
          <w:tcPr>
            <w:tcW w:w="855" w:type="dxa"/>
            <w:vMerge w:val="restart"/>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r>
              <w:rPr>
                <w:rFonts w:hint="eastAsia" w:ascii="仿宋_GB2312" w:hAnsi="仿宋_GB2312" w:eastAsia="仿宋_GB2312" w:cs="仿宋_GB2312"/>
                <w:i w:val="0"/>
                <w:iCs w:val="0"/>
                <w:color w:val="auto"/>
                <w:sz w:val="28"/>
                <w:szCs w:val="22"/>
                <w:highlight w:val="none"/>
                <w:lang w:val="en-US" w:eastAsia="en-US" w:bidi="ar-SA"/>
              </w:rPr>
              <w:t>燃气锅炉深度治理</w:t>
            </w:r>
            <w:r>
              <w:rPr>
                <w:rFonts w:hint="eastAsia" w:cs="仿宋_GB2312"/>
                <w:i w:val="0"/>
                <w:iCs w:val="0"/>
                <w:color w:val="auto"/>
                <w:sz w:val="28"/>
                <w:szCs w:val="22"/>
                <w:highlight w:val="none"/>
                <w:lang w:val="en-US" w:eastAsia="zh-CN" w:bidi="ar-SA"/>
              </w:rPr>
              <w:t>、叉车电动化</w:t>
            </w:r>
            <w:r>
              <w:rPr>
                <w:rFonts w:hint="eastAsia" w:ascii="仿宋_GB2312" w:hAnsi="仿宋_GB2312" w:eastAsia="仿宋_GB2312" w:cs="仿宋_GB2312"/>
                <w:i w:val="0"/>
                <w:iCs w:val="0"/>
                <w:color w:val="auto"/>
                <w:sz w:val="28"/>
                <w:szCs w:val="22"/>
                <w:highlight w:val="none"/>
                <w:lang w:val="en-US" w:eastAsia="en-US" w:bidi="ar-SA"/>
              </w:rPr>
              <w:t>示范项目</w:t>
            </w: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left"/>
              <w:textAlignment w:val="auto"/>
              <w:outlineLvl w:val="9"/>
              <w:rPr>
                <w:rFonts w:hint="eastAsia" w:ascii="仿宋_GB2312" w:hAnsi="仿宋_GB2312" w:eastAsia="仿宋_GB2312" w:cs="仿宋_GB2312"/>
                <w:i w:val="0"/>
                <w:iCs w:val="0"/>
                <w:color w:val="auto"/>
                <w:spacing w:val="-15"/>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zh-CN" w:bidi="ar-SA"/>
              </w:rPr>
              <w:t>以3吨及以下叉车为重点，积极推动区属国有企业开展叉车电动化工作。</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区国资委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38" w:hRule="atLeast"/>
        </w:trPr>
        <w:tc>
          <w:tcPr>
            <w:tcW w:w="554" w:type="dxa"/>
            <w:vMerge w:val="continue"/>
            <w:vAlign w:val="center"/>
          </w:tcPr>
          <w:p>
            <w:pPr>
              <w:keepNext w:val="0"/>
              <w:keepLines w:val="0"/>
              <w:pageBreakBefore w:val="0"/>
              <w:widowControl w:val="0"/>
              <w:kinsoku/>
              <w:wordWrap/>
              <w:overflowPunct/>
              <w:topLinePunct w:val="0"/>
              <w:autoSpaceDE w:val="0"/>
              <w:autoSpaceDN w:val="0"/>
              <w:bidi w:val="0"/>
              <w:adjustRightInd/>
              <w:snapToGrid w:val="0"/>
              <w:spacing w:line="360" w:lineRule="exact"/>
              <w:ind w:left="0" w:leftChars="0" w:right="0" w:rightChars="0"/>
              <w:jc w:val="center"/>
              <w:textAlignment w:val="auto"/>
              <w:outlineLvl w:val="9"/>
              <w:rPr>
                <w:rFonts w:hint="eastAsia" w:cs="仿宋_GB2312"/>
                <w:i w:val="0"/>
                <w:iCs w:val="0"/>
                <w:color w:val="auto"/>
                <w:sz w:val="28"/>
                <w:szCs w:val="22"/>
                <w:highlight w:val="none"/>
                <w:lang w:val="en-US" w:eastAsia="zh-CN" w:bidi="ar-SA"/>
              </w:rPr>
            </w:pPr>
          </w:p>
        </w:tc>
        <w:tc>
          <w:tcPr>
            <w:tcW w:w="855" w:type="dxa"/>
            <w:vMerge w:val="continue"/>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0" w:leftChars="0" w:right="0" w:rightChars="0"/>
              <w:jc w:val="center"/>
              <w:textAlignment w:val="auto"/>
              <w:outlineLvl w:val="9"/>
              <w:rPr>
                <w:rFonts w:hint="eastAsia" w:ascii="仿宋_GB2312" w:hAnsi="仿宋_GB2312" w:eastAsia="仿宋_GB2312" w:cs="仿宋_GB2312"/>
                <w:i w:val="0"/>
                <w:iCs w:val="0"/>
                <w:color w:val="auto"/>
                <w:sz w:val="28"/>
                <w:szCs w:val="22"/>
                <w:highlight w:val="none"/>
                <w:lang w:val="en-US" w:eastAsia="en-US" w:bidi="ar-SA"/>
              </w:rPr>
            </w:pPr>
          </w:p>
        </w:tc>
        <w:tc>
          <w:tcPr>
            <w:tcW w:w="5884" w:type="dxa"/>
            <w:vAlign w:val="center"/>
          </w:tcPr>
          <w:p>
            <w:pPr>
              <w:keepNext w:val="0"/>
              <w:keepLines w:val="0"/>
              <w:pageBreakBefore w:val="0"/>
              <w:widowControl w:val="0"/>
              <w:kinsoku/>
              <w:wordWrap/>
              <w:overflowPunct/>
              <w:topLinePunct w:val="0"/>
              <w:autoSpaceDE w:val="0"/>
              <w:autoSpaceDN w:val="0"/>
              <w:bidi w:val="0"/>
              <w:adjustRightInd/>
              <w:snapToGrid/>
              <w:spacing w:line="360" w:lineRule="exact"/>
              <w:ind w:left="108" w:leftChars="0" w:right="0" w:rightChars="0"/>
              <w:jc w:val="left"/>
              <w:textAlignment w:val="auto"/>
              <w:outlineLvl w:val="9"/>
              <w:rPr>
                <w:rFonts w:hint="eastAsia" w:ascii="仿宋_GB2312" w:hAnsi="仿宋_GB2312" w:eastAsia="仿宋_GB2312" w:cs="仿宋_GB2312"/>
                <w:i w:val="0"/>
                <w:iCs w:val="0"/>
                <w:color w:val="auto"/>
                <w:spacing w:val="-15"/>
                <w:sz w:val="28"/>
                <w:szCs w:val="22"/>
                <w:highlight w:val="none"/>
                <w:lang w:val="en-US" w:eastAsia="zh-CN" w:bidi="ar-SA"/>
              </w:rPr>
            </w:pPr>
            <w:r>
              <w:rPr>
                <w:rFonts w:hint="eastAsia" w:ascii="仿宋_GB2312" w:hAnsi="仿宋_GB2312" w:eastAsia="仿宋_GB2312" w:cs="仿宋_GB2312"/>
                <w:i w:val="0"/>
                <w:iCs w:val="0"/>
                <w:color w:val="auto"/>
                <w:sz w:val="28"/>
                <w:szCs w:val="22"/>
                <w:highlight w:val="none"/>
                <w:lang w:val="en-US" w:eastAsia="en-US" w:bidi="ar-SA"/>
              </w:rPr>
              <w:t>以工业园区、物流基地等场所内3吨及以下叉车为重点，加快推动叉车电动化</w:t>
            </w:r>
            <w:r>
              <w:rPr>
                <w:rFonts w:hint="eastAsia" w:ascii="仿宋_GB2312" w:hAnsi="仿宋_GB2312" w:eastAsia="仿宋_GB2312" w:cs="仿宋_GB2312"/>
                <w:i w:val="0"/>
                <w:iCs w:val="0"/>
                <w:color w:val="auto"/>
                <w:sz w:val="28"/>
                <w:szCs w:val="22"/>
                <w:highlight w:val="none"/>
                <w:lang w:val="en-US" w:eastAsia="zh-CN" w:bidi="ar-SA"/>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年底前</w:t>
            </w:r>
          </w:p>
        </w:tc>
        <w:tc>
          <w:tcPr>
            <w:tcW w:w="2168" w:type="dxa"/>
            <w:gridSpan w:val="5"/>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i w:val="0"/>
                <w:iCs w:val="0"/>
                <w:color w:val="auto"/>
                <w:sz w:val="28"/>
                <w:highlight w:val="none"/>
                <w:lang w:val="en-US" w:eastAsia="zh-CN"/>
              </w:rPr>
              <w:t>区生态环境局</w:t>
            </w:r>
          </w:p>
        </w:tc>
        <w:tc>
          <w:tcPr>
            <w:tcW w:w="2168"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jc w:val="center"/>
              <w:textAlignment w:val="auto"/>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i w:val="0"/>
                <w:iCs w:val="0"/>
                <w:color w:val="auto"/>
                <w:sz w:val="28"/>
                <w:highlight w:val="none"/>
                <w:lang w:val="en-US" w:eastAsia="zh-CN"/>
              </w:rPr>
            </w:pPr>
            <w:r>
              <w:rPr>
                <w:rFonts w:hint="eastAsia" w:ascii="仿宋_GB2312" w:eastAsia="仿宋_GB2312"/>
                <w:color w:val="auto"/>
                <w:sz w:val="28"/>
                <w:szCs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31" w:hRule="atLeast"/>
        </w:trPr>
        <w:tc>
          <w:tcPr>
            <w:tcW w:w="15190" w:type="dxa"/>
            <w:gridSpan w:val="11"/>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rFonts w:hint="eastAsia" w:ascii="黑体" w:hAnsi="黑体" w:eastAsia="黑体"/>
                <w:color w:val="auto"/>
                <w:sz w:val="28"/>
                <w:szCs w:val="28"/>
                <w:highlight w:val="none"/>
              </w:rPr>
              <w:t>六、加强大气环境治理能力建设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24</w:t>
            </w:r>
          </w:p>
        </w:tc>
        <w:tc>
          <w:tcPr>
            <w:tcW w:w="855" w:type="dxa"/>
            <w:vMerge w:val="restart"/>
            <w:vAlign w:val="center"/>
          </w:tcPr>
          <w:p>
            <w:pPr>
              <w:pStyle w:val="16"/>
              <w:spacing w:before="1" w:line="339" w:lineRule="exact"/>
              <w:ind w:left="101" w:right="90"/>
              <w:jc w:val="both"/>
              <w:rPr>
                <w:i w:val="0"/>
                <w:iCs w:val="0"/>
                <w:color w:val="auto"/>
                <w:sz w:val="28"/>
                <w:highlight w:val="none"/>
              </w:rPr>
            </w:pPr>
            <w:r>
              <w:rPr>
                <w:i w:val="0"/>
                <w:iCs w:val="0"/>
                <w:color w:val="auto"/>
                <w:sz w:val="28"/>
                <w:highlight w:val="none"/>
              </w:rPr>
              <w:t>加强</w:t>
            </w:r>
          </w:p>
          <w:p>
            <w:pPr>
              <w:pStyle w:val="16"/>
              <w:spacing w:before="1"/>
              <w:ind w:left="120"/>
              <w:jc w:val="both"/>
              <w:rPr>
                <w:i w:val="0"/>
                <w:iCs w:val="0"/>
                <w:color w:val="auto"/>
                <w:sz w:val="28"/>
                <w:highlight w:val="none"/>
              </w:rPr>
            </w:pPr>
            <w:r>
              <w:rPr>
                <w:i w:val="0"/>
                <w:iCs w:val="0"/>
                <w:color w:val="auto"/>
                <w:spacing w:val="-1"/>
                <w:sz w:val="28"/>
                <w:highlight w:val="none"/>
              </w:rPr>
              <w:t>区域</w:t>
            </w:r>
          </w:p>
          <w:p>
            <w:pPr>
              <w:pStyle w:val="16"/>
              <w:spacing w:before="1" w:line="339" w:lineRule="exact"/>
              <w:ind w:left="120"/>
              <w:jc w:val="both"/>
              <w:rPr>
                <w:i w:val="0"/>
                <w:iCs w:val="0"/>
                <w:color w:val="auto"/>
                <w:sz w:val="28"/>
                <w:highlight w:val="none"/>
              </w:rPr>
            </w:pPr>
            <w:r>
              <w:rPr>
                <w:i w:val="0"/>
                <w:iCs w:val="0"/>
                <w:color w:val="auto"/>
                <w:spacing w:val="-1"/>
                <w:sz w:val="28"/>
                <w:highlight w:val="none"/>
              </w:rPr>
              <w:t>联防</w:t>
            </w:r>
          </w:p>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r>
              <w:rPr>
                <w:i w:val="0"/>
                <w:iCs w:val="0"/>
                <w:color w:val="auto"/>
                <w:sz w:val="28"/>
                <w:highlight w:val="none"/>
              </w:rPr>
              <w:t>联控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落实京津冀生态环境执法联动工作机制，以空气重污染、秸秆焚烧等时段为重点，对涉气固定源和重型柴油车、重型燃气车等与交界市（区、县）开展联动执法，共同排查、打击交界处大气违法行为。</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pacing w:val="-1"/>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pacing w:val="-1"/>
                <w:sz w:val="28"/>
                <w:highlight w:val="none"/>
              </w:rPr>
              <w:t>实施</w:t>
            </w: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306" w:type="dxa"/>
            <w:gridSpan w:val="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区交通局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firstLine="0" w:firstLineChars="0"/>
              <w:jc w:val="center"/>
              <w:textAlignment w:val="auto"/>
              <w:outlineLvl w:val="9"/>
              <w:rPr>
                <w:rFonts w:hint="eastAsia" w:ascii="仿宋_GB2312" w:hAnsi="仿宋_GB2312" w:eastAsia="仿宋_GB2312" w:cs="仿宋_GB2312"/>
                <w:i w:val="0"/>
                <w:iCs w:val="0"/>
                <w:color w:val="auto"/>
                <w:spacing w:val="-20"/>
                <w:w w:val="95"/>
                <w:sz w:val="28"/>
                <w:szCs w:val="22"/>
                <w:highlight w:val="none"/>
                <w:lang w:val="en-US" w:eastAsia="zh-CN" w:bidi="ar-SA"/>
              </w:rPr>
            </w:pPr>
            <w:r>
              <w:rPr>
                <w:rFonts w:hint="eastAsia" w:ascii="仿宋_GB2312" w:hAnsi="仿宋_GB2312" w:eastAsia="仿宋_GB2312" w:cs="仿宋_GB2312"/>
                <w:i w:val="0"/>
                <w:iCs w:val="0"/>
                <w:color w:val="auto"/>
                <w:spacing w:val="-20"/>
                <w:w w:val="95"/>
                <w:sz w:val="28"/>
                <w:szCs w:val="22"/>
                <w:highlight w:val="none"/>
                <w:lang w:val="en-US" w:eastAsia="zh-CN" w:bidi="ar-SA"/>
              </w:rPr>
              <w:t>区公安分局交通支队</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right="0"/>
              <w:jc w:val="center"/>
              <w:textAlignment w:val="auto"/>
              <w:outlineLvl w:val="9"/>
              <w:rPr>
                <w:i w:val="0"/>
                <w:iCs w:val="0"/>
                <w:color w:val="auto"/>
                <w:sz w:val="28"/>
                <w:highlight w:val="none"/>
              </w:rPr>
            </w:pPr>
            <w:r>
              <w:rPr>
                <w:i w:val="0"/>
                <w:iCs w:val="0"/>
                <w:color w:val="auto"/>
                <w:sz w:val="28"/>
                <w:highlight w:val="none"/>
              </w:rPr>
              <w:t>区市场监管局</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区烟花办</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jc w:val="both"/>
              <w:textAlignment w:val="auto"/>
              <w:outlineLvl w:val="9"/>
              <w:rPr>
                <w:rFonts w:hint="eastAsia"/>
                <w:i w:val="0"/>
                <w:iCs w:val="0"/>
                <w:color w:val="auto"/>
                <w:sz w:val="28"/>
                <w:highlight w:val="none"/>
              </w:rPr>
            </w:pPr>
            <w:r>
              <w:rPr>
                <w:rFonts w:hint="eastAsia"/>
                <w:i w:val="0"/>
                <w:iCs w:val="0"/>
                <w:color w:val="auto"/>
                <w:sz w:val="28"/>
                <w:highlight w:val="none"/>
              </w:rPr>
              <w:t>强化区域重污染应对；完善空气重污染绩效分级管理，推动企业绩效评级提升，更新应急减排清单。</w:t>
            </w:r>
          </w:p>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依法依规启动重污染天气预警，</w:t>
            </w:r>
            <w:r>
              <w:rPr>
                <w:rFonts w:hint="eastAsia"/>
                <w:i w:val="0"/>
                <w:iCs w:val="0"/>
                <w:color w:val="auto"/>
                <w:sz w:val="28"/>
                <w:highlight w:val="none"/>
                <w:lang w:val="en-US" w:eastAsia="zh-CN"/>
              </w:rPr>
              <w:t>在</w:t>
            </w:r>
            <w:r>
              <w:rPr>
                <w:rFonts w:hint="eastAsia"/>
                <w:i w:val="0"/>
                <w:iCs w:val="0"/>
                <w:color w:val="auto"/>
                <w:sz w:val="28"/>
                <w:highlight w:val="none"/>
              </w:rPr>
              <w:t>生态环境部</w:t>
            </w:r>
            <w:r>
              <w:rPr>
                <w:rFonts w:hint="eastAsia"/>
                <w:i w:val="0"/>
                <w:iCs w:val="0"/>
                <w:color w:val="auto"/>
                <w:sz w:val="28"/>
                <w:highlight w:val="none"/>
                <w:lang w:val="en-US" w:eastAsia="zh-CN"/>
              </w:rPr>
              <w:t>和北京市</w:t>
            </w:r>
            <w:r>
              <w:rPr>
                <w:rFonts w:hint="eastAsia"/>
                <w:i w:val="0"/>
                <w:iCs w:val="0"/>
                <w:color w:val="auto"/>
                <w:sz w:val="28"/>
                <w:highlight w:val="none"/>
              </w:rPr>
              <w:t>统筹下，开展区域联防联控。空气重污染期间，各成员单位组织落实各项减排措施，并加强督查检查执法。</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年底前</w:t>
            </w:r>
          </w:p>
        </w:tc>
        <w:tc>
          <w:tcPr>
            <w:tcW w:w="2030" w:type="dxa"/>
            <w:gridSpan w:val="2"/>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06" w:type="dxa"/>
            <w:gridSpan w:val="4"/>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空气重污染应急指挥部成员单位</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360" w:lineRule="exact"/>
              <w:ind w:left="108"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区应急局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25</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rFonts w:hint="eastAsia"/>
                <w:i w:val="0"/>
                <w:iCs w:val="0"/>
                <w:color w:val="auto"/>
                <w:sz w:val="28"/>
                <w:highlight w:val="none"/>
              </w:rPr>
              <w:t>强化督导、执法和信息公开</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全面落实环境保护“党政同责、一岗双责</w:t>
            </w:r>
            <w:r>
              <w:rPr>
                <w:rFonts w:hint="eastAsia"/>
                <w:i w:val="0"/>
                <w:iCs w:val="0"/>
                <w:color w:val="auto"/>
                <w:spacing w:val="-3"/>
                <w:sz w:val="28"/>
                <w:highlight w:val="none"/>
                <w:lang w:eastAsia="zh-CN"/>
              </w:rPr>
              <w:t>”</w:t>
            </w:r>
            <w:r>
              <w:rPr>
                <w:i w:val="0"/>
                <w:iCs w:val="0"/>
                <w:color w:val="auto"/>
                <w:sz w:val="28"/>
                <w:highlight w:val="none"/>
              </w:rPr>
              <w:t>要求，每月对各镇街（地区）PM</w:t>
            </w:r>
            <w:r>
              <w:rPr>
                <w:i w:val="0"/>
                <w:iCs w:val="0"/>
                <w:color w:val="auto"/>
                <w:position w:val="-3"/>
                <w:sz w:val="14"/>
                <w:highlight w:val="none"/>
              </w:rPr>
              <w:t xml:space="preserve">2.5 </w:t>
            </w:r>
            <w:r>
              <w:rPr>
                <w:i w:val="0"/>
                <w:iCs w:val="0"/>
                <w:color w:val="auto"/>
                <w:sz w:val="28"/>
                <w:highlight w:val="none"/>
              </w:rPr>
              <w:t>浓度、粗</w:t>
            </w:r>
            <w:r>
              <w:rPr>
                <w:i w:val="0"/>
                <w:iCs w:val="0"/>
                <w:color w:val="auto"/>
                <w:spacing w:val="-4"/>
                <w:sz w:val="28"/>
                <w:highlight w:val="none"/>
              </w:rPr>
              <w:t>颗粒物浓度、涉气类环境执法情况等进行排</w:t>
            </w:r>
            <w:r>
              <w:rPr>
                <w:i w:val="0"/>
                <w:iCs w:val="0"/>
                <w:color w:val="auto"/>
                <w:spacing w:val="-3"/>
                <w:sz w:val="28"/>
                <w:highlight w:val="none"/>
              </w:rPr>
              <w:t>名，定期在政府常务会上进行通报。</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4"/>
                <w:sz w:val="28"/>
                <w:highlight w:val="none"/>
              </w:rPr>
            </w:pPr>
            <w:r>
              <w:rPr>
                <w:rFonts w:hint="eastAsia"/>
                <w:i w:val="0"/>
                <w:iCs w:val="0"/>
                <w:color w:val="auto"/>
                <w:spacing w:val="-4"/>
                <w:sz w:val="28"/>
                <w:highlight w:val="none"/>
              </w:rPr>
              <w:t>生态环境、公安、城管执法、市场监管等部门依据职责，组织开展贯穿全年的环境问题专项执法检查，重点加强对餐饮、汽修、VOCs和NOx排放重点企业、施工工地等单位的执法检查。强化排污许可证后监管执法，严格查处无证和不按证排污行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i w:val="0"/>
                <w:iCs w:val="0"/>
                <w:color w:val="auto"/>
                <w:spacing w:val="-4"/>
                <w:sz w:val="28"/>
                <w:highlight w:val="none"/>
              </w:rPr>
            </w:pPr>
            <w:r>
              <w:rPr>
                <w:rFonts w:hint="eastAsia"/>
                <w:i w:val="0"/>
                <w:iCs w:val="0"/>
                <w:color w:val="auto"/>
                <w:spacing w:val="-4"/>
                <w:sz w:val="28"/>
                <w:highlight w:val="none"/>
              </w:rPr>
              <w:t>整治建筑垃圾违法违规行为，</w:t>
            </w:r>
            <w:r>
              <w:rPr>
                <w:rFonts w:hint="eastAsia"/>
                <w:i w:val="0"/>
                <w:iCs w:val="0"/>
                <w:color w:val="auto"/>
                <w:spacing w:val="-4"/>
                <w:sz w:val="28"/>
                <w:highlight w:val="none"/>
                <w:lang w:val="en-US" w:eastAsia="zh-CN"/>
              </w:rPr>
              <w:t>区城管委牵头，</w:t>
            </w:r>
            <w:r>
              <w:rPr>
                <w:rFonts w:hint="eastAsia"/>
                <w:i w:val="0"/>
                <w:iCs w:val="0"/>
                <w:color w:val="auto"/>
                <w:spacing w:val="-4"/>
                <w:sz w:val="28"/>
                <w:highlight w:val="none"/>
              </w:rPr>
              <w:t>加大对道路遗撒、扬尘、冒黑烟等问题的查处力度，对违法行为依法处理处置，对典型案例加强宣传曝光，形成震慑。</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4"/>
                <w:sz w:val="28"/>
                <w:highlight w:val="none"/>
              </w:rPr>
              <w:t>落实环境信息依法披露改革要求，督促重点排污单位、实施强制性清洁生产审核企业等依法披露年度报告等环境信息。</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区城管委</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5"/>
                <w:sz w:val="28"/>
                <w:highlight w:val="none"/>
              </w:rPr>
            </w:pPr>
            <w:r>
              <w:rPr>
                <w:i w:val="0"/>
                <w:iCs w:val="0"/>
                <w:color w:val="auto"/>
                <w:spacing w:val="-5"/>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rFonts w:hint="eastAsia" w:eastAsia="仿宋_GB2312"/>
                <w:i w:val="0"/>
                <w:iCs w:val="0"/>
                <w:color w:val="auto"/>
                <w:spacing w:val="-5"/>
                <w:sz w:val="28"/>
                <w:highlight w:val="none"/>
                <w:lang w:val="en-US" w:eastAsia="zh-CN"/>
              </w:rPr>
            </w:pPr>
            <w:r>
              <w:rPr>
                <w:rFonts w:hint="eastAsia"/>
                <w:i w:val="0"/>
                <w:iCs w:val="0"/>
                <w:color w:val="auto"/>
                <w:spacing w:val="-5"/>
                <w:sz w:val="28"/>
                <w:highlight w:val="none"/>
                <w:lang w:val="en-US" w:eastAsia="zh-CN"/>
              </w:rPr>
              <w:t>区城管委</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2"/>
                <w:sz w:val="28"/>
                <w:highlight w:val="none"/>
              </w:rPr>
            </w:pPr>
            <w:r>
              <w:rPr>
                <w:i w:val="0"/>
                <w:iCs w:val="0"/>
                <w:color w:val="auto"/>
                <w:spacing w:val="-2"/>
                <w:sz w:val="28"/>
                <w:highlight w:val="none"/>
              </w:rPr>
              <w:t xml:space="preserve">区公安分局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pacing w:val="-5"/>
                <w:sz w:val="28"/>
                <w:highlight w:val="none"/>
              </w:rPr>
            </w:pPr>
            <w:r>
              <w:rPr>
                <w:i w:val="0"/>
                <w:iCs w:val="0"/>
                <w:color w:val="auto"/>
                <w:spacing w:val="-5"/>
                <w:sz w:val="28"/>
                <w:highlight w:val="none"/>
              </w:rPr>
              <w:t>区城管执法局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pacing w:val="-5"/>
                <w:sz w:val="28"/>
                <w:highlight w:val="none"/>
              </w:rPr>
              <w:t>区市场监管局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139" w:firstLineChars="0"/>
              <w:jc w:val="center"/>
              <w:textAlignment w:val="auto"/>
              <w:outlineLvl w:val="9"/>
              <w:rPr>
                <w:i w:val="0"/>
                <w:iCs w:val="0"/>
                <w:color w:val="auto"/>
                <w:sz w:val="28"/>
                <w:highlight w:val="none"/>
              </w:rPr>
            </w:pPr>
            <w:r>
              <w:rPr>
                <w:i w:val="0"/>
                <w:iCs w:val="0"/>
                <w:color w:val="auto"/>
                <w:sz w:val="28"/>
                <w:highlight w:val="none"/>
              </w:rPr>
              <w:t>区委宣传部</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139" w:firstLineChars="0"/>
              <w:jc w:val="center"/>
              <w:textAlignment w:val="auto"/>
              <w:outlineLvl w:val="9"/>
              <w:rPr>
                <w:i w:val="0"/>
                <w:iCs w:val="0"/>
                <w:color w:val="auto"/>
                <w:sz w:val="28"/>
                <w:highlight w:val="none"/>
              </w:rPr>
            </w:pPr>
            <w:r>
              <w:rPr>
                <w:i w:val="0"/>
                <w:iCs w:val="0"/>
                <w:color w:val="auto"/>
                <w:sz w:val="28"/>
                <w:highlight w:val="none"/>
              </w:rPr>
              <w:t>区融媒体中心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26</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340" w:lineRule="exact"/>
              <w:ind w:left="119"/>
              <w:jc w:val="left"/>
              <w:textAlignment w:val="auto"/>
              <w:outlineLvl w:val="9"/>
              <w:rPr>
                <w:i w:val="0"/>
                <w:iCs w:val="0"/>
                <w:color w:val="auto"/>
                <w:sz w:val="28"/>
                <w:highlight w:val="none"/>
              </w:rPr>
            </w:pPr>
            <w:r>
              <w:rPr>
                <w:rFonts w:hint="eastAsia"/>
                <w:i w:val="0"/>
                <w:iCs w:val="0"/>
                <w:color w:val="auto"/>
                <w:sz w:val="28"/>
                <w:highlight w:val="none"/>
              </w:rPr>
              <w:t>发挥生态环境经济激励引导作用</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形成绿色引领企业名录或清单，通过绿色金融政</w:t>
            </w:r>
            <w:r>
              <w:rPr>
                <w:rFonts w:hint="eastAsia"/>
                <w:i w:val="0"/>
                <w:iCs w:val="0"/>
                <w:color w:val="auto"/>
                <w:spacing w:val="-11"/>
                <w:sz w:val="28"/>
                <w:highlight w:val="none"/>
              </w:rPr>
              <w:t>策鼓励引领企业绿色发展，发挥财政激励引导作用。</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rFonts w:hint="eastAsia"/>
                <w:i w:val="0"/>
                <w:iCs w:val="0"/>
                <w:color w:val="auto"/>
                <w:sz w:val="28"/>
                <w:highlight w:val="none"/>
              </w:rPr>
            </w:pPr>
            <w:r>
              <w:rPr>
                <w:rFonts w:hint="eastAsia"/>
                <w:i w:val="0"/>
                <w:iCs w:val="0"/>
                <w:color w:val="auto"/>
                <w:sz w:val="28"/>
                <w:highlight w:val="none"/>
                <w:lang w:val="en-US" w:eastAsia="zh-CN"/>
              </w:rPr>
              <w:t>区</w:t>
            </w:r>
            <w:r>
              <w:rPr>
                <w:rFonts w:hint="eastAsia"/>
                <w:i w:val="0"/>
                <w:iCs w:val="0"/>
                <w:color w:val="auto"/>
                <w:sz w:val="28"/>
                <w:highlight w:val="none"/>
              </w:rPr>
              <w:t>经信局</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91"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ascii="仿宋_GB2312" w:eastAsia="仿宋_GB2312"/>
                <w:color w:val="auto"/>
                <w:sz w:val="28"/>
                <w:szCs w:val="28"/>
                <w:highlight w:val="none"/>
              </w:rPr>
              <w:t>强</w:t>
            </w:r>
            <w:r>
              <w:rPr>
                <w:rFonts w:hint="eastAsia"/>
                <w:color w:val="auto"/>
                <w:sz w:val="28"/>
                <w:szCs w:val="28"/>
                <w:highlight w:val="none"/>
                <w:lang w:val="en-US" w:eastAsia="zh-CN"/>
              </w:rPr>
              <w:t>化</w:t>
            </w:r>
            <w:r>
              <w:rPr>
                <w:rFonts w:hint="eastAsia" w:ascii="仿宋_GB2312" w:eastAsia="仿宋_GB2312"/>
                <w:color w:val="auto"/>
                <w:sz w:val="28"/>
                <w:szCs w:val="28"/>
                <w:highlight w:val="none"/>
              </w:rPr>
              <w:t>项目储备与资金使用管理，并结合辖区实际，相应加大财政投入力度。</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pacing w:val="-15"/>
                <w:sz w:val="28"/>
                <w:highlight w:val="none"/>
              </w:rPr>
              <w:t>年底前</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区财政局</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rFonts w:hint="eastAsia"/>
                <w:i w:val="0"/>
                <w:iCs w:val="0"/>
                <w:color w:val="auto"/>
                <w:sz w:val="28"/>
                <w:highlight w:val="none"/>
                <w:lang w:val="en-US" w:eastAsia="zh-CN"/>
              </w:rPr>
              <w:t>区生态环境局</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14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i w:val="0"/>
                <w:iCs w:val="0"/>
                <w:color w:val="auto"/>
                <w:w w:val="100"/>
                <w:sz w:val="28"/>
                <w:highlight w:val="none"/>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tabs>
                <w:tab w:val="left" w:pos="4256"/>
              </w:tabs>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z w:val="28"/>
                <w:highlight w:val="none"/>
              </w:rPr>
              <w:t>充分发挥施工扬尘环保税调控作用，</w:t>
            </w:r>
            <w:r>
              <w:rPr>
                <w:rFonts w:hint="eastAsia"/>
                <w:i w:val="0"/>
                <w:iCs w:val="0"/>
                <w:color w:val="auto"/>
                <w:sz w:val="28"/>
                <w:highlight w:val="none"/>
                <w:lang w:val="en-US" w:eastAsia="zh-CN"/>
              </w:rPr>
              <w:t>落实</w:t>
            </w:r>
            <w:r>
              <w:rPr>
                <w:rFonts w:hint="eastAsia"/>
                <w:i w:val="0"/>
                <w:iCs w:val="0"/>
                <w:color w:val="auto"/>
                <w:sz w:val="28"/>
                <w:highlight w:val="none"/>
              </w:rPr>
              <w:t>完善“绿牌”工地表彰和施工扬尘处罚等信息共享机制，实现纳税主体和施工主体信息畅通，确保依法足额征收施工扬尘环保税。</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pacing w:val="-15"/>
                <w:sz w:val="28"/>
                <w:highlight w:val="none"/>
              </w:rPr>
              <w:t>年底前</w:t>
            </w:r>
          </w:p>
        </w:tc>
        <w:tc>
          <w:tcPr>
            <w:tcW w:w="4336" w:type="dxa"/>
            <w:gridSpan w:val="6"/>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ascii="仿宋_GB2312" w:eastAsia="仿宋_GB2312"/>
                <w:color w:val="auto"/>
                <w:sz w:val="28"/>
                <w:szCs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税务局</w:t>
            </w:r>
          </w:p>
          <w:p>
            <w:pPr>
              <w:keepNext w:val="0"/>
              <w:keepLines w:val="0"/>
              <w:pageBreakBefore w:val="0"/>
              <w:widowControl w:val="0"/>
              <w:kinsoku/>
              <w:wordWrap/>
              <w:overflowPunct/>
              <w:topLinePunct w:val="0"/>
              <w:autoSpaceDE w:val="0"/>
              <w:autoSpaceDN w:val="0"/>
              <w:bidi w:val="0"/>
              <w:adjustRightInd/>
              <w:snapToGrid w:val="0"/>
              <w:spacing w:line="400" w:lineRule="exact"/>
              <w:ind w:left="0" w:leftChars="0" w:right="0" w:rightChars="0"/>
              <w:jc w:val="center"/>
              <w:textAlignment w:val="auto"/>
              <w:outlineLvl w:val="9"/>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区住建委</w:t>
            </w:r>
          </w:p>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rFonts w:hint="eastAsia"/>
                <w:color w:val="auto"/>
                <w:sz w:val="28"/>
                <w:szCs w:val="28"/>
                <w:highlight w:val="none"/>
                <w:lang w:val="en-US" w:eastAsia="zh-CN"/>
              </w:rPr>
              <w:t>区</w:t>
            </w:r>
            <w:r>
              <w:rPr>
                <w:rFonts w:hint="eastAsia" w:ascii="仿宋_GB2312" w:eastAsia="仿宋_GB2312"/>
                <w:color w:val="auto"/>
                <w:sz w:val="28"/>
                <w:szCs w:val="28"/>
                <w:highlight w:val="none"/>
              </w:rPr>
              <w:t>城管委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758"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99" w:leftChars="0" w:right="91" w:rightChars="0"/>
              <w:jc w:val="center"/>
              <w:textAlignment w:val="auto"/>
              <w:outlineLvl w:val="9"/>
              <w:rPr>
                <w:rFonts w:hint="eastAsia" w:eastAsia="仿宋_GB2312"/>
                <w:i w:val="0"/>
                <w:iCs w:val="0"/>
                <w:color w:val="auto"/>
                <w:w w:val="100"/>
                <w:sz w:val="28"/>
                <w:highlight w:val="none"/>
                <w:lang w:val="en-US" w:eastAsia="zh-CN"/>
              </w:rPr>
            </w:pPr>
            <w:r>
              <w:rPr>
                <w:i w:val="0"/>
                <w:iCs w:val="0"/>
                <w:color w:val="auto"/>
                <w:sz w:val="28"/>
                <w:highlight w:val="none"/>
              </w:rPr>
              <w:t>2</w:t>
            </w:r>
            <w:r>
              <w:rPr>
                <w:rFonts w:hint="eastAsia"/>
                <w:i w:val="0"/>
                <w:iCs w:val="0"/>
                <w:color w:val="auto"/>
                <w:sz w:val="28"/>
                <w:highlight w:val="none"/>
                <w:lang w:val="en-US" w:eastAsia="zh-CN"/>
              </w:rPr>
              <w:t>7</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76" w:line="400" w:lineRule="exact"/>
              <w:ind w:left="120" w:leftChars="0" w:right="107" w:rightChars="0"/>
              <w:jc w:val="both"/>
              <w:textAlignment w:val="auto"/>
              <w:outlineLvl w:val="9"/>
              <w:rPr>
                <w:i w:val="0"/>
                <w:iCs w:val="0"/>
                <w:color w:val="auto"/>
                <w:sz w:val="28"/>
                <w:highlight w:val="none"/>
              </w:rPr>
            </w:pPr>
            <w:r>
              <w:rPr>
                <w:i w:val="0"/>
                <w:iCs w:val="0"/>
                <w:color w:val="auto"/>
                <w:sz w:val="28"/>
                <w:highlight w:val="none"/>
              </w:rPr>
              <w:t>提升监管能力</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完善</w:t>
            </w:r>
            <w:r>
              <w:rPr>
                <w:rFonts w:hint="eastAsia"/>
                <w:i w:val="0"/>
                <w:iCs w:val="0"/>
                <w:color w:val="auto"/>
                <w:spacing w:val="-3"/>
                <w:sz w:val="28"/>
                <w:highlight w:val="none"/>
                <w:lang w:eastAsia="zh-CN"/>
              </w:rPr>
              <w:t>“</w:t>
            </w:r>
            <w:r>
              <w:rPr>
                <w:i w:val="0"/>
                <w:iCs w:val="0"/>
                <w:color w:val="auto"/>
                <w:spacing w:val="-3"/>
                <w:sz w:val="28"/>
                <w:highlight w:val="none"/>
              </w:rPr>
              <w:t>监测-通报-溯源-整改提升</w:t>
            </w:r>
            <w:r>
              <w:rPr>
                <w:rFonts w:hint="eastAsia"/>
                <w:i w:val="0"/>
                <w:iCs w:val="0"/>
                <w:color w:val="auto"/>
                <w:spacing w:val="-3"/>
                <w:sz w:val="28"/>
                <w:highlight w:val="none"/>
                <w:lang w:eastAsia="zh-CN"/>
              </w:rPr>
              <w:t>”</w:t>
            </w:r>
            <w:r>
              <w:rPr>
                <w:i w:val="0"/>
                <w:iCs w:val="0"/>
                <w:color w:val="auto"/>
                <w:spacing w:val="7"/>
                <w:sz w:val="28"/>
                <w:highlight w:val="none"/>
              </w:rPr>
              <w:t>监管模式，实现</w:t>
            </w:r>
            <w:r>
              <w:rPr>
                <w:i w:val="0"/>
                <w:iCs w:val="0"/>
                <w:color w:val="auto"/>
                <w:sz w:val="28"/>
                <w:highlight w:val="none"/>
              </w:rPr>
              <w:t>VOCs</w:t>
            </w:r>
            <w:r>
              <w:rPr>
                <w:i w:val="0"/>
                <w:iCs w:val="0"/>
                <w:color w:val="auto"/>
                <w:spacing w:val="-2"/>
                <w:sz w:val="28"/>
                <w:highlight w:val="none"/>
              </w:rPr>
              <w:t>精准治理</w:t>
            </w:r>
            <w:r>
              <w:rPr>
                <w:rFonts w:hint="eastAsia"/>
                <w:i w:val="0"/>
                <w:iCs w:val="0"/>
                <w:color w:val="auto"/>
                <w:spacing w:val="-2"/>
                <w:sz w:val="28"/>
                <w:highlight w:val="none"/>
                <w:lang w:eastAsia="zh-CN"/>
              </w:rPr>
              <w:t>。</w:t>
            </w:r>
            <w:r>
              <w:rPr>
                <w:i w:val="0"/>
                <w:iCs w:val="0"/>
                <w:color w:val="auto"/>
                <w:spacing w:val="-3"/>
                <w:w w:val="105"/>
                <w:sz w:val="28"/>
                <w:highlight w:val="none"/>
              </w:rPr>
              <w:t>充分应用“一微克</w:t>
            </w:r>
            <w:r>
              <w:rPr>
                <w:i w:val="0"/>
                <w:iCs w:val="0"/>
                <w:color w:val="auto"/>
                <w:spacing w:val="-3"/>
                <w:w w:val="115"/>
                <w:sz w:val="28"/>
                <w:highlight w:val="none"/>
              </w:rPr>
              <w:t>”</w:t>
            </w:r>
            <w:r>
              <w:rPr>
                <w:i w:val="0"/>
                <w:iCs w:val="0"/>
                <w:color w:val="auto"/>
                <w:spacing w:val="-3"/>
                <w:w w:val="105"/>
                <w:sz w:val="28"/>
                <w:highlight w:val="none"/>
              </w:rPr>
              <w:t>精细化管理平台，</w:t>
            </w:r>
            <w:r>
              <w:rPr>
                <w:rFonts w:hint="eastAsia"/>
                <w:i w:val="0"/>
                <w:iCs w:val="0"/>
                <w:color w:val="auto"/>
                <w:spacing w:val="-3"/>
                <w:w w:val="105"/>
                <w:sz w:val="28"/>
                <w:highlight w:val="none"/>
                <w:lang w:val="en-US" w:eastAsia="zh-CN"/>
              </w:rPr>
              <w:t>形成问题快速发现、快速处置、快速督办、快速解决的工作闭环</w:t>
            </w:r>
            <w:r>
              <w:rPr>
                <w:i w:val="0"/>
                <w:iCs w:val="0"/>
                <w:color w:val="auto"/>
                <w:sz w:val="28"/>
                <w:highlight w:val="none"/>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区生态环境</w:t>
            </w:r>
            <w:r>
              <w:rPr>
                <w:rFonts w:hint="eastAsia"/>
                <w:i w:val="0"/>
                <w:iCs w:val="0"/>
                <w:color w:val="auto"/>
                <w:sz w:val="28"/>
                <w:highlight w:val="none"/>
                <w:lang w:val="en-US" w:eastAsia="zh-CN"/>
              </w:rPr>
              <w:t>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i w:val="0"/>
                <w:iCs w:val="0"/>
                <w:color w:val="auto"/>
                <w:sz w:val="28"/>
                <w:highlight w:val="none"/>
              </w:rPr>
              <w:t>区经信局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28</w:t>
            </w:r>
          </w:p>
        </w:tc>
        <w:tc>
          <w:tcPr>
            <w:tcW w:w="855" w:type="dxa"/>
            <w:vMerge w:val="restart"/>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i w:val="0"/>
                <w:iCs w:val="0"/>
                <w:color w:val="auto"/>
                <w:sz w:val="28"/>
                <w:highlight w:val="none"/>
              </w:rPr>
              <w:t>加强精细化管控</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i w:val="0"/>
                <w:iCs w:val="0"/>
                <w:color w:val="auto"/>
                <w:spacing w:val="-3"/>
                <w:sz w:val="28"/>
                <w:highlight w:val="none"/>
              </w:rPr>
              <w:t>各镇街（地区）、中关村密云园加强精细化管理工作，推进新技术应用，定期开展巡查检查，完善更新污染源台账，充分发挥环保网格化管理及“街乡吹哨、部门</w:t>
            </w:r>
            <w:r>
              <w:rPr>
                <w:rFonts w:hint="eastAsia"/>
                <w:i w:val="0"/>
                <w:iCs w:val="0"/>
                <w:color w:val="auto"/>
                <w:spacing w:val="-3"/>
                <w:sz w:val="28"/>
                <w:highlight w:val="none"/>
                <w:lang w:val="en-US" w:eastAsia="zh-CN"/>
              </w:rPr>
              <w:t>报到”机制</w:t>
            </w:r>
            <w:r>
              <w:rPr>
                <w:i w:val="0"/>
                <w:iCs w:val="0"/>
                <w:color w:val="auto"/>
                <w:spacing w:val="-3"/>
                <w:sz w:val="28"/>
                <w:highlight w:val="none"/>
              </w:rPr>
              <w:t>作用，对突出环境问题及时发现、快速解决</w:t>
            </w:r>
            <w:r>
              <w:rPr>
                <w:rFonts w:hint="eastAsia"/>
                <w:i w:val="0"/>
                <w:iCs w:val="0"/>
                <w:color w:val="auto"/>
                <w:spacing w:val="-3"/>
                <w:sz w:val="28"/>
                <w:highlight w:val="none"/>
                <w:lang w:eastAsia="zh-CN"/>
              </w:rPr>
              <w:t>。</w:t>
            </w:r>
            <w:r>
              <w:rPr>
                <w:i w:val="0"/>
                <w:iCs w:val="0"/>
                <w:color w:val="auto"/>
                <w:spacing w:val="-3"/>
                <w:sz w:val="28"/>
                <w:highlight w:val="none"/>
              </w:rPr>
              <w:t>定期更新网格化环境监管人员基本信息，推进镇街综合执法力量进网格。</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长期</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实施</w:t>
            </w:r>
          </w:p>
        </w:tc>
        <w:tc>
          <w:tcPr>
            <w:tcW w:w="4336" w:type="dxa"/>
            <w:gridSpan w:val="6"/>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jc w:val="center"/>
              <w:textAlignment w:val="auto"/>
              <w:outlineLvl w:val="9"/>
              <w:rPr>
                <w:i w:val="0"/>
                <w:iCs w:val="0"/>
                <w:color w:val="auto"/>
                <w:sz w:val="28"/>
                <w:highlight w:val="none"/>
              </w:rPr>
            </w:pPr>
            <w:r>
              <w:rPr>
                <w:rFonts w:hint="eastAsia"/>
                <w:i w:val="0"/>
                <w:iCs w:val="0"/>
                <w:color w:val="auto"/>
                <w:sz w:val="28"/>
                <w:highlight w:val="none"/>
                <w:lang w:val="en-US" w:eastAsia="zh-CN"/>
              </w:rPr>
              <w:t xml:space="preserve">  </w:t>
            </w: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line="400" w:lineRule="exact"/>
              <w:ind w:left="0" w:leftChars="0" w:right="0" w:rightChars="0"/>
              <w:jc w:val="center"/>
              <w:textAlignment w:val="auto"/>
              <w:outlineLvl w:val="9"/>
              <w:rPr>
                <w:i w:val="0"/>
                <w:iCs w:val="0"/>
                <w:color w:val="auto"/>
                <w:sz w:val="28"/>
                <w:highlight w:val="none"/>
              </w:rPr>
            </w:pPr>
            <w:r>
              <w:rPr>
                <w:i w:val="0"/>
                <w:iCs w:val="0"/>
                <w:color w:val="auto"/>
                <w:sz w:val="28"/>
                <w:highlight w:val="none"/>
              </w:rPr>
              <w:t>相关区直部门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p>
        </w:tc>
        <w:tc>
          <w:tcPr>
            <w:tcW w:w="855" w:type="dxa"/>
            <w:vMerge w:val="continue"/>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both"/>
              <w:textAlignment w:val="auto"/>
              <w:outlineLvl w:val="9"/>
              <w:rPr>
                <w:i w:val="0"/>
                <w:iCs w:val="0"/>
                <w:color w:val="auto"/>
                <w:sz w:val="28"/>
                <w:highlight w:val="none"/>
              </w:rPr>
            </w:pP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rFonts w:hint="eastAsia" w:eastAsia="仿宋_GB2312"/>
                <w:i w:val="0"/>
                <w:iCs w:val="0"/>
                <w:color w:val="auto"/>
                <w:sz w:val="28"/>
                <w:highlight w:val="none"/>
                <w:lang w:eastAsia="zh-CN"/>
              </w:rPr>
            </w:pPr>
            <w:r>
              <w:rPr>
                <w:i w:val="0"/>
                <w:iCs w:val="0"/>
                <w:color w:val="auto"/>
                <w:sz w:val="28"/>
                <w:highlight w:val="none"/>
              </w:rPr>
              <w:t>组织开展道路积尘负荷监测、涉气类环境问题暗查暗访、裸地图斑遥感监测、空气质量数据服务等项目，各镇街（地区）、中关村密云园根据项目结果，开展排查，对排查出的突出问题，拿出专项工作方案，责任到人，进一步压实属地责任</w:t>
            </w:r>
            <w:r>
              <w:rPr>
                <w:rFonts w:hint="eastAsia"/>
                <w:i w:val="0"/>
                <w:iCs w:val="0"/>
                <w:color w:val="auto"/>
                <w:sz w:val="28"/>
                <w:highlight w:val="none"/>
                <w:lang w:eastAsia="zh-CN"/>
              </w:rPr>
              <w:t>。</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pacing w:val="-2"/>
                <w:sz w:val="28"/>
                <w:highlight w:val="none"/>
              </w:rPr>
            </w:pPr>
            <w:r>
              <w:rPr>
                <w:i w:val="0"/>
                <w:iCs w:val="0"/>
                <w:color w:val="auto"/>
                <w:spacing w:val="-2"/>
                <w:sz w:val="28"/>
                <w:highlight w:val="none"/>
              </w:rPr>
              <w:t xml:space="preserve">区城管委 </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pacing w:val="-5"/>
                <w:sz w:val="28"/>
                <w:highlight w:val="none"/>
              </w:rPr>
              <w:t>区公路分局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各镇街（地区）</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中关村密云园</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2115" w:hRule="atLeast"/>
        </w:trPr>
        <w:tc>
          <w:tcPr>
            <w:tcW w:w="55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81" w:line="400" w:lineRule="exact"/>
              <w:ind w:left="11"/>
              <w:jc w:val="center"/>
              <w:textAlignment w:val="auto"/>
              <w:outlineLvl w:val="9"/>
              <w:rPr>
                <w:rFonts w:hint="eastAsia" w:eastAsia="仿宋_GB2312"/>
                <w:i w:val="0"/>
                <w:iCs w:val="0"/>
                <w:color w:val="auto"/>
                <w:w w:val="100"/>
                <w:sz w:val="28"/>
                <w:highlight w:val="none"/>
                <w:lang w:val="en-US" w:eastAsia="zh-CN"/>
              </w:rPr>
            </w:pPr>
            <w:r>
              <w:rPr>
                <w:rFonts w:hint="eastAsia"/>
                <w:i w:val="0"/>
                <w:iCs w:val="0"/>
                <w:color w:val="auto"/>
                <w:w w:val="100"/>
                <w:sz w:val="28"/>
                <w:highlight w:val="none"/>
                <w:lang w:val="en-US" w:eastAsia="zh-CN"/>
              </w:rPr>
              <w:t>29</w:t>
            </w:r>
          </w:p>
        </w:tc>
        <w:tc>
          <w:tcPr>
            <w:tcW w:w="855"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1" w:line="400" w:lineRule="exact"/>
              <w:ind w:left="120"/>
              <w:jc w:val="left"/>
              <w:textAlignment w:val="auto"/>
              <w:outlineLvl w:val="9"/>
              <w:rPr>
                <w:i w:val="0"/>
                <w:iCs w:val="0"/>
                <w:color w:val="auto"/>
                <w:sz w:val="28"/>
                <w:highlight w:val="none"/>
              </w:rPr>
            </w:pPr>
            <w:r>
              <w:rPr>
                <w:i w:val="0"/>
                <w:iCs w:val="0"/>
                <w:color w:val="auto"/>
                <w:sz w:val="28"/>
                <w:highlight w:val="none"/>
              </w:rPr>
              <w:t>强化督查考核</w:t>
            </w:r>
          </w:p>
        </w:tc>
        <w:tc>
          <w:tcPr>
            <w:tcW w:w="5884"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108" w:leftChars="0" w:right="0" w:rightChars="0"/>
              <w:jc w:val="both"/>
              <w:textAlignment w:val="auto"/>
              <w:outlineLvl w:val="9"/>
              <w:rPr>
                <w:i w:val="0"/>
                <w:iCs w:val="0"/>
                <w:color w:val="auto"/>
                <w:sz w:val="28"/>
                <w:highlight w:val="none"/>
              </w:rPr>
            </w:pPr>
            <w:r>
              <w:rPr>
                <w:rFonts w:hint="eastAsia"/>
                <w:i w:val="0"/>
                <w:iCs w:val="0"/>
                <w:color w:val="auto"/>
                <w:spacing w:val="-2"/>
                <w:sz w:val="28"/>
                <w:highlight w:val="none"/>
              </w:rPr>
              <w:t>加强督查检查，将2023年大气污染防治各项工作纳入全区党建统领综合考核评价体系，对各镇街（地区）、相关部门进行考核评价。</w:t>
            </w:r>
          </w:p>
        </w:tc>
        <w:tc>
          <w:tcPr>
            <w:tcW w:w="1229"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年底前</w:t>
            </w:r>
          </w:p>
        </w:tc>
        <w:tc>
          <w:tcPr>
            <w:tcW w:w="204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区生态环境局</w:t>
            </w:r>
          </w:p>
        </w:tc>
        <w:tc>
          <w:tcPr>
            <w:tcW w:w="2293" w:type="dxa"/>
            <w:gridSpan w:val="3"/>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区委办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区政府办</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right="0" w:firstLine="0"/>
              <w:jc w:val="center"/>
              <w:textAlignment w:val="auto"/>
              <w:outlineLvl w:val="9"/>
              <w:rPr>
                <w:i w:val="0"/>
                <w:iCs w:val="0"/>
                <w:color w:val="auto"/>
                <w:sz w:val="28"/>
                <w:highlight w:val="none"/>
              </w:rPr>
            </w:pPr>
            <w:r>
              <w:rPr>
                <w:i w:val="0"/>
                <w:iCs w:val="0"/>
                <w:color w:val="auto"/>
                <w:sz w:val="28"/>
                <w:highlight w:val="none"/>
              </w:rPr>
              <w:t>区生态环境局</w:t>
            </w:r>
          </w:p>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区发改委</w:t>
            </w:r>
          </w:p>
        </w:tc>
        <w:tc>
          <w:tcPr>
            <w:tcW w:w="2332" w:type="dxa"/>
            <w:vAlign w:val="center"/>
          </w:tcPr>
          <w:p>
            <w:pPr>
              <w:pStyle w:val="16"/>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firstLine="0" w:firstLineChars="0"/>
              <w:jc w:val="center"/>
              <w:textAlignment w:val="auto"/>
              <w:outlineLvl w:val="9"/>
              <w:rPr>
                <w:i w:val="0"/>
                <w:iCs w:val="0"/>
                <w:color w:val="auto"/>
                <w:sz w:val="28"/>
                <w:highlight w:val="none"/>
              </w:rPr>
            </w:pPr>
            <w:r>
              <w:rPr>
                <w:i w:val="0"/>
                <w:iCs w:val="0"/>
                <w:color w:val="auto"/>
                <w:sz w:val="28"/>
                <w:highlight w:val="none"/>
              </w:rPr>
              <w:t>——</w:t>
            </w:r>
          </w:p>
        </w:tc>
      </w:tr>
    </w:tbl>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附件3</w:t>
      </w:r>
      <w:bookmarkStart w:id="0" w:name="_GoBack"/>
      <w:bookmarkEnd w:id="0"/>
    </w:p>
    <w:p>
      <w:pPr>
        <w:keepNext w:val="0"/>
        <w:keepLines w:val="0"/>
        <w:pageBreakBefore w:val="0"/>
        <w:widowControl w:val="0"/>
        <w:kinsoku/>
        <w:wordWrap/>
        <w:overflowPunct/>
        <w:topLinePunct w:val="0"/>
        <w:autoSpaceDE w:val="0"/>
        <w:autoSpaceDN w:val="0"/>
        <w:bidi w:val="0"/>
        <w:adjustRightInd/>
        <w:snapToGrid/>
        <w:spacing w:line="560" w:lineRule="exact"/>
        <w:textAlignment w:val="auto"/>
        <w:outlineLvl w:val="9"/>
        <w:rPr>
          <w:rFonts w:hint="eastAsia"/>
          <w:color w:val="auto"/>
          <w:sz w:val="32"/>
          <w:szCs w:val="32"/>
          <w:highlight w:val="none"/>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outlineLvl w:val="9"/>
        <w:rPr>
          <w:rFonts w:hint="eastAsia" w:eastAsia="方正小标宋_GBK"/>
          <w:color w:val="auto"/>
          <w:sz w:val="32"/>
          <w:szCs w:val="32"/>
          <w:highlight w:val="none"/>
          <w:lang w:eastAsia="zh-CN"/>
        </w:rPr>
      </w:pPr>
      <w:r>
        <w:rPr>
          <w:rFonts w:hint="eastAsia" w:ascii="方正小标宋_GBK" w:hAnsi="方正小标宋_GBK" w:eastAsia="方正小标宋_GBK" w:cs="方正小标宋_GBK"/>
          <w:color w:val="auto"/>
          <w:sz w:val="44"/>
          <w:szCs w:val="44"/>
          <w:highlight w:val="none"/>
        </w:rPr>
        <w:t>北京市密云区水污染防治2023年行动计划</w:t>
      </w:r>
    </w:p>
    <w:tbl>
      <w:tblPr>
        <w:tblStyle w:val="14"/>
        <w:tblW w:w="15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54"/>
        <w:gridCol w:w="5933"/>
        <w:gridCol w:w="1200"/>
        <w:gridCol w:w="2053"/>
        <w:gridCol w:w="5"/>
        <w:gridCol w:w="161"/>
        <w:gridCol w:w="2220"/>
        <w:gridCol w:w="2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6" w:hRule="atLeast"/>
          <w:tblHeader/>
          <w:jc w:val="cent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序号</w:t>
            </w:r>
          </w:p>
        </w:tc>
        <w:tc>
          <w:tcPr>
            <w:tcW w:w="85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重点任务</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工作措施</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完成</w:t>
            </w:r>
          </w:p>
          <w:p>
            <w:pPr>
              <w:adjustRightInd w:val="0"/>
              <w:snapToGrid w:val="0"/>
              <w:jc w:val="center"/>
              <w:rPr>
                <w:rFonts w:eastAsia="黑体"/>
                <w:color w:val="auto"/>
                <w:sz w:val="28"/>
                <w:szCs w:val="28"/>
                <w:highlight w:val="none"/>
              </w:rPr>
            </w:pPr>
            <w:r>
              <w:rPr>
                <w:rFonts w:hint="eastAsia" w:eastAsia="黑体"/>
                <w:color w:val="auto"/>
                <w:sz w:val="28"/>
                <w:szCs w:val="28"/>
                <w:highlight w:val="none"/>
              </w:rPr>
              <w:t>时限</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牵头部门</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黑体"/>
                <w:color w:val="auto"/>
                <w:sz w:val="28"/>
                <w:szCs w:val="28"/>
                <w:highlight w:val="none"/>
              </w:rPr>
            </w:pPr>
            <w:r>
              <w:rPr>
                <w:rFonts w:hint="eastAsia" w:eastAsia="黑体"/>
                <w:color w:val="auto"/>
                <w:sz w:val="28"/>
                <w:szCs w:val="28"/>
                <w:highlight w:val="none"/>
              </w:rPr>
              <w:t>主责单位</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lang w:val="en-US" w:eastAsia="zh-Hans"/>
              </w:rPr>
            </w:pPr>
            <w:r>
              <w:rPr>
                <w:rFonts w:hint="eastAsia" w:eastAsia="黑体"/>
                <w:color w:val="auto"/>
                <w:sz w:val="28"/>
                <w:szCs w:val="28"/>
                <w:highlight w:val="none"/>
                <w:lang w:val="en-US" w:eastAsia="zh-Hans"/>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一、水环境质量目标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1</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目标任务</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地表水国考断面水质达到国家的目标要求</w:t>
            </w:r>
            <w:r>
              <w:rPr>
                <w:rFonts w:hint="eastAsia" w:ascii="仿宋_GB2312" w:eastAsia="仿宋_GB2312"/>
                <w:color w:val="auto"/>
                <w:sz w:val="28"/>
                <w:szCs w:val="28"/>
                <w:highlight w:val="none"/>
                <w:lang w:eastAsia="zh-CN"/>
              </w:rPr>
              <w:t>；市考断面力争全部达到相应考核要求</w:t>
            </w:r>
            <w:r>
              <w:rPr>
                <w:rFonts w:hint="eastAsia" w:ascii="仿宋_GB2312" w:eastAsia="仿宋_GB2312"/>
                <w:color w:val="auto"/>
                <w:sz w:val="28"/>
                <w:szCs w:val="28"/>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区生态环境局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区水务局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区城管委</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密云水库综合</w:t>
            </w:r>
          </w:p>
          <w:p>
            <w:pPr>
              <w:adjustRightInd w:val="0"/>
              <w:snapToGrid w:val="0"/>
              <w:jc w:val="center"/>
              <w:rPr>
                <w:rFonts w:hint="default"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执法大队</w:t>
            </w:r>
          </w:p>
        </w:tc>
        <w:tc>
          <w:tcPr>
            <w:tcW w:w="2386"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区生态环境局</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区城管委</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密云水库综合</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执法大队</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区住建委</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石城镇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高岭镇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太师屯镇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冯家峪镇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巨各庄镇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穆家峪镇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溪翁庄镇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鼓楼街道</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果园街道</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十里堡镇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西田各庄镇</w:t>
            </w:r>
          </w:p>
          <w:p>
            <w:pPr>
              <w:keepNext w:val="0"/>
              <w:keepLines w:val="0"/>
              <w:pageBreakBefore w:val="0"/>
              <w:widowControl w:val="0"/>
              <w:kinsoku/>
              <w:wordWrap/>
              <w:overflowPunct/>
              <w:topLinePunct w:val="0"/>
              <w:autoSpaceDE w:val="0"/>
              <w:autoSpaceDN w:val="0"/>
              <w:bidi w:val="0"/>
              <w:adjustRightInd w:val="0"/>
              <w:snapToGrid w:val="0"/>
              <w:spacing w:line="280" w:lineRule="exact"/>
              <w:jc w:val="center"/>
              <w:textAlignment w:val="auto"/>
              <w:outlineLvl w:val="9"/>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中关村密云园</w:t>
            </w:r>
          </w:p>
        </w:tc>
        <w:tc>
          <w:tcPr>
            <w:tcW w:w="234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区发改委</w:t>
            </w:r>
          </w:p>
          <w:p>
            <w:pPr>
              <w:adjustRightInd w:val="0"/>
              <w:snapToGrid w:val="0"/>
              <w:jc w:val="center"/>
              <w:rPr>
                <w:rFonts w:hint="default" w:ascii="仿宋_GB2312" w:hAnsi="仿宋_GB2312" w:eastAsia="仿宋_GB2312" w:cs="仿宋_GB2312"/>
                <w:color w:val="auto"/>
                <w:sz w:val="28"/>
                <w:szCs w:val="28"/>
                <w:highlight w:val="none"/>
                <w:u w:val="none" w:color="auto"/>
                <w:lang w:eastAsia="zh-Hans"/>
              </w:rPr>
            </w:pPr>
            <w:r>
              <w:rPr>
                <w:rFonts w:hint="eastAsia" w:ascii="仿宋_GB2312" w:hAnsi="仿宋_GB2312" w:eastAsia="仿宋_GB2312" w:cs="仿宋_GB2312"/>
                <w:color w:val="auto"/>
                <w:sz w:val="28"/>
                <w:szCs w:val="28"/>
                <w:highlight w:val="none"/>
                <w:u w:val="none" w:color="auto"/>
                <w:lang w:val="en-US" w:eastAsia="zh-Hans"/>
              </w:rPr>
              <w:t>区规自分局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区农业农村局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区园林绿化局</w:t>
            </w:r>
          </w:p>
          <w:p>
            <w:pPr>
              <w:adjustRightInd w:val="0"/>
              <w:snapToGrid w:val="0"/>
              <w:jc w:val="center"/>
              <w:rPr>
                <w:rFonts w:hint="default"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黑体" w:eastAsia="仿宋_GB2312" w:cs="仿宋_GB2312"/>
                <w:color w:val="auto"/>
                <w:sz w:val="28"/>
                <w:szCs w:val="28"/>
                <w:highlight w:val="none"/>
                <w:u w:val="none" w:color="auto"/>
              </w:rPr>
            </w:pPr>
            <w:r>
              <w:rPr>
                <w:rFonts w:hint="eastAsia" w:ascii="仿宋_GB2312" w:hAnsi="宋体" w:eastAsia="仿宋_GB2312" w:cs="宋体"/>
                <w:color w:val="auto"/>
                <w:sz w:val="28"/>
                <w:szCs w:val="28"/>
                <w:highlight w:val="none"/>
              </w:rPr>
              <w:t>密云水库</w:t>
            </w:r>
            <w:r>
              <w:rPr>
                <w:rFonts w:hint="eastAsia" w:ascii="仿宋_GB2312" w:hAnsi="宋体" w:eastAsia="仿宋_GB2312" w:cs="宋体"/>
                <w:color w:val="auto"/>
                <w:sz w:val="28"/>
                <w:szCs w:val="28"/>
                <w:highlight w:val="none"/>
                <w:lang w:eastAsia="zh-CN"/>
              </w:rPr>
              <w:t>、沙厂水库</w:t>
            </w:r>
            <w:r>
              <w:rPr>
                <w:rFonts w:hint="eastAsia" w:ascii="仿宋_GB2312" w:hAnsi="宋体" w:eastAsia="仿宋_GB2312" w:cs="宋体"/>
                <w:color w:val="auto"/>
                <w:sz w:val="28"/>
                <w:szCs w:val="28"/>
                <w:highlight w:val="none"/>
              </w:rPr>
              <w:t>集中式饮用水水源地水质保持稳定达标</w:t>
            </w:r>
            <w:r>
              <w:rPr>
                <w:rFonts w:hint="eastAsia" w:ascii="仿宋_GB2312" w:hAnsi="宋体" w:eastAsia="仿宋_GB2312" w:cs="宋体"/>
                <w:color w:val="auto"/>
                <w:sz w:val="28"/>
                <w:szCs w:val="28"/>
                <w:highlight w:val="none"/>
                <w:lang w:eastAsia="zh-CN"/>
              </w:rPr>
              <w:t>；</w:t>
            </w:r>
            <w:r>
              <w:rPr>
                <w:rFonts w:hint="eastAsia" w:ascii="仿宋_GB2312" w:hAnsi="宋体" w:eastAsia="仿宋_GB2312" w:cs="宋体"/>
                <w:color w:val="auto"/>
                <w:sz w:val="28"/>
                <w:szCs w:val="28"/>
                <w:highlight w:val="none"/>
              </w:rPr>
              <w:t>地下水水质总体保持稳定。</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区生态环境局区水务局</w:t>
            </w:r>
          </w:p>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CN"/>
              </w:rPr>
            </w:pPr>
            <w:r>
              <w:rPr>
                <w:rFonts w:hint="eastAsia" w:ascii="仿宋_GB2312" w:hAnsi="仿宋_GB2312" w:eastAsia="仿宋_GB2312" w:cs="仿宋_GB2312"/>
                <w:color w:val="auto"/>
                <w:sz w:val="28"/>
                <w:szCs w:val="28"/>
                <w:highlight w:val="none"/>
                <w:u w:val="none" w:color="auto"/>
                <w:lang w:val="en-US" w:eastAsia="zh-CN"/>
              </w:rPr>
              <w:t>密云水库综合</w:t>
            </w:r>
          </w:p>
          <w:p>
            <w:pPr>
              <w:adjustRightInd w:val="0"/>
              <w:snapToGrid w:val="0"/>
              <w:jc w:val="center"/>
              <w:rPr>
                <w:rFonts w:hint="eastAsia"/>
                <w:color w:val="auto"/>
                <w:sz w:val="28"/>
                <w:szCs w:val="28"/>
                <w:highlight w:val="none"/>
                <w:lang w:val="en-US" w:eastAsia="zh-CN"/>
              </w:rPr>
            </w:pPr>
            <w:r>
              <w:rPr>
                <w:rFonts w:hint="eastAsia" w:ascii="仿宋_GB2312" w:hAnsi="仿宋_GB2312" w:eastAsia="仿宋_GB2312" w:cs="仿宋_GB2312"/>
                <w:color w:val="auto"/>
                <w:sz w:val="28"/>
                <w:szCs w:val="28"/>
                <w:highlight w:val="none"/>
                <w:u w:val="none" w:color="auto"/>
                <w:lang w:val="en-US" w:eastAsia="zh-CN"/>
              </w:rPr>
              <w:t>执法大队</w:t>
            </w:r>
          </w:p>
        </w:tc>
        <w:tc>
          <w:tcPr>
            <w:tcW w:w="2386" w:type="dxa"/>
            <w:gridSpan w:val="3"/>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Calibri" w:hAnsi="Calibri" w:eastAsia="仿宋_GB2312" w:cs="Times New Roman"/>
                <w:color w:val="auto"/>
                <w:kern w:val="2"/>
                <w:sz w:val="28"/>
                <w:szCs w:val="28"/>
                <w:highlight w:val="none"/>
                <w:lang w:val="en-US" w:eastAsia="zh-CN" w:bidi="ar-SA"/>
              </w:rPr>
            </w:pPr>
          </w:p>
        </w:tc>
        <w:tc>
          <w:tcPr>
            <w:tcW w:w="2341" w:type="dxa"/>
            <w:vMerge w:val="continue"/>
            <w:tcBorders>
              <w:left w:val="single" w:color="auto" w:sz="4" w:space="0"/>
              <w:bottom w:val="single" w:color="auto" w:sz="4" w:space="0"/>
              <w:right w:val="single" w:color="auto" w:sz="4" w:space="0"/>
            </w:tcBorders>
            <w:vAlign w:val="center"/>
          </w:tcPr>
          <w:p>
            <w:pPr>
              <w:spacing w:line="400" w:lineRule="exact"/>
              <w:jc w:val="center"/>
              <w:rPr>
                <w:rFonts w:hint="eastAsia" w:ascii="Calibri" w:hAnsi="Calibri" w:eastAsia="仿宋_GB2312" w:cs="Times New Roman"/>
                <w:color w:val="auto"/>
                <w:kern w:val="2"/>
                <w:sz w:val="28"/>
                <w:szCs w:val="28"/>
                <w:highlight w:val="none"/>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3" w:hRule="atLeast"/>
          <w:jc w:val="center"/>
        </w:trPr>
        <w:tc>
          <w:tcPr>
            <w:tcW w:w="629" w:type="dxa"/>
            <w:tcBorders>
              <w:left w:val="single" w:color="auto" w:sz="4" w:space="0"/>
              <w:right w:val="single" w:color="auto" w:sz="4" w:space="0"/>
            </w:tcBorders>
            <w:vAlign w:val="center"/>
          </w:tcPr>
          <w:p>
            <w:pPr>
              <w:adjustRightInd w:val="0"/>
              <w:snapToGrid w:val="0"/>
              <w:jc w:val="center"/>
              <w:rPr>
                <w:rFonts w:hint="eastAsia" w:ascii="仿宋_GB2312" w:eastAsia="仿宋_GB2312" w:cs="Times New Roman"/>
                <w:b w:val="0"/>
                <w:bCs w:val="0"/>
                <w:color w:val="auto"/>
                <w:sz w:val="28"/>
                <w:szCs w:val="28"/>
                <w:highlight w:val="none"/>
                <w:lang w:val="en-US" w:eastAsia="zh-CN"/>
              </w:rPr>
            </w:pPr>
            <w:r>
              <w:rPr>
                <w:rFonts w:hint="eastAsia" w:ascii="仿宋_GB2312" w:eastAsia="仿宋_GB2312" w:cs="Times New Roman"/>
                <w:b w:val="0"/>
                <w:bCs w:val="0"/>
                <w:color w:val="auto"/>
                <w:sz w:val="28"/>
                <w:szCs w:val="28"/>
                <w:highlight w:val="none"/>
                <w:lang w:val="en-US" w:eastAsia="zh-Hans"/>
              </w:rPr>
              <w:t>2</w:t>
            </w:r>
          </w:p>
        </w:tc>
        <w:tc>
          <w:tcPr>
            <w:tcW w:w="854" w:type="dxa"/>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b w:val="0"/>
                <w:bCs w:val="0"/>
                <w:color w:val="auto"/>
                <w:sz w:val="28"/>
                <w:szCs w:val="28"/>
                <w:highlight w:val="none"/>
                <w:lang w:val="en-US" w:eastAsia="zh-Hans"/>
              </w:rPr>
            </w:pPr>
            <w:r>
              <w:rPr>
                <w:rFonts w:hint="eastAsia" w:ascii="仿宋_GB2312" w:eastAsia="仿宋_GB2312" w:cs="Times New Roman"/>
                <w:b w:val="0"/>
                <w:bCs w:val="0"/>
                <w:color w:val="auto"/>
                <w:sz w:val="28"/>
                <w:szCs w:val="28"/>
                <w:highlight w:val="none"/>
                <w:lang w:val="en-US" w:eastAsia="zh-Hans"/>
              </w:rPr>
              <w:t>深入实施总量减排</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b w:val="0"/>
                <w:bCs w:val="0"/>
                <w:color w:val="auto"/>
                <w:sz w:val="28"/>
                <w:szCs w:val="28"/>
                <w:highlight w:val="none"/>
                <w:lang w:val="en-US" w:eastAsia="zh-Hans"/>
              </w:rPr>
            </w:pPr>
            <w:r>
              <w:rPr>
                <w:rFonts w:hint="eastAsia" w:ascii="仿宋_GB2312" w:eastAsia="仿宋_GB2312" w:cs="Times New Roman"/>
                <w:b w:val="0"/>
                <w:bCs w:val="0"/>
                <w:color w:val="auto"/>
                <w:sz w:val="28"/>
                <w:szCs w:val="28"/>
                <w:highlight w:val="none"/>
                <w:lang w:val="en-US" w:eastAsia="zh-Hans"/>
              </w:rPr>
              <w:t>实现主要水污染物排放总量持续下降，完成化学需氧量（COD）、氨氮（NH3-N）</w:t>
            </w:r>
            <w:r>
              <w:rPr>
                <w:rFonts w:hint="eastAsia" w:ascii="仿宋_GB2312" w:eastAsia="仿宋_GB2312" w:cs="Times New Roman"/>
                <w:b w:val="0"/>
                <w:bCs w:val="0"/>
                <w:color w:val="auto"/>
                <w:sz w:val="28"/>
                <w:szCs w:val="28"/>
                <w:highlight w:val="none"/>
                <w:lang w:val="en-US" w:eastAsia="zh-CN"/>
              </w:rPr>
              <w:t>市级下达的</w:t>
            </w:r>
            <w:r>
              <w:rPr>
                <w:rFonts w:hint="eastAsia" w:ascii="仿宋_GB2312" w:eastAsia="仿宋_GB2312" w:cs="Times New Roman"/>
                <w:b w:val="0"/>
                <w:bCs w:val="0"/>
                <w:color w:val="auto"/>
                <w:sz w:val="28"/>
                <w:szCs w:val="28"/>
                <w:highlight w:val="none"/>
                <w:lang w:val="en-US" w:eastAsia="zh-Hans"/>
              </w:rPr>
              <w:t>减排目标要求。</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区生态环境局</w:t>
            </w:r>
          </w:p>
        </w:tc>
        <w:tc>
          <w:tcPr>
            <w:tcW w:w="2386"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区生态环境局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各镇街（地区）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tc>
        <w:tc>
          <w:tcPr>
            <w:tcW w:w="2341" w:type="dxa"/>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hAnsi="仿宋_GB2312" w:eastAsia="仿宋_GB2312" w:cs="仿宋_GB2312"/>
                <w:color w:val="auto"/>
                <w:sz w:val="28"/>
                <w:szCs w:val="28"/>
                <w:highlight w:val="none"/>
                <w:u w:val="none" w:color="auto"/>
                <w:lang w:val="en-US" w:eastAsia="zh-Hans"/>
              </w:rPr>
            </w:pPr>
            <w:r>
              <w:rPr>
                <w:rFonts w:hint="eastAsia" w:ascii="仿宋_GB2312" w:hAnsi="仿宋_GB2312" w:eastAsia="仿宋_GB2312" w:cs="仿宋_GB2312"/>
                <w:color w:val="auto"/>
                <w:sz w:val="28"/>
                <w:szCs w:val="28"/>
                <w:highlight w:val="none"/>
                <w:u w:val="none" w:color="auto"/>
                <w:lang w:val="en-US" w:eastAsia="zh-Hans"/>
              </w:rPr>
              <w:t>区经信局</w:t>
            </w:r>
          </w:p>
          <w:p>
            <w:pPr>
              <w:adjustRightInd w:val="0"/>
              <w:snapToGrid w:val="0"/>
              <w:jc w:val="center"/>
              <w:rPr>
                <w:rFonts w:hint="eastAsia" w:eastAsia="仿宋_GB2312" w:cs="Times New Roman"/>
                <w:color w:val="auto"/>
                <w:sz w:val="28"/>
                <w:szCs w:val="28"/>
                <w:highlight w:val="none"/>
                <w:lang w:val="en-US" w:eastAsia="zh-Hans"/>
              </w:rPr>
            </w:pPr>
            <w:r>
              <w:rPr>
                <w:rFonts w:hint="eastAsia" w:ascii="仿宋_GB2312" w:hAnsi="仿宋_GB2312" w:eastAsia="仿宋_GB2312" w:cs="仿宋_GB2312"/>
                <w:color w:val="auto"/>
                <w:sz w:val="28"/>
                <w:szCs w:val="28"/>
                <w:highlight w:val="none"/>
                <w:u w:val="none" w:color="auto"/>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二、水资源保护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5"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color w:val="auto"/>
                <w:sz w:val="28"/>
                <w:szCs w:val="28"/>
                <w:highlight w:val="none"/>
              </w:rPr>
            </w:pPr>
            <w:r>
              <w:rPr>
                <w:rFonts w:hint="eastAsia" w:ascii="仿宋_GB2312" w:eastAsia="仿宋_GB2312"/>
                <w:color w:val="auto"/>
                <w:sz w:val="28"/>
                <w:szCs w:val="28"/>
                <w:highlight w:val="none"/>
                <w:lang w:val="en-US" w:eastAsia="zh-CN"/>
              </w:rPr>
              <w:t>3</w:t>
            </w:r>
          </w:p>
          <w:p>
            <w:pPr>
              <w:pStyle w:val="10"/>
              <w:jc w:val="center"/>
              <w:rPr>
                <w:rFonts w:hint="eastAsia"/>
                <w:color w:val="auto"/>
                <w:sz w:val="28"/>
                <w:szCs w:val="28"/>
                <w:highlight w:val="none"/>
              </w:rPr>
            </w:pP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r>
              <w:rPr>
                <w:rFonts w:hint="eastAsia" w:ascii="仿宋_GB2312" w:eastAsia="仿宋_GB2312"/>
                <w:b w:val="0"/>
                <w:bCs w:val="0"/>
                <w:color w:val="auto"/>
                <w:sz w:val="28"/>
                <w:szCs w:val="28"/>
                <w:highlight w:val="none"/>
              </w:rPr>
              <w:t>推进密云水库保护</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hAnsi="Calibri" w:eastAsia="仿宋_GB2312" w:cs="Times New Roman"/>
                <w:b w:val="0"/>
                <w:bCs w:val="0"/>
                <w:color w:val="auto"/>
                <w:kern w:val="2"/>
                <w:sz w:val="28"/>
                <w:szCs w:val="28"/>
                <w:highlight w:val="none"/>
                <w:lang w:val="en-US" w:eastAsia="zh-CN" w:bidi="ar-SA"/>
              </w:rPr>
            </w:pPr>
            <w:r>
              <w:rPr>
                <w:rFonts w:hint="eastAsia" w:ascii="仿宋_GB2312" w:eastAsia="仿宋_GB2312"/>
                <w:b w:val="0"/>
                <w:bCs w:val="0"/>
                <w:color w:val="auto"/>
                <w:sz w:val="28"/>
                <w:szCs w:val="28"/>
                <w:highlight w:val="none"/>
                <w:lang w:val="en-US" w:eastAsia="zh-Hans"/>
              </w:rPr>
              <w:t>落实</w:t>
            </w:r>
            <w:r>
              <w:rPr>
                <w:rFonts w:hint="eastAsia" w:ascii="仿宋_GB2312" w:eastAsia="仿宋_GB2312"/>
                <w:b w:val="0"/>
                <w:bCs w:val="0"/>
                <w:color w:val="auto"/>
                <w:sz w:val="28"/>
                <w:szCs w:val="28"/>
                <w:highlight w:val="none"/>
              </w:rPr>
              <w:t>《北京市密云水库流域水生态保护与发展规划（2020年-2035年）》</w:t>
            </w:r>
            <w:r>
              <w:rPr>
                <w:rFonts w:hint="eastAsia" w:ascii="仿宋_GB2312" w:eastAsia="仿宋_GB2312"/>
                <w:b w:val="0"/>
                <w:bCs w:val="0"/>
                <w:color w:val="auto"/>
                <w:sz w:val="28"/>
                <w:szCs w:val="28"/>
                <w:highlight w:val="none"/>
                <w:lang w:eastAsia="zh-CN"/>
              </w:rPr>
              <w:t>、</w:t>
            </w:r>
            <w:r>
              <w:rPr>
                <w:rFonts w:hint="eastAsia" w:ascii="仿宋_GB2312" w:eastAsia="仿宋_GB2312"/>
                <w:b w:val="0"/>
                <w:bCs w:val="0"/>
                <w:color w:val="auto"/>
                <w:sz w:val="28"/>
                <w:szCs w:val="28"/>
                <w:highlight w:val="none"/>
              </w:rPr>
              <w:t>《</w:t>
            </w:r>
            <w:r>
              <w:rPr>
                <w:rFonts w:hint="eastAsia" w:ascii="仿宋_GB2312" w:eastAsia="仿宋_GB2312"/>
                <w:b w:val="0"/>
                <w:bCs w:val="0"/>
                <w:color w:val="auto"/>
                <w:sz w:val="28"/>
                <w:szCs w:val="28"/>
                <w:highlight w:val="none"/>
                <w:lang w:eastAsia="zh-CN"/>
              </w:rPr>
              <w:t>密云区</w:t>
            </w:r>
            <w:r>
              <w:rPr>
                <w:rFonts w:hint="eastAsia" w:ascii="仿宋_GB2312" w:eastAsia="仿宋_GB2312"/>
                <w:b w:val="0"/>
                <w:bCs w:val="0"/>
                <w:color w:val="auto"/>
                <w:sz w:val="28"/>
                <w:szCs w:val="28"/>
                <w:highlight w:val="none"/>
              </w:rPr>
              <w:t>密云水库流域生态保护</w:t>
            </w:r>
            <w:r>
              <w:rPr>
                <w:rFonts w:hint="eastAsia" w:ascii="仿宋_GB2312" w:eastAsia="仿宋_GB2312"/>
                <w:b w:val="0"/>
                <w:bCs w:val="0"/>
                <w:color w:val="auto"/>
                <w:sz w:val="28"/>
                <w:szCs w:val="28"/>
                <w:highlight w:val="none"/>
                <w:lang w:eastAsia="zh-CN"/>
              </w:rPr>
              <w:t>和绿色</w:t>
            </w:r>
            <w:r>
              <w:rPr>
                <w:rFonts w:hint="eastAsia" w:ascii="仿宋_GB2312" w:eastAsia="仿宋_GB2312"/>
                <w:b w:val="0"/>
                <w:bCs w:val="0"/>
                <w:color w:val="auto"/>
                <w:sz w:val="28"/>
                <w:szCs w:val="28"/>
                <w:highlight w:val="none"/>
              </w:rPr>
              <w:t>发展</w:t>
            </w:r>
            <w:r>
              <w:rPr>
                <w:rFonts w:hint="eastAsia" w:ascii="仿宋_GB2312" w:eastAsia="仿宋_GB2312"/>
                <w:b w:val="0"/>
                <w:bCs w:val="0"/>
                <w:color w:val="auto"/>
                <w:sz w:val="28"/>
                <w:szCs w:val="28"/>
                <w:highlight w:val="none"/>
                <w:lang w:eastAsia="zh-CN"/>
              </w:rPr>
              <w:t>实施方案</w:t>
            </w:r>
            <w:r>
              <w:rPr>
                <w:rFonts w:hint="eastAsia" w:ascii="仿宋_GB2312" w:eastAsia="仿宋_GB2312"/>
                <w:b w:val="0"/>
                <w:bCs w:val="0"/>
                <w:color w:val="auto"/>
                <w:sz w:val="28"/>
                <w:szCs w:val="28"/>
                <w:highlight w:val="none"/>
              </w:rPr>
              <w:t>》</w:t>
            </w:r>
            <w:r>
              <w:rPr>
                <w:rFonts w:ascii="仿宋_GB2312" w:hAnsi="宋体" w:eastAsia="仿宋_GB2312" w:cs="仿宋_GB2312"/>
                <w:color w:val="auto"/>
                <w:kern w:val="0"/>
                <w:sz w:val="28"/>
                <w:szCs w:val="28"/>
                <w:highlight w:val="none"/>
                <w:lang w:bidi="ar"/>
              </w:rPr>
              <w:t>，</w:t>
            </w:r>
            <w:r>
              <w:rPr>
                <w:rFonts w:hint="eastAsia" w:ascii="仿宋_GB2312" w:eastAsia="仿宋_GB2312"/>
                <w:b w:val="0"/>
                <w:bCs w:val="0"/>
                <w:color w:val="auto"/>
                <w:sz w:val="28"/>
                <w:szCs w:val="28"/>
                <w:highlight w:val="none"/>
              </w:rPr>
              <w:t>2023年密云水库流域水质稳定保持Ⅱ类，入库河流总氮浓度得到有效控制。</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eastAsia="zh-CN"/>
              </w:rPr>
            </w:pPr>
          </w:p>
          <w:p>
            <w:pPr>
              <w:adjustRightInd w:val="0"/>
              <w:snapToGrid w:val="0"/>
              <w:jc w:val="center"/>
              <w:rPr>
                <w:rFonts w:hint="eastAsia"/>
                <w:b w:val="0"/>
                <w:bCs w:val="0"/>
                <w:color w:val="auto"/>
                <w:sz w:val="28"/>
                <w:szCs w:val="28"/>
                <w:highlight w:val="none"/>
                <w:lang w:eastAsia="zh-CN"/>
              </w:rPr>
            </w:pPr>
            <w:r>
              <w:rPr>
                <w:rFonts w:hint="eastAsia"/>
                <w:b w:val="0"/>
                <w:bCs w:val="0"/>
                <w:color w:val="auto"/>
                <w:sz w:val="28"/>
                <w:szCs w:val="28"/>
                <w:highlight w:val="none"/>
                <w:lang w:eastAsia="zh-CN"/>
              </w:rPr>
              <w:t>密云水库流域生态保护</w:t>
            </w:r>
          </w:p>
          <w:p>
            <w:pPr>
              <w:adjustRightInd w:val="0"/>
              <w:snapToGrid w:val="0"/>
              <w:jc w:val="center"/>
              <w:rPr>
                <w:rFonts w:eastAsia="仿宋_GB2312"/>
                <w:b w:val="0"/>
                <w:bCs w:val="0"/>
                <w:color w:val="auto"/>
                <w:sz w:val="28"/>
                <w:szCs w:val="28"/>
                <w:highlight w:val="none"/>
              </w:rPr>
            </w:pPr>
            <w:r>
              <w:rPr>
                <w:rFonts w:hint="eastAsia"/>
                <w:b w:val="0"/>
                <w:bCs w:val="0"/>
                <w:color w:val="auto"/>
                <w:sz w:val="28"/>
                <w:szCs w:val="28"/>
                <w:highlight w:val="none"/>
                <w:lang w:eastAsia="zh-CN"/>
              </w:rPr>
              <w:t>和绿色发展专班</w:t>
            </w:r>
          </w:p>
          <w:p>
            <w:pPr>
              <w:adjustRightInd w:val="0"/>
              <w:snapToGrid w:val="0"/>
              <w:jc w:val="center"/>
              <w:rPr>
                <w:rFonts w:hint="eastAsia" w:ascii="Calibri" w:hAnsi="Calibri" w:eastAsia="仿宋_GB2312" w:cs="Times New Roman"/>
                <w:b w:val="0"/>
                <w:bCs w:val="0"/>
                <w:color w:val="auto"/>
                <w:kern w:val="2"/>
                <w:sz w:val="28"/>
                <w:szCs w:val="28"/>
                <w:highlight w:val="none"/>
                <w:lang w:val="en-US" w:eastAsia="zh-Hans" w:bidi="ar-SA"/>
              </w:rPr>
            </w:pPr>
          </w:p>
        </w:tc>
        <w:tc>
          <w:tcPr>
            <w:tcW w:w="234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lang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区财政局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区发改委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区农业农村局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区园林绿化局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val="en-US" w:eastAsia="zh-CN"/>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val="en-US" w:eastAsia="zh-CN"/>
              </w:rPr>
              <w:t>执法大队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ascii="宋体" w:hAnsi="宋体" w:eastAsia="仿宋_GB2312" w:cs="宋体"/>
                <w:color w:val="auto"/>
                <w:kern w:val="0"/>
                <w:sz w:val="28"/>
                <w:szCs w:val="28"/>
                <w:highlight w:val="none"/>
                <w:lang w:val="en-US" w:eastAsia="zh-CN" w:bidi="ar-SA"/>
              </w:rPr>
            </w:pPr>
            <w:r>
              <w:rPr>
                <w:rFonts w:hint="eastAsia" w:eastAsia="仿宋_GB2312"/>
                <w:b w:val="0"/>
                <w:bCs w:val="0"/>
                <w:color w:val="auto"/>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default" w:ascii="仿宋_GB2312" w:eastAsia="仿宋_GB2312"/>
                <w:color w:val="auto"/>
                <w:sz w:val="28"/>
                <w:szCs w:val="28"/>
                <w:highlight w:val="none"/>
                <w:lang w:eastAsia="zh-Hans"/>
              </w:rPr>
            </w:pPr>
            <w:r>
              <w:rPr>
                <w:rFonts w:hint="eastAsia" w:ascii="仿宋_GB2312" w:eastAsia="仿宋_GB2312"/>
                <w:b w:val="0"/>
                <w:bCs w:val="0"/>
                <w:color w:val="auto"/>
                <w:sz w:val="28"/>
                <w:szCs w:val="28"/>
                <w:highlight w:val="none"/>
                <w:lang w:val="en-US" w:eastAsia="zh-Hans"/>
              </w:rPr>
              <w:t>落实《北京市密云水库</w:t>
            </w:r>
            <w:r>
              <w:rPr>
                <w:rFonts w:hint="eastAsia"/>
                <w:b w:val="0"/>
                <w:bCs w:val="0"/>
                <w:color w:val="auto"/>
                <w:sz w:val="28"/>
                <w:szCs w:val="28"/>
                <w:highlight w:val="none"/>
                <w:lang w:val="en-US" w:eastAsia="zh-CN"/>
              </w:rPr>
              <w:t>上游</w:t>
            </w:r>
            <w:r>
              <w:rPr>
                <w:rFonts w:hint="eastAsia" w:ascii="仿宋_GB2312" w:eastAsia="仿宋_GB2312"/>
                <w:b w:val="0"/>
                <w:bCs w:val="0"/>
                <w:color w:val="auto"/>
                <w:sz w:val="28"/>
                <w:szCs w:val="28"/>
                <w:highlight w:val="none"/>
                <w:lang w:val="en-US" w:eastAsia="zh-Hans"/>
              </w:rPr>
              <w:t>地区空间保护规划(2021-2035年)》</w:t>
            </w:r>
            <w:r>
              <w:rPr>
                <w:rFonts w:hint="default" w:ascii="仿宋_GB2312" w:eastAsia="仿宋_GB2312"/>
                <w:b w:val="0"/>
                <w:bCs w:val="0"/>
                <w:color w:val="auto"/>
                <w:sz w:val="28"/>
                <w:szCs w:val="28"/>
                <w:highlight w:val="none"/>
                <w:lang w:eastAsia="zh-Hans"/>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Hans"/>
              </w:rPr>
            </w:pPr>
            <w:r>
              <w:rPr>
                <w:rFonts w:hint="eastAsia" w:eastAsia="仿宋_GB2312"/>
                <w:b w:val="0"/>
                <w:bCs w:val="0"/>
                <w:color w:val="auto"/>
                <w:sz w:val="28"/>
                <w:szCs w:val="28"/>
                <w:highlight w:val="none"/>
                <w:lang w:eastAsia="zh-CN"/>
              </w:rPr>
              <w:t>区</w:t>
            </w:r>
            <w:r>
              <w:rPr>
                <w:rFonts w:hint="eastAsia" w:eastAsia="仿宋_GB2312"/>
                <w:b w:val="0"/>
                <w:bCs w:val="0"/>
                <w:color w:val="auto"/>
                <w:sz w:val="28"/>
                <w:szCs w:val="28"/>
                <w:highlight w:val="none"/>
              </w:rPr>
              <w:t>规</w:t>
            </w:r>
            <w:r>
              <w:rPr>
                <w:rFonts w:hint="eastAsia" w:eastAsia="仿宋_GB2312"/>
                <w:b w:val="0"/>
                <w:bCs w:val="0"/>
                <w:color w:val="auto"/>
                <w:sz w:val="28"/>
                <w:szCs w:val="28"/>
                <w:highlight w:val="none"/>
                <w:lang w:eastAsia="zh-CN"/>
              </w:rPr>
              <w:t>自分局</w:t>
            </w:r>
          </w:p>
        </w:tc>
        <w:tc>
          <w:tcPr>
            <w:tcW w:w="234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29" w:type="dxa"/>
            <w:vMerge w:val="continue"/>
            <w:tcBorders>
              <w:left w:val="single" w:color="auto" w:sz="4" w:space="0"/>
              <w:right w:val="single" w:color="auto" w:sz="4" w:space="0"/>
            </w:tcBorders>
            <w:vAlign w:val="center"/>
          </w:tcPr>
          <w:p>
            <w:pPr>
              <w:pStyle w:val="10"/>
              <w:jc w:val="center"/>
              <w:rPr>
                <w:rFonts w:hint="eastAsia"/>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b w:val="0"/>
                <w:bCs w:val="0"/>
                <w:color w:val="auto"/>
                <w:sz w:val="28"/>
                <w:szCs w:val="28"/>
                <w:highlight w:val="none"/>
                <w:lang w:val="en-US" w:eastAsia="zh-Hans"/>
              </w:rPr>
            </w:pPr>
            <w:r>
              <w:rPr>
                <w:rFonts w:hint="eastAsia" w:ascii="仿宋_GB2312" w:hAnsi="Times New Roman" w:eastAsia="仿宋_GB2312" w:cs="Times New Roman"/>
                <w:color w:val="auto"/>
                <w:kern w:val="2"/>
                <w:sz w:val="28"/>
                <w:szCs w:val="28"/>
                <w:highlight w:val="none"/>
                <w:lang w:val="en-US" w:eastAsia="zh-CN" w:bidi="ar-SA"/>
              </w:rPr>
              <w:t>健全密云水库及上游流域水生态环境监测体系，发挥水环境风险预警监控能力。</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tc>
        <w:tc>
          <w:tcPr>
            <w:tcW w:w="2341" w:type="dxa"/>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lang w:eastAsia="zh-CN"/>
              </w:rPr>
              <w:t>区发改委</w:t>
            </w:r>
          </w:p>
          <w:p>
            <w:pPr>
              <w:keepNext w:val="0"/>
              <w:keepLines w:val="0"/>
              <w:pageBreakBefore w:val="0"/>
              <w:widowControl/>
              <w:kinsoku/>
              <w:wordWrap/>
              <w:overflowPunct/>
              <w:topLinePunct w:val="0"/>
              <w:autoSpaceDE/>
              <w:autoSpaceDN/>
              <w:bidi w:val="0"/>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eastAsia="zh-CN"/>
              </w:rPr>
              <w:t>区财政局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lang w:val="en-US" w:eastAsia="zh-CN"/>
              </w:rPr>
              <w:t>执法大队</w:t>
            </w:r>
          </w:p>
          <w:p>
            <w:pPr>
              <w:keepNext w:val="0"/>
              <w:keepLines w:val="0"/>
              <w:pageBreakBefore w:val="0"/>
              <w:kinsoku/>
              <w:wordWrap/>
              <w:overflowPunct/>
              <w:topLinePunct w:val="0"/>
              <w:autoSpaceDE/>
              <w:autoSpaceDN/>
              <w:bidi w:val="0"/>
              <w:adjustRightInd w:val="0"/>
              <w:snapToGrid w:val="0"/>
              <w:spacing w:line="360" w:lineRule="exact"/>
              <w:jc w:val="center"/>
              <w:outlineLvl w:val="9"/>
              <w:rPr>
                <w:rFonts w:hint="default" w:ascii="宋体" w:hAnsi="宋体" w:eastAsia="仿宋_GB2312" w:cs="宋体"/>
                <w:color w:val="auto"/>
                <w:kern w:val="0"/>
                <w:sz w:val="28"/>
                <w:szCs w:val="28"/>
                <w:highlight w:val="none"/>
                <w:lang w:val="en-US" w:eastAsia="zh-CN" w:bidi="ar-SA"/>
              </w:rPr>
            </w:pPr>
            <w:r>
              <w:rPr>
                <w:rFonts w:hint="eastAsia" w:eastAsia="仿宋_GB2312"/>
                <w:b w:val="0"/>
                <w:bCs w:val="0"/>
                <w:color w:val="auto"/>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4"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hAnsi="Calibri" w:eastAsia="仿宋_GB2312" w:cs="Times New Roman"/>
                <w:color w:val="auto"/>
                <w:kern w:val="2"/>
                <w:sz w:val="28"/>
                <w:szCs w:val="28"/>
                <w:highlight w:val="none"/>
                <w:lang w:val="en-US" w:eastAsia="zh-CN" w:bidi="ar-SA"/>
              </w:rPr>
            </w:pPr>
            <w:r>
              <w:rPr>
                <w:rFonts w:hint="eastAsia" w:hAnsi="Calibri" w:cs="Times New Roman"/>
                <w:color w:val="auto"/>
                <w:kern w:val="2"/>
                <w:sz w:val="28"/>
                <w:szCs w:val="28"/>
                <w:highlight w:val="none"/>
                <w:lang w:val="en-US" w:eastAsia="zh-CN" w:bidi="ar-SA"/>
              </w:rPr>
              <w:t>3</w:t>
            </w:r>
          </w:p>
        </w:tc>
        <w:tc>
          <w:tcPr>
            <w:tcW w:w="854" w:type="dxa"/>
            <w:vMerge w:val="restart"/>
            <w:tcBorders>
              <w:left w:val="single" w:color="auto" w:sz="4" w:space="0"/>
              <w:right w:val="single" w:color="auto" w:sz="4" w:space="0"/>
            </w:tcBorders>
            <w:vAlign w:val="center"/>
          </w:tcPr>
          <w:p>
            <w:pPr>
              <w:adjustRightInd w:val="0"/>
              <w:snapToGrid w:val="0"/>
              <w:jc w:val="center"/>
              <w:rPr>
                <w:rFonts w:hint="eastAsia" w:ascii="仿宋_GB2312" w:hAnsi="Calibri" w:eastAsia="仿宋_GB2312" w:cs="Times New Roman"/>
                <w:color w:val="auto"/>
                <w:kern w:val="2"/>
                <w:sz w:val="28"/>
                <w:szCs w:val="28"/>
                <w:highlight w:val="none"/>
                <w:lang w:val="en-US" w:eastAsia="zh-CN" w:bidi="ar-SA"/>
              </w:rPr>
            </w:pPr>
            <w:r>
              <w:rPr>
                <w:rFonts w:hint="eastAsia" w:ascii="仿宋_GB2312" w:eastAsia="仿宋_GB2312"/>
                <w:b w:val="0"/>
                <w:bCs w:val="0"/>
                <w:color w:val="auto"/>
                <w:sz w:val="28"/>
                <w:szCs w:val="28"/>
                <w:highlight w:val="none"/>
              </w:rPr>
              <w:t>推进密云水库保护</w:t>
            </w:r>
          </w:p>
        </w:tc>
        <w:tc>
          <w:tcPr>
            <w:tcW w:w="5933"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left"/>
              <w:rPr>
                <w:rFonts w:hint="eastAsia" w:ascii="仿宋_GB2312"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rPr>
              <w:t>落实《密云水库上游流域“两市三区”生态环境联建联防联治合作协议》，针对京冀两地潮河、白河等主要入库河流周边开展污染状况调查、综合治理、联合执法、联合监测等相关工作；完善上下游流域应急处置机制；</w:t>
            </w:r>
            <w:r>
              <w:rPr>
                <w:rFonts w:hint="eastAsia" w:ascii="仿宋_GB2312" w:eastAsia="仿宋_GB2312"/>
                <w:color w:val="auto"/>
                <w:sz w:val="28"/>
                <w:szCs w:val="28"/>
                <w:highlight w:val="none"/>
                <w:lang w:val="en-US" w:eastAsia="zh-CN"/>
              </w:rPr>
              <w:t>推进密云水库上游流域“两市三区”综合协调指挥中心建设。</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rPr>
            </w:pPr>
            <w:r>
              <w:rPr>
                <w:rFonts w:hint="eastAsia" w:eastAsia="仿宋_GB2312"/>
                <w:color w:val="auto"/>
                <w:sz w:val="28"/>
                <w:szCs w:val="28"/>
                <w:highlight w:val="none"/>
              </w:rPr>
              <w:t>长期</w:t>
            </w:r>
          </w:p>
          <w:p>
            <w:pPr>
              <w:adjustRightInd w:val="0"/>
              <w:snapToGrid w:val="0"/>
              <w:jc w:val="center"/>
              <w:rPr>
                <w:rFonts w:hint="eastAsia" w:ascii="Calibri" w:hAnsi="Calibri" w:eastAsia="仿宋_GB2312" w:cs="Times New Roman"/>
                <w:color w:val="auto"/>
                <w:kern w:val="2"/>
                <w:sz w:val="28"/>
                <w:szCs w:val="28"/>
                <w:highlight w:val="none"/>
                <w:lang w:val="en-US" w:eastAsia="zh-CN" w:bidi="ar-SA"/>
              </w:rPr>
            </w:pPr>
            <w:r>
              <w:rPr>
                <w:rFonts w:hint="eastAsia"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hAnsi="Times New Roman" w:eastAsia="仿宋_GB2312" w:cs="Times New Roman"/>
                <w:color w:val="auto"/>
                <w:kern w:val="2"/>
                <w:sz w:val="28"/>
                <w:szCs w:val="28"/>
                <w:highlight w:val="none"/>
                <w:lang w:eastAsia="zh-CN"/>
              </w:rPr>
              <w:t>区</w:t>
            </w:r>
            <w:r>
              <w:rPr>
                <w:rFonts w:hint="eastAsia" w:ascii="仿宋_GB2312" w:hAnsi="Times New Roman" w:eastAsia="仿宋_GB2312" w:cs="Times New Roman"/>
                <w:color w:val="auto"/>
                <w:kern w:val="2"/>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区发改委</w:t>
            </w:r>
          </w:p>
          <w:p>
            <w:pPr>
              <w:pStyle w:val="12"/>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区财政局</w:t>
            </w:r>
          </w:p>
          <w:p>
            <w:pPr>
              <w:pStyle w:val="12"/>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区水务局</w:t>
            </w:r>
          </w:p>
          <w:p>
            <w:pPr>
              <w:pStyle w:val="12"/>
              <w:adjustRightInd w:val="0"/>
              <w:snapToGrid w:val="0"/>
              <w:spacing w:before="0" w:beforeAutospacing="0" w:after="0" w:afterAutospacing="0"/>
              <w:jc w:val="center"/>
              <w:rPr>
                <w:rFonts w:hint="default"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Hans" w:bidi="ar-SA"/>
              </w:rPr>
              <w:t>区应急局</w:t>
            </w:r>
          </w:p>
          <w:p>
            <w:pPr>
              <w:pStyle w:val="12"/>
              <w:adjustRightInd w:val="0"/>
              <w:snapToGrid w:val="0"/>
              <w:spacing w:before="0" w:beforeAutospacing="0" w:after="0" w:afterAutospacing="0"/>
              <w:jc w:val="center"/>
              <w:rPr>
                <w:rFonts w:hint="default"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bidi="ar-SA"/>
              </w:rPr>
              <w:t>区园林绿化局</w:t>
            </w:r>
          </w:p>
          <w:p>
            <w:pPr>
              <w:pStyle w:val="12"/>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区农业农村局</w:t>
            </w:r>
          </w:p>
          <w:p>
            <w:pPr>
              <w:pStyle w:val="12"/>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Hans" w:bidi="ar-SA"/>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r>
              <w:rPr>
                <w:rFonts w:hint="default" w:ascii="Times New Roman" w:hAnsi="Times New Roman" w:eastAsia="仿宋_GB2312" w:cs="Times New Roman"/>
                <w:color w:val="auto"/>
                <w:kern w:val="2"/>
                <w:sz w:val="28"/>
                <w:szCs w:val="28"/>
                <w:highlight w:val="none"/>
                <w:lang w:val="en-US" w:eastAsia="zh-Hans" w:bidi="ar-SA"/>
              </w:rPr>
              <w:t xml:space="preserve">           </w:t>
            </w:r>
            <w:r>
              <w:rPr>
                <w:rFonts w:hint="eastAsia" w:ascii="Times New Roman" w:hAnsi="Times New Roman" w:eastAsia="仿宋_GB2312" w:cs="Times New Roman"/>
                <w:color w:val="auto"/>
                <w:kern w:val="2"/>
                <w:sz w:val="28"/>
                <w:szCs w:val="28"/>
                <w:highlight w:val="none"/>
                <w:lang w:val="en-US" w:eastAsia="zh-Hans" w:bidi="ar-SA"/>
              </w:rPr>
              <w:t>区规自分局</w:t>
            </w:r>
          </w:p>
          <w:p>
            <w:pPr>
              <w:pStyle w:val="12"/>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Hans" w:bidi="ar-SA"/>
              </w:rPr>
              <w:t>密云水库管理处</w:t>
            </w:r>
          </w:p>
          <w:p>
            <w:pPr>
              <w:pStyle w:val="12"/>
              <w:adjustRightInd w:val="0"/>
              <w:snapToGrid w:val="0"/>
              <w:spacing w:before="0" w:beforeAutospacing="0" w:after="0" w:afterAutospacing="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密云水库综合</w:t>
            </w:r>
          </w:p>
          <w:p>
            <w:pPr>
              <w:pStyle w:val="12"/>
              <w:adjustRightInd w:val="0"/>
              <w:snapToGrid w:val="0"/>
              <w:spacing w:before="0" w:beforeAutospacing="0" w:after="0" w:afterAutospacing="0"/>
              <w:jc w:val="center"/>
              <w:rPr>
                <w:rFonts w:hint="eastAsia" w:ascii="宋体" w:hAnsi="宋体" w:eastAsia="仿宋_GB2312" w:cs="宋体"/>
                <w:color w:val="auto"/>
                <w:kern w:val="0"/>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bidi="ar-SA"/>
              </w:rPr>
              <w:t>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Calibri" w:hAnsi="Calibri" w:eastAsia="仿宋_GB2312" w:cs="Times New Roman"/>
                <w:color w:val="auto"/>
                <w:kern w:val="2"/>
                <w:sz w:val="28"/>
                <w:szCs w:val="28"/>
                <w:highlight w:val="none"/>
                <w:lang w:val="en-US" w:eastAsia="zh-CN" w:bidi="ar-SA"/>
              </w:rPr>
            </w:pPr>
            <w:r>
              <w:rPr>
                <w:rFonts w:hint="eastAsia" w:ascii="仿宋_GB2312" w:eastAsia="仿宋_GB2312"/>
                <w:color w:val="auto"/>
                <w:sz w:val="28"/>
                <w:szCs w:val="28"/>
                <w:highlight w:val="none"/>
              </w:rPr>
              <w:t>继续实施潮河流域生态环境保护综合规划，开展规划年度评估</w:t>
            </w:r>
            <w:r>
              <w:rPr>
                <w:rFonts w:hint="eastAsia" w:ascii="仿宋_GB2312" w:eastAsia="仿宋_GB2312"/>
                <w:color w:val="auto"/>
                <w:sz w:val="28"/>
                <w:szCs w:val="28"/>
                <w:highlight w:val="none"/>
                <w:lang w:eastAsia="zh-CN"/>
              </w:rPr>
              <w:t>；加快编制实施</w:t>
            </w:r>
            <w:r>
              <w:rPr>
                <w:rFonts w:hint="eastAsia" w:ascii="仿宋_GB2312" w:eastAsia="仿宋_GB2312"/>
                <w:color w:val="auto"/>
                <w:sz w:val="28"/>
                <w:szCs w:val="28"/>
                <w:highlight w:val="none"/>
              </w:rPr>
              <w:t>白河流域生态环境保护规划</w:t>
            </w:r>
            <w:r>
              <w:rPr>
                <w:rFonts w:hint="eastAsia" w:ascii="仿宋_GB2312" w:eastAsia="仿宋_GB2312"/>
                <w:color w:val="auto"/>
                <w:sz w:val="28"/>
                <w:szCs w:val="28"/>
                <w:highlight w:val="none"/>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color w:val="auto"/>
                <w:kern w:val="2"/>
                <w:sz w:val="28"/>
                <w:szCs w:val="28"/>
                <w:highlight w:val="none"/>
                <w:lang w:val="en-US" w:eastAsia="zh-CN" w:bidi="ar-SA"/>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r>
              <w:rPr>
                <w:rFonts w:hint="default" w:ascii="Times New Roman" w:hAnsi="Times New Roman" w:eastAsia="仿宋_GB2312" w:cs="Times New Roman"/>
                <w:color w:val="auto"/>
                <w:kern w:val="2"/>
                <w:sz w:val="28"/>
                <w:szCs w:val="28"/>
                <w:highlight w:val="none"/>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default" w:ascii="Times New Roman" w:hAnsi="Times New Roman" w:eastAsia="仿宋_GB2312" w:cs="Times New Roman"/>
                <w:color w:val="auto"/>
                <w:kern w:val="2"/>
                <w:sz w:val="28"/>
                <w:szCs w:val="28"/>
                <w:highlight w:val="none"/>
                <w:lang w:eastAsia="zh-CN"/>
              </w:rPr>
              <w:t xml:space="preserve">      </w:t>
            </w:r>
            <w:r>
              <w:rPr>
                <w:rFonts w:hint="default" w:ascii="Times New Roman" w:hAnsi="Times New Roman" w:eastAsia="仿宋_GB2312" w:cs="Times New Roman"/>
                <w:color w:val="auto"/>
                <w:kern w:val="2"/>
                <w:sz w:val="28"/>
                <w:szCs w:val="28"/>
                <w:highlight w:val="none"/>
              </w:rPr>
              <w:t xml:space="preserve"> </w:t>
            </w:r>
            <w:r>
              <w:rPr>
                <w:rFonts w:hint="eastAsia" w:ascii="Times New Roman" w:hAnsi="Times New Roman" w:eastAsia="仿宋_GB2312" w:cs="Times New Roman"/>
                <w:color w:val="auto"/>
                <w:kern w:val="2"/>
                <w:sz w:val="28"/>
                <w:szCs w:val="28"/>
                <w:highlight w:val="none"/>
                <w:lang w:val="en-US" w:eastAsia="zh-Hans"/>
              </w:rPr>
              <w:t>区园林绿化局</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Hans"/>
              </w:rPr>
              <w:t>区农业农村局</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Hans"/>
              </w:rPr>
              <w:t>区</w:t>
            </w:r>
            <w:r>
              <w:rPr>
                <w:rFonts w:hint="eastAsia" w:ascii="Times New Roman" w:hAnsi="Times New Roman" w:eastAsia="仿宋_GB2312" w:cs="Times New Roman"/>
                <w:color w:val="auto"/>
                <w:kern w:val="2"/>
                <w:sz w:val="28"/>
                <w:szCs w:val="28"/>
                <w:highlight w:val="none"/>
                <w:lang w:val="en-US" w:eastAsia="zh-CN"/>
              </w:rPr>
              <w:t>农业服务</w:t>
            </w:r>
            <w:r>
              <w:rPr>
                <w:rFonts w:hint="eastAsia" w:ascii="Times New Roman" w:hAnsi="Times New Roman" w:eastAsia="仿宋_GB2312" w:cs="Times New Roman"/>
                <w:color w:val="auto"/>
                <w:kern w:val="2"/>
                <w:sz w:val="28"/>
                <w:szCs w:val="28"/>
                <w:highlight w:val="none"/>
                <w:lang w:val="en-US" w:eastAsia="zh-Hans"/>
              </w:rPr>
              <w:t>中心</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eastAsia" w:ascii="Times New Roman" w:hAnsi="Times New Roman" w:eastAsia="仿宋_GB2312" w:cs="Times New Roman"/>
                <w:color w:val="auto"/>
                <w:kern w:val="2"/>
                <w:sz w:val="28"/>
                <w:szCs w:val="28"/>
                <w:highlight w:val="none"/>
                <w:lang w:val="en-US" w:eastAsia="zh-Hans"/>
              </w:rPr>
              <w:t>区城管委</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default" w:ascii="Times New Roman" w:hAnsi="Times New Roman" w:eastAsia="仿宋_GB2312" w:cs="Times New Roman"/>
                <w:color w:val="auto"/>
                <w:kern w:val="2"/>
                <w:sz w:val="28"/>
                <w:szCs w:val="28"/>
                <w:highlight w:val="none"/>
                <w:lang w:eastAsia="zh-CN"/>
              </w:rPr>
              <w:t xml:space="preserve">      </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Hans"/>
              </w:rPr>
              <w:t>区国资委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val="en-US" w:eastAsia="zh-Hans"/>
              </w:rPr>
              <w:t>区规自分局</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default" w:ascii="Times New Roman" w:hAnsi="Times New Roman" w:eastAsia="仿宋_GB2312" w:cs="Times New Roman"/>
                <w:color w:val="auto"/>
                <w:kern w:val="2"/>
                <w:sz w:val="28"/>
                <w:szCs w:val="28"/>
                <w:highlight w:val="none"/>
                <w:lang w:eastAsia="zh-Hans"/>
              </w:rPr>
              <w:t xml:space="preserve">       </w:t>
            </w:r>
            <w:r>
              <w:rPr>
                <w:rFonts w:hint="eastAsia" w:ascii="Times New Roman" w:hAnsi="Times New Roman" w:eastAsia="仿宋_GB2312" w:cs="Times New Roman"/>
                <w:color w:val="auto"/>
                <w:kern w:val="2"/>
                <w:sz w:val="28"/>
                <w:szCs w:val="28"/>
                <w:highlight w:val="none"/>
                <w:lang w:val="en-US" w:eastAsia="zh-CN"/>
              </w:rPr>
              <w:t xml:space="preserve"> </w:t>
            </w:r>
            <w:r>
              <w:rPr>
                <w:rFonts w:hint="eastAsia" w:ascii="Times New Roman" w:hAnsi="Times New Roman" w:eastAsia="仿宋_GB2312" w:cs="Times New Roman"/>
                <w:color w:val="auto"/>
                <w:kern w:val="2"/>
                <w:sz w:val="28"/>
                <w:szCs w:val="28"/>
                <w:highlight w:val="none"/>
                <w:lang w:val="en-US" w:eastAsia="zh-Hans"/>
              </w:rPr>
              <w:t>密云水库综合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val="en-US" w:eastAsia="zh-Hans"/>
              </w:rPr>
              <w:t>执法大队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rPr>
              <w:t>相关镇</w:t>
            </w:r>
          </w:p>
        </w:tc>
        <w:tc>
          <w:tcPr>
            <w:tcW w:w="234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hint="default" w:eastAsia="仿宋_GB2312"/>
                <w:color w:val="auto"/>
                <w:sz w:val="28"/>
                <w:szCs w:val="28"/>
                <w:highlight w:val="none"/>
                <w:lang w:eastAsia="zh-Hans"/>
              </w:rPr>
            </w:pPr>
            <w:r>
              <w:rPr>
                <w:rFonts w:hint="eastAsia" w:eastAsia="仿宋_GB2312"/>
                <w:color w:val="auto"/>
                <w:sz w:val="28"/>
                <w:szCs w:val="28"/>
                <w:highlight w:val="none"/>
                <w:lang w:val="en-US" w:eastAsia="zh-Hans"/>
              </w:rPr>
              <w:t>区发改委</w:t>
            </w:r>
          </w:p>
          <w:p>
            <w:pPr>
              <w:pStyle w:val="12"/>
              <w:adjustRightInd w:val="0"/>
              <w:snapToGrid w:val="0"/>
              <w:spacing w:before="0" w:beforeAutospacing="0" w:after="0" w:afterAutospacing="0"/>
              <w:jc w:val="center"/>
              <w:rPr>
                <w:rFonts w:hint="default" w:ascii="宋体" w:hAnsi="宋体" w:eastAsia="仿宋_GB2312" w:cs="宋体"/>
                <w:color w:val="auto"/>
                <w:kern w:val="0"/>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Hans"/>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color w:val="auto"/>
                <w:sz w:val="28"/>
                <w:szCs w:val="28"/>
                <w:highlight w:val="none"/>
                <w:lang w:val="en-US" w:eastAsia="zh-CN"/>
              </w:rPr>
              <w:t>3</w:t>
            </w:r>
          </w:p>
        </w:tc>
        <w:tc>
          <w:tcPr>
            <w:tcW w:w="854"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r>
              <w:rPr>
                <w:rFonts w:hint="eastAsia" w:ascii="仿宋_GB2312" w:eastAsia="仿宋_GB2312"/>
                <w:b w:val="0"/>
                <w:bCs w:val="0"/>
                <w:color w:val="auto"/>
                <w:sz w:val="28"/>
                <w:szCs w:val="28"/>
                <w:highlight w:val="none"/>
              </w:rPr>
              <w:t>推进密云水库保护</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Calibri" w:hAnsi="Calibri" w:eastAsia="仿宋_GB2312" w:cs="Times New Roman"/>
                <w:color w:val="auto"/>
                <w:kern w:val="2"/>
                <w:sz w:val="28"/>
                <w:szCs w:val="28"/>
                <w:highlight w:val="none"/>
                <w:lang w:val="en-US" w:eastAsia="zh-CN" w:bidi="ar-SA"/>
              </w:rPr>
            </w:pPr>
            <w:r>
              <w:rPr>
                <w:rFonts w:hint="eastAsia" w:ascii="仿宋_GB2312" w:eastAsia="仿宋_GB2312"/>
                <w:b w:val="0"/>
                <w:bCs w:val="0"/>
                <w:color w:val="auto"/>
                <w:sz w:val="28"/>
                <w:szCs w:val="28"/>
                <w:highlight w:val="none"/>
                <w:lang w:val="en-US" w:eastAsia="zh-Hans"/>
              </w:rPr>
              <w:t>按照潮河流域生态环境保护综合规划</w:t>
            </w:r>
            <w:r>
              <w:rPr>
                <w:rFonts w:hint="eastAsia" w:ascii="仿宋_GB2312" w:eastAsia="仿宋_GB2312"/>
                <w:b w:val="0"/>
                <w:bCs w:val="0"/>
                <w:color w:val="auto"/>
                <w:sz w:val="28"/>
                <w:szCs w:val="28"/>
                <w:highlight w:val="none"/>
                <w:lang w:val="en-US" w:eastAsia="zh-CN"/>
              </w:rPr>
              <w:t>要求</w:t>
            </w:r>
            <w:r>
              <w:rPr>
                <w:rFonts w:hint="eastAsia" w:ascii="仿宋_GB2312" w:eastAsia="仿宋_GB2312"/>
                <w:b w:val="0"/>
                <w:bCs w:val="0"/>
                <w:color w:val="auto"/>
                <w:sz w:val="28"/>
                <w:szCs w:val="28"/>
                <w:highlight w:val="none"/>
                <w:lang w:val="en-US" w:eastAsia="zh-Hans"/>
              </w:rPr>
              <w:t>，开展修复治理，实施古北口镇雾灵溪谷生态修复工程及云冶矿业矿山修复工程。</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ind w:left="-110" w:leftChars="-50" w:right="-110" w:rightChars="-50"/>
              <w:jc w:val="center"/>
              <w:rPr>
                <w:rFonts w:hint="eastAsia" w:ascii="Calibri" w:hAnsi="Calibri" w:eastAsia="仿宋_GB2312" w:cs="Times New Roman"/>
                <w:color w:val="auto"/>
                <w:kern w:val="2"/>
                <w:sz w:val="28"/>
                <w:szCs w:val="28"/>
                <w:highlight w:val="none"/>
                <w:lang w:val="en-US" w:eastAsia="zh-CN" w:bidi="ar-SA"/>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eastAsia="zh-CN"/>
              </w:rPr>
              <w:t>区生态环境局</w:t>
            </w:r>
          </w:p>
          <w:p>
            <w:pPr>
              <w:adjustRightInd w:val="0"/>
              <w:snapToGrid w:val="0"/>
              <w:jc w:val="center"/>
              <w:rPr>
                <w:rFonts w:hint="eastAsia"/>
                <w:color w:val="auto"/>
                <w:sz w:val="28"/>
                <w:szCs w:val="28"/>
                <w:highlight w:val="none"/>
                <w:lang w:val="en-US" w:eastAsia="zh-CN"/>
              </w:rPr>
            </w:pPr>
            <w:r>
              <w:rPr>
                <w:rFonts w:hint="eastAsia" w:eastAsia="仿宋_GB2312"/>
                <w:color w:val="auto"/>
                <w:sz w:val="28"/>
                <w:szCs w:val="28"/>
                <w:highlight w:val="none"/>
                <w:lang w:val="en-US" w:eastAsia="zh-Hans"/>
              </w:rPr>
              <w:t>区规自分局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古北口镇</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冯家峪镇</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仿宋_GB2312" w:cs="宋体"/>
                <w:b w:val="0"/>
                <w:bCs w:val="0"/>
                <w:color w:val="auto"/>
                <w:kern w:val="0"/>
                <w:sz w:val="28"/>
                <w:szCs w:val="28"/>
                <w:highlight w:val="none"/>
                <w:lang w:val="en-US" w:eastAsia="zh-CN" w:bidi="ar-SA"/>
              </w:rPr>
            </w:pPr>
            <w:r>
              <w:rPr>
                <w:rFonts w:hint="eastAsia" w:eastAsia="仿宋_GB2312"/>
                <w:color w:val="auto"/>
                <w:sz w:val="28"/>
                <w:szCs w:val="28"/>
                <w:highlight w:val="none"/>
                <w:lang w:val="en-US" w:eastAsia="zh-Hans"/>
              </w:rPr>
              <w:t>区</w:t>
            </w:r>
            <w:r>
              <w:rPr>
                <w:rFonts w:hint="eastAsia" w:eastAsia="仿宋_GB2312"/>
                <w:color w:val="auto"/>
                <w:sz w:val="28"/>
                <w:szCs w:val="28"/>
                <w:highlight w:val="none"/>
                <w:lang w:val="en-US" w:eastAsia="zh-CN"/>
              </w:rPr>
              <w:t>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57"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Calibri" w:hAnsi="Calibri" w:eastAsia="仿宋_GB2312" w:cs="Times New Roman"/>
                <w:b w:val="0"/>
                <w:bCs w:val="0"/>
                <w:color w:val="auto"/>
                <w:kern w:val="2"/>
                <w:sz w:val="28"/>
                <w:szCs w:val="28"/>
                <w:highlight w:val="none"/>
                <w:lang w:val="en-US" w:eastAsia="zh-CN" w:bidi="ar-SA"/>
              </w:rPr>
            </w:pPr>
            <w:r>
              <w:rPr>
                <w:rFonts w:hint="eastAsia" w:ascii="仿宋_GB2312" w:eastAsia="仿宋_GB2312"/>
                <w:b w:val="0"/>
                <w:bCs w:val="0"/>
                <w:color w:val="auto"/>
                <w:sz w:val="28"/>
                <w:szCs w:val="28"/>
                <w:highlight w:val="none"/>
                <w:lang w:eastAsia="zh-CN"/>
              </w:rPr>
              <w:t>按照市水务局要求，配合</w:t>
            </w:r>
            <w:r>
              <w:rPr>
                <w:rFonts w:hint="eastAsia" w:eastAsia="仿宋_GB2312"/>
                <w:color w:val="auto"/>
                <w:sz w:val="28"/>
                <w:szCs w:val="28"/>
                <w:highlight w:val="none"/>
                <w:lang w:val="en-US" w:eastAsia="zh-CN"/>
              </w:rPr>
              <w:t>开展密云水库及上游流域（京冀区域）总氮溯源解析；加强</w:t>
            </w:r>
            <w:r>
              <w:rPr>
                <w:rFonts w:hint="eastAsia" w:ascii="仿宋_GB2312" w:eastAsia="仿宋_GB2312"/>
                <w:b w:val="0"/>
                <w:bCs w:val="0"/>
                <w:color w:val="auto"/>
                <w:sz w:val="28"/>
                <w:szCs w:val="28"/>
                <w:highlight w:val="none"/>
              </w:rPr>
              <w:t>上下游协作共治，继续实施《京冀密云水库水源保护共同行动方案》</w:t>
            </w:r>
            <w:r>
              <w:rPr>
                <w:rFonts w:hint="eastAsia" w:ascii="仿宋_GB2312" w:eastAsia="仿宋_GB2312"/>
                <w:b w:val="0"/>
                <w:bCs w:val="0"/>
                <w:color w:val="auto"/>
                <w:sz w:val="28"/>
                <w:szCs w:val="28"/>
                <w:highlight w:val="none"/>
                <w:lang w:eastAsia="zh-CN"/>
              </w:rPr>
              <w:t>；实施</w:t>
            </w:r>
            <w:r>
              <w:rPr>
                <w:rFonts w:hint="eastAsia" w:ascii="仿宋_GB2312" w:eastAsia="仿宋_GB2312"/>
                <w:b w:val="0"/>
                <w:bCs w:val="0"/>
                <w:color w:val="auto"/>
                <w:sz w:val="28"/>
                <w:szCs w:val="28"/>
                <w:highlight w:val="none"/>
              </w:rPr>
              <w:t>新一轮密云水库上游潮白河流域水源涵养区横向生态保护补偿协议</w:t>
            </w:r>
            <w:r>
              <w:rPr>
                <w:rFonts w:hint="eastAsia" w:ascii="仿宋_GB2312" w:eastAsia="仿宋_GB2312"/>
                <w:b w:val="0"/>
                <w:bCs w:val="0"/>
                <w:color w:val="auto"/>
                <w:sz w:val="28"/>
                <w:szCs w:val="28"/>
                <w:highlight w:val="none"/>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rPr>
            </w:pPr>
            <w:r>
              <w:rPr>
                <w:rFonts w:hint="eastAsia" w:eastAsia="仿宋_GB2312"/>
                <w:b w:val="0"/>
                <w:bCs w:val="0"/>
                <w:color w:val="auto"/>
                <w:sz w:val="28"/>
                <w:szCs w:val="28"/>
                <w:highlight w:val="none"/>
                <w:lang w:eastAsia="zh-CN"/>
              </w:rPr>
              <w:t>区</w:t>
            </w:r>
            <w:r>
              <w:rPr>
                <w:rFonts w:hint="eastAsia" w:eastAsia="仿宋_GB2312"/>
                <w:b w:val="0"/>
                <w:bCs w:val="0"/>
                <w:color w:val="auto"/>
                <w:sz w:val="28"/>
                <w:szCs w:val="28"/>
                <w:highlight w:val="none"/>
              </w:rPr>
              <w:t>水务局</w:t>
            </w:r>
          </w:p>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b w:val="0"/>
                <w:bCs w:val="0"/>
                <w:color w:val="auto"/>
                <w:sz w:val="28"/>
                <w:szCs w:val="28"/>
                <w:highlight w:val="none"/>
                <w:lang w:val="en-US"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pacing w:val="-20"/>
                <w:sz w:val="28"/>
                <w:szCs w:val="28"/>
                <w:highlight w:val="none"/>
                <w:lang w:eastAsia="zh-CN"/>
              </w:rPr>
            </w:pPr>
            <w:r>
              <w:rPr>
                <w:rFonts w:hint="eastAsia" w:eastAsia="仿宋_GB2312"/>
                <w:b w:val="0"/>
                <w:bCs w:val="0"/>
                <w:color w:val="auto"/>
                <w:sz w:val="28"/>
                <w:szCs w:val="28"/>
                <w:highlight w:val="none"/>
                <w:lang w:eastAsia="zh-CN"/>
              </w:rPr>
              <w:t>区</w:t>
            </w:r>
            <w:r>
              <w:rPr>
                <w:rFonts w:hint="eastAsia" w:eastAsia="仿宋_GB2312"/>
                <w:b w:val="0"/>
                <w:bCs w:val="0"/>
                <w:color w:val="auto"/>
                <w:sz w:val="28"/>
                <w:szCs w:val="28"/>
                <w:highlight w:val="none"/>
              </w:rPr>
              <w:t>水务局</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区生态环境局</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执法大队</w:t>
            </w:r>
          </w:p>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相关镇街（地区）</w:t>
            </w:r>
          </w:p>
          <w:p>
            <w:pPr>
              <w:adjustRightInd w:val="0"/>
              <w:snapToGrid w:val="0"/>
              <w:jc w:val="center"/>
              <w:rPr>
                <w:rFonts w:hint="eastAsia" w:ascii="Calibri" w:hAnsi="Calibri" w:eastAsia="仿宋_GB2312" w:cs="Times New Roman"/>
                <w:b w:val="0"/>
                <w:bCs w:val="0"/>
                <w:color w:val="auto"/>
                <w:kern w:val="2"/>
                <w:sz w:val="28"/>
                <w:szCs w:val="28"/>
                <w:highlight w:val="none"/>
                <w:lang w:val="en-US" w:eastAsia="zh-Hans" w:bidi="ar-SA"/>
              </w:rPr>
            </w:pP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Calibri" w:hAnsi="Calibri"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b w:val="0"/>
                <w:bCs w:val="0"/>
                <w:color w:val="auto"/>
                <w:sz w:val="28"/>
                <w:szCs w:val="28"/>
                <w:highlight w:val="none"/>
                <w:lang w:eastAsia="zh-CN"/>
              </w:rPr>
            </w:pPr>
            <w:r>
              <w:rPr>
                <w:rFonts w:hint="eastAsia" w:ascii="仿宋_GB2312" w:eastAsia="仿宋_GB2312" w:cs="Times New Roman"/>
                <w:b w:val="0"/>
                <w:bCs w:val="0"/>
                <w:color w:val="auto"/>
                <w:sz w:val="28"/>
                <w:szCs w:val="28"/>
                <w:highlight w:val="none"/>
                <w:lang w:val="en-US" w:eastAsia="zh-CN"/>
              </w:rPr>
              <w:t>落实《</w:t>
            </w:r>
            <w:r>
              <w:rPr>
                <w:rFonts w:hint="eastAsia" w:ascii="仿宋_GB2312" w:eastAsia="仿宋_GB2312" w:cs="Times New Roman"/>
                <w:b w:val="0"/>
                <w:bCs w:val="0"/>
                <w:color w:val="auto"/>
                <w:sz w:val="28"/>
                <w:szCs w:val="28"/>
                <w:highlight w:val="none"/>
                <w:lang w:val="en-US" w:eastAsia="zh-Hans"/>
              </w:rPr>
              <w:t>密云区密云水库总氮治理工作方案（2022年-2025年）</w:t>
            </w:r>
            <w:r>
              <w:rPr>
                <w:rFonts w:hint="eastAsia" w:ascii="仿宋_GB2312" w:eastAsia="仿宋_GB2312" w:cs="Times New Roman"/>
                <w:b w:val="0"/>
                <w:bCs w:val="0"/>
                <w:color w:val="auto"/>
                <w:sz w:val="28"/>
                <w:szCs w:val="28"/>
                <w:highlight w:val="none"/>
                <w:lang w:val="en-US" w:eastAsia="zh-CN"/>
              </w:rPr>
              <w:t>》，科学、精准管控密云水库总氮。</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eastAsia="zh-CN"/>
              </w:rPr>
            </w:pPr>
            <w:r>
              <w:rPr>
                <w:rFonts w:hint="eastAsia" w:eastAsia="仿宋_GB2312"/>
                <w:color w:val="auto"/>
                <w:sz w:val="28"/>
                <w:szCs w:val="28"/>
                <w:highlight w:val="none"/>
                <w:lang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Calibri" w:hAnsi="Calibri" w:eastAsia="仿宋_GB2312" w:cs="Times New Roman"/>
                <w:b w:val="0"/>
                <w:bCs w:val="0"/>
                <w:color w:val="auto"/>
                <w:kern w:val="2"/>
                <w:sz w:val="28"/>
                <w:szCs w:val="28"/>
                <w:highlight w:val="none"/>
                <w:lang w:val="en-US" w:eastAsia="zh-CN" w:bidi="ar-SA"/>
              </w:rPr>
            </w:pPr>
            <w:r>
              <w:rPr>
                <w:rFonts w:hint="eastAsia" w:eastAsia="仿宋_GB2312" w:cs="Times New Roman"/>
                <w:b w:val="0"/>
                <w:bCs w:val="0"/>
                <w:color w:val="auto"/>
                <w:kern w:val="2"/>
                <w:sz w:val="28"/>
                <w:szCs w:val="28"/>
                <w:highlight w:val="none"/>
                <w:lang w:val="en-US" w:eastAsia="zh-CN" w:bidi="ar-SA"/>
              </w:rPr>
              <w:t>总氮治理专项工作小组成员单位</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val="0"/>
                <w:bCs w:val="0"/>
                <w:color w:val="auto"/>
                <w:sz w:val="28"/>
                <w:szCs w:val="28"/>
                <w:highlight w:val="none"/>
                <w:lang w:val="en-US" w:eastAsia="zh-CN"/>
              </w:rPr>
            </w:pPr>
            <w:r>
              <w:rPr>
                <w:rFonts w:hint="eastAsia"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9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b w:val="0"/>
                <w:bCs w:val="0"/>
                <w:color w:val="auto"/>
                <w:sz w:val="28"/>
                <w:szCs w:val="28"/>
                <w:highlight w:val="none"/>
                <w:lang w:val="en-US" w:eastAsia="zh-CN"/>
              </w:rPr>
            </w:pPr>
            <w:r>
              <w:rPr>
                <w:rFonts w:hint="eastAsia" w:ascii="Calibri" w:hAnsi="Calibri" w:cs="Times New Roman"/>
                <w:color w:val="auto"/>
                <w:kern w:val="2"/>
                <w:sz w:val="28"/>
                <w:szCs w:val="28"/>
                <w:highlight w:val="none"/>
                <w:lang w:val="en-US" w:eastAsia="zh-CN" w:bidi="ar-SA"/>
              </w:rPr>
              <w:t>组织实施全市最严的</w:t>
            </w:r>
            <w:r>
              <w:rPr>
                <w:rFonts w:hint="eastAsia" w:ascii="Calibri" w:hAnsi="Calibri" w:eastAsia="仿宋_GB2312" w:cs="Times New Roman"/>
                <w:color w:val="auto"/>
                <w:kern w:val="2"/>
                <w:sz w:val="28"/>
                <w:szCs w:val="28"/>
                <w:highlight w:val="none"/>
                <w:lang w:val="en-US" w:eastAsia="zh-CN" w:bidi="ar-SA"/>
              </w:rPr>
              <w:t>水环境跨界断面考核</w:t>
            </w:r>
            <w:r>
              <w:rPr>
                <w:rFonts w:hint="eastAsia" w:ascii="Calibri" w:hAnsi="Calibri" w:cs="Times New Roman"/>
                <w:color w:val="auto"/>
                <w:kern w:val="2"/>
                <w:sz w:val="28"/>
                <w:szCs w:val="28"/>
                <w:highlight w:val="none"/>
                <w:lang w:val="en-US" w:eastAsia="zh-CN" w:bidi="ar-SA"/>
              </w:rPr>
              <w:t>补偿办法</w:t>
            </w:r>
            <w:r>
              <w:rPr>
                <w:rFonts w:hint="eastAsia" w:eastAsia="仿宋_GB2312" w:cs="Times New Roman"/>
                <w:color w:val="auto"/>
                <w:kern w:val="2"/>
                <w:sz w:val="28"/>
                <w:szCs w:val="28"/>
                <w:highlight w:val="none"/>
                <w:lang w:val="en-US" w:eastAsia="zh-CN" w:bidi="ar-SA"/>
              </w:rPr>
              <w:t>，结合实际情况及时修订</w:t>
            </w:r>
            <w:r>
              <w:rPr>
                <w:rFonts w:hint="eastAsia" w:cs="Times New Roman"/>
                <w:color w:val="auto"/>
                <w:kern w:val="2"/>
                <w:sz w:val="28"/>
                <w:szCs w:val="28"/>
                <w:highlight w:val="none"/>
                <w:lang w:val="en-US" w:eastAsia="zh-CN" w:bidi="ar-SA"/>
              </w:rPr>
              <w:t>考核</w:t>
            </w:r>
            <w:r>
              <w:rPr>
                <w:rFonts w:hint="eastAsia" w:eastAsia="仿宋_GB2312" w:cs="Times New Roman"/>
                <w:color w:val="auto"/>
                <w:kern w:val="2"/>
                <w:sz w:val="28"/>
                <w:szCs w:val="28"/>
                <w:highlight w:val="none"/>
                <w:lang w:val="en-US" w:eastAsia="zh-CN" w:bidi="ar-SA"/>
              </w:rPr>
              <w:t>办法，促进水环境质量改善。</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长期</w:t>
            </w:r>
          </w:p>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lang w:eastAsia="zh-CN"/>
              </w:rPr>
              <w:t>区生态环境局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相关镇街（地区）中关村密云园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b w:val="0"/>
                <w:bCs w:val="0"/>
                <w:color w:val="auto"/>
                <w:sz w:val="28"/>
                <w:szCs w:val="28"/>
                <w:highlight w:val="none"/>
                <w:lang w:val="en-US" w:eastAsia="zh-CN"/>
              </w:rPr>
            </w:pPr>
            <w:r>
              <w:rPr>
                <w:rFonts w:hint="eastAsia" w:ascii="仿宋_GB2312" w:eastAsia="仿宋_GB2312" w:cs="Times New Roman"/>
                <w:b w:val="0"/>
                <w:bCs w:val="0"/>
                <w:color w:val="auto"/>
                <w:sz w:val="28"/>
                <w:szCs w:val="28"/>
                <w:highlight w:val="none"/>
                <w:lang w:val="en-US" w:eastAsia="zh-CN"/>
              </w:rPr>
              <w:t>为保障密云水库水源地水质和减少富营养化风险，开展</w:t>
            </w:r>
            <w:r>
              <w:rPr>
                <w:rFonts w:hint="eastAsia" w:cs="Times New Roman"/>
                <w:b w:val="0"/>
                <w:bCs w:val="0"/>
                <w:color w:val="auto"/>
                <w:sz w:val="28"/>
                <w:szCs w:val="28"/>
                <w:highlight w:val="none"/>
                <w:lang w:val="en-US" w:eastAsia="zh-CN"/>
              </w:rPr>
              <w:t>饮用水源地农业面源风险调查及评估。</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s="Times New Roman"/>
                <w:b w:val="0"/>
                <w:bCs w:val="0"/>
                <w:color w:val="auto"/>
                <w:kern w:val="2"/>
                <w:sz w:val="28"/>
                <w:szCs w:val="28"/>
                <w:highlight w:val="none"/>
                <w:lang w:val="en-US" w:eastAsia="zh-CN" w:bidi="ar-SA"/>
              </w:rPr>
            </w:pPr>
            <w:r>
              <w:rPr>
                <w:rFonts w:hint="eastAsia" w:eastAsia="仿宋_GB2312"/>
                <w:color w:val="auto"/>
                <w:sz w:val="28"/>
                <w:szCs w:val="28"/>
                <w:highlight w:val="none"/>
                <w:lang w:eastAsia="zh-CN"/>
              </w:rPr>
              <w:t>区生态环境局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pStyle w:val="5"/>
              <w:keepNext w:val="0"/>
              <w:keepLines w:val="0"/>
              <w:pageBreakBefore w:val="0"/>
              <w:widowControl w:val="0"/>
              <w:kinsoku/>
              <w:wordWrap/>
              <w:overflowPunct/>
              <w:topLinePunct w:val="0"/>
              <w:bidi w:val="0"/>
              <w:spacing w:line="360" w:lineRule="exact"/>
              <w:jc w:val="center"/>
              <w:textAlignment w:val="auto"/>
              <w:rPr>
                <w:rFonts w:hint="eastAsia" w:ascii="仿宋_GB2312" w:hAnsi="仿宋_GB2312" w:eastAsia="仿宋_GB2312" w:cs="仿宋_GB2312"/>
                <w:color w:val="auto"/>
                <w:sz w:val="28"/>
                <w:szCs w:val="28"/>
                <w:highlight w:val="none"/>
                <w:lang w:val="en-US" w:eastAsia="zh-CN" w:bidi="ar-SA"/>
              </w:rPr>
            </w:pPr>
            <w:r>
              <w:rPr>
                <w:rFonts w:hint="eastAsia" w:ascii="仿宋_GB2312" w:hAnsi="仿宋_GB2312" w:eastAsia="仿宋_GB2312" w:cs="仿宋_GB2312"/>
                <w:color w:val="auto"/>
                <w:sz w:val="28"/>
                <w:szCs w:val="28"/>
                <w:highlight w:val="none"/>
                <w:lang w:val="en-US" w:eastAsia="zh-CN" w:bidi="ar-SA"/>
              </w:rPr>
              <w:t>区农服中心</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密云水库综合</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执法大队</w:t>
            </w:r>
          </w:p>
          <w:p>
            <w:pPr>
              <w:keepNext w:val="0"/>
              <w:keepLines w:val="0"/>
              <w:pageBreakBefore w:val="0"/>
              <w:widowControl w:val="0"/>
              <w:kinsoku/>
              <w:wordWrap/>
              <w:overflowPunct/>
              <w:topLinePunct w:val="0"/>
              <w:bidi w:val="0"/>
              <w:adjustRightInd w:val="0"/>
              <w:snapToGrid w:val="0"/>
              <w:spacing w:line="360" w:lineRule="exact"/>
              <w:jc w:val="center"/>
              <w:textAlignment w:val="auto"/>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4</w:t>
            </w:r>
          </w:p>
          <w:p>
            <w:pPr>
              <w:adjustRightInd w:val="0"/>
              <w:snapToGrid w:val="0"/>
              <w:jc w:val="center"/>
              <w:rPr>
                <w:rFonts w:hint="eastAsia" w:eastAsia="仿宋_GB2312"/>
                <w:color w:val="auto"/>
                <w:sz w:val="28"/>
                <w:szCs w:val="28"/>
                <w:highlight w:val="none"/>
                <w:lang w:val="en-US" w:eastAsia="zh-CN"/>
              </w:rPr>
            </w:pPr>
          </w:p>
          <w:p>
            <w:pPr>
              <w:pStyle w:val="10"/>
              <w:jc w:val="center"/>
              <w:rPr>
                <w:color w:val="auto"/>
                <w:sz w:val="28"/>
                <w:szCs w:val="28"/>
                <w:highlight w:val="none"/>
              </w:rPr>
            </w:pPr>
          </w:p>
          <w:p>
            <w:pPr>
              <w:jc w:val="center"/>
              <w:rPr>
                <w:color w:val="auto"/>
                <w:sz w:val="28"/>
                <w:szCs w:val="28"/>
                <w:highlight w:val="none"/>
              </w:rPr>
            </w:pP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加强饮用水保护</w:t>
            </w: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eastAsia="仿宋_GB2312"/>
                <w:b w:val="0"/>
                <w:bCs w:val="0"/>
                <w:color w:val="auto"/>
                <w:sz w:val="28"/>
                <w:szCs w:val="28"/>
                <w:highlight w:val="none"/>
                <w:lang w:val="en-US" w:eastAsia="zh-Hans"/>
              </w:rPr>
            </w:pPr>
            <w:r>
              <w:rPr>
                <w:rFonts w:hint="eastAsia" w:ascii="仿宋_GB2312" w:eastAsia="仿宋_GB2312"/>
                <w:b w:val="0"/>
                <w:bCs w:val="0"/>
                <w:color w:val="auto"/>
                <w:sz w:val="28"/>
                <w:szCs w:val="28"/>
                <w:highlight w:val="none"/>
                <w:lang w:val="en-US" w:eastAsia="zh-Hans"/>
              </w:rPr>
              <w:t>完善重要饮用水水源地名录，9月底前制定出台饮用水水源地名录，动态更新水源地取水量数据并与生态环境部门共享。</w:t>
            </w:r>
          </w:p>
        </w:tc>
        <w:tc>
          <w:tcPr>
            <w:tcW w:w="1200"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b w:val="0"/>
                <w:bCs w:val="0"/>
                <w:color w:val="auto"/>
                <w:sz w:val="28"/>
                <w:szCs w:val="28"/>
                <w:highlight w:val="none"/>
                <w:lang w:val="en-US" w:eastAsia="zh-Hans"/>
              </w:rPr>
            </w:pPr>
            <w:r>
              <w:rPr>
                <w:rFonts w:hint="eastAsia" w:ascii="仿宋_GB2312" w:eastAsia="仿宋_GB2312"/>
                <w:b w:val="0"/>
                <w:bCs w:val="0"/>
                <w:color w:val="auto"/>
                <w:sz w:val="28"/>
                <w:szCs w:val="28"/>
                <w:highlight w:val="none"/>
                <w:lang w:val="en-US" w:eastAsia="zh-Hans"/>
              </w:rPr>
              <w:t>长期</w:t>
            </w:r>
          </w:p>
          <w:p>
            <w:pPr>
              <w:adjustRightInd w:val="0"/>
              <w:snapToGrid w:val="0"/>
              <w:jc w:val="center"/>
              <w:rPr>
                <w:rFonts w:eastAsia="仿宋_GB2312"/>
                <w:color w:val="auto"/>
                <w:sz w:val="28"/>
                <w:szCs w:val="28"/>
                <w:highlight w:val="none"/>
              </w:rPr>
            </w:pPr>
            <w:r>
              <w:rPr>
                <w:rFonts w:hint="eastAsia" w:ascii="仿宋_GB2312" w:eastAsia="仿宋_GB2312"/>
                <w:b w:val="0"/>
                <w:bCs w:val="0"/>
                <w:color w:val="auto"/>
                <w:sz w:val="28"/>
                <w:szCs w:val="28"/>
                <w:highlight w:val="none"/>
                <w:lang w:val="en-US" w:eastAsia="zh-Hans"/>
              </w:rPr>
              <w:t>实施</w:t>
            </w:r>
          </w:p>
        </w:tc>
        <w:tc>
          <w:tcPr>
            <w:tcW w:w="2053"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tc>
        <w:tc>
          <w:tcPr>
            <w:tcW w:w="2386" w:type="dxa"/>
            <w:gridSpan w:val="3"/>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区生态环境局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s="Times New Roman"/>
                <w:b w:val="0"/>
                <w:bCs w:val="0"/>
                <w:color w:val="auto"/>
                <w:kern w:val="2"/>
                <w:sz w:val="28"/>
                <w:szCs w:val="28"/>
                <w:highlight w:val="none"/>
                <w:lang w:val="en-US" w:eastAsia="zh-CN" w:bidi="ar-SA"/>
              </w:rPr>
              <w:t>区卫健委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b w:val="0"/>
                <w:bCs w:val="0"/>
                <w:color w:val="auto"/>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p>
            <w:pPr>
              <w:pStyle w:val="10"/>
              <w:jc w:val="center"/>
              <w:rPr>
                <w:rFonts w:hint="eastAsia"/>
                <w:color w:val="auto"/>
                <w:sz w:val="28"/>
                <w:szCs w:val="28"/>
                <w:highlight w:val="none"/>
                <w:lang w:val="en-US" w:eastAsia="zh-CN"/>
              </w:rPr>
            </w:pPr>
          </w:p>
        </w:tc>
        <w:tc>
          <w:tcPr>
            <w:tcW w:w="234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eastAsia="仿宋_GB2312" w:cs="Times New Roman"/>
                <w:b w:val="0"/>
                <w:bCs w:val="0"/>
                <w:color w:val="auto"/>
                <w:kern w:val="2"/>
                <w:sz w:val="28"/>
                <w:szCs w:val="28"/>
                <w:highlight w:val="none"/>
                <w:lang w:val="en-US" w:eastAsia="zh-CN" w:bidi="ar-SA"/>
              </w:rPr>
            </w:pPr>
            <w:r>
              <w:rPr>
                <w:rFonts w:hint="eastAsia" w:eastAsia="仿宋_GB2312" w:cs="Times New Roman"/>
                <w:b w:val="0"/>
                <w:bCs w:val="0"/>
                <w:color w:val="auto"/>
                <w:kern w:val="2"/>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08"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default" w:ascii="仿宋_GB2312" w:eastAsia="仿宋_GB2312"/>
                <w:b w:val="0"/>
                <w:bCs w:val="0"/>
                <w:color w:val="auto"/>
                <w:sz w:val="28"/>
                <w:szCs w:val="28"/>
                <w:highlight w:val="none"/>
                <w:lang w:val="en-US" w:eastAsia="zh-Hans"/>
              </w:rPr>
            </w:pPr>
            <w:r>
              <w:rPr>
                <w:rFonts w:hint="eastAsia" w:ascii="仿宋_GB2312" w:eastAsia="仿宋_GB2312"/>
                <w:b w:val="0"/>
                <w:bCs w:val="0"/>
                <w:color w:val="auto"/>
                <w:sz w:val="28"/>
                <w:szCs w:val="28"/>
                <w:highlight w:val="none"/>
                <w:lang w:val="en-US" w:eastAsia="zh-Hans"/>
              </w:rPr>
              <w:t>加强饮用水供水厂站水源水和出厂水水质检测；推进对水质不达标的饮用水水源，采取水源置换、集中供水、深度处理等措施确保饮用水安全。</w:t>
            </w:r>
          </w:p>
        </w:tc>
        <w:tc>
          <w:tcPr>
            <w:tcW w:w="1200" w:type="dxa"/>
            <w:vMerge w:val="continue"/>
            <w:tcBorders>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p>
        </w:tc>
        <w:tc>
          <w:tcPr>
            <w:tcW w:w="2053" w:type="dxa"/>
            <w:vMerge w:val="continue"/>
            <w:tcBorders>
              <w:left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p>
        </w:tc>
        <w:tc>
          <w:tcPr>
            <w:tcW w:w="2386" w:type="dxa"/>
            <w:gridSpan w:val="3"/>
            <w:vMerge w:val="continue"/>
            <w:tcBorders>
              <w:left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eastAsia="zh-CN"/>
              </w:rPr>
            </w:pPr>
          </w:p>
        </w:tc>
        <w:tc>
          <w:tcPr>
            <w:tcW w:w="2341" w:type="dxa"/>
            <w:vMerge w:val="continue"/>
            <w:tcBorders>
              <w:left w:val="single" w:color="auto" w:sz="4" w:space="0"/>
              <w:right w:val="single" w:color="auto" w:sz="4" w:space="0"/>
            </w:tcBorders>
            <w:vAlign w:val="center"/>
          </w:tcPr>
          <w:p>
            <w:pPr>
              <w:adjustRightInd w:val="0"/>
              <w:snapToGrid w:val="0"/>
              <w:jc w:val="center"/>
              <w:rPr>
                <w:rFonts w:hint="default" w:eastAsia="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3"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仿宋_GB2312" w:eastAsia="仿宋_GB2312"/>
                <w:b w:val="0"/>
                <w:bCs w:val="0"/>
                <w:color w:val="auto"/>
                <w:sz w:val="28"/>
                <w:szCs w:val="28"/>
                <w:highlight w:val="none"/>
                <w:lang w:val="en-US" w:eastAsia="zh-Hans"/>
              </w:rPr>
            </w:pPr>
            <w:r>
              <w:rPr>
                <w:rFonts w:hint="eastAsia" w:ascii="仿宋_GB2312" w:eastAsia="仿宋_GB2312"/>
                <w:b w:val="0"/>
                <w:bCs w:val="0"/>
                <w:color w:val="auto"/>
                <w:sz w:val="28"/>
                <w:szCs w:val="28"/>
                <w:highlight w:val="none"/>
                <w:lang w:val="en-US" w:eastAsia="zh-Hans"/>
              </w:rPr>
              <w:t>加强农村水源保护巡查，确保水源井周边30米范围内无污水、无垃圾、无厕所、无养殖粪污等污染源。</w:t>
            </w:r>
          </w:p>
        </w:tc>
        <w:tc>
          <w:tcPr>
            <w:tcW w:w="1200"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p>
        </w:tc>
        <w:tc>
          <w:tcPr>
            <w:tcW w:w="205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p>
        </w:tc>
        <w:tc>
          <w:tcPr>
            <w:tcW w:w="2386" w:type="dxa"/>
            <w:gridSpan w:val="3"/>
            <w:vMerge w:val="continue"/>
            <w:tcBorders>
              <w:left w:val="single" w:color="auto" w:sz="4" w:space="0"/>
              <w:bottom w:val="single" w:color="auto" w:sz="4" w:space="0"/>
              <w:right w:val="single" w:color="auto" w:sz="4" w:space="0"/>
            </w:tcBorders>
            <w:vAlign w:val="center"/>
          </w:tcPr>
          <w:p>
            <w:pPr>
              <w:pStyle w:val="10"/>
              <w:jc w:val="center"/>
              <w:rPr>
                <w:rFonts w:hint="eastAsia"/>
                <w:color w:val="auto"/>
                <w:sz w:val="28"/>
                <w:szCs w:val="28"/>
                <w:highlight w:val="none"/>
                <w:lang w:val="en-US" w:eastAsia="zh-CN"/>
              </w:rPr>
            </w:pPr>
          </w:p>
        </w:tc>
        <w:tc>
          <w:tcPr>
            <w:tcW w:w="234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5"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eastAsia="仿宋_GB2312"/>
                <w:b w:val="0"/>
                <w:bCs w:val="0"/>
                <w:color w:val="auto"/>
                <w:sz w:val="28"/>
                <w:szCs w:val="28"/>
                <w:highlight w:val="none"/>
                <w:lang w:val="en-US" w:eastAsia="zh-Hans"/>
              </w:rPr>
            </w:pPr>
            <w:r>
              <w:rPr>
                <w:rFonts w:hint="eastAsia" w:ascii="宋体" w:hAnsi="宋体" w:eastAsia="仿宋_GB2312" w:cs="宋体"/>
                <w:color w:val="auto"/>
                <w:kern w:val="0"/>
                <w:sz w:val="28"/>
                <w:szCs w:val="28"/>
                <w:highlight w:val="none"/>
                <w:lang w:val="en-US" w:eastAsia="zh-CN" w:bidi="ar-SA"/>
              </w:rPr>
              <w:t>结合饮用水水源地名录及区域规划，统筹实施辖区集中式饮用水水源保护区划定和优化调整。推进乡镇级水源地保护区补充划定工作。</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Times New Roman" w:hAnsi="Times New Roman" w:eastAsia="仿宋_GB2312" w:cs="Times New Roman"/>
                <w:color w:val="auto"/>
                <w:kern w:val="2"/>
                <w:sz w:val="28"/>
                <w:szCs w:val="28"/>
                <w:highlight w:val="none"/>
                <w:lang w:val="en-US" w:eastAsia="zh-Hans"/>
              </w:rPr>
            </w:pPr>
            <w:r>
              <w:rPr>
                <w:rFonts w:hint="eastAsia" w:ascii="Times New Roman" w:hAnsi="Times New Roman" w:eastAsia="仿宋_GB2312" w:cs="Times New Roman"/>
                <w:color w:val="auto"/>
                <w:kern w:val="2"/>
                <w:sz w:val="28"/>
                <w:szCs w:val="28"/>
                <w:highlight w:val="none"/>
                <w:lang w:val="en-US" w:eastAsia="zh-CN"/>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区水务局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b w:val="0"/>
                <w:bCs w:val="0"/>
                <w:color w:val="auto"/>
                <w:sz w:val="28"/>
                <w:szCs w:val="28"/>
                <w:highlight w:val="none"/>
                <w:lang w:val="en-US" w:eastAsia="zh-CN"/>
              </w:rPr>
            </w:pPr>
            <w:r>
              <w:rPr>
                <w:rFonts w:hint="eastAsia" w:eastAsia="仿宋_GB2312"/>
                <w:b w:val="0"/>
                <w:bCs w:val="0"/>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68" w:hRule="atLeast"/>
          <w:jc w:val="center"/>
        </w:trPr>
        <w:tc>
          <w:tcPr>
            <w:tcW w:w="629" w:type="dxa"/>
            <w:vMerge w:val="continue"/>
            <w:tcBorders>
              <w:left w:val="single" w:color="auto" w:sz="4" w:space="0"/>
              <w:right w:val="single" w:color="auto" w:sz="4" w:space="0"/>
            </w:tcBorders>
            <w:vAlign w:val="center"/>
          </w:tcPr>
          <w:p>
            <w:pPr>
              <w:jc w:val="center"/>
              <w:rPr>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仿宋_GB2312" w:eastAsia="仿宋_GB2312"/>
                <w:color w:val="auto"/>
                <w:sz w:val="28"/>
                <w:szCs w:val="28"/>
                <w:highlight w:val="none"/>
              </w:rPr>
            </w:pPr>
            <w:r>
              <w:rPr>
                <w:rFonts w:hint="eastAsia" w:ascii="宋体" w:hAnsi="宋体" w:eastAsia="仿宋_GB2312" w:cs="宋体"/>
                <w:color w:val="auto"/>
                <w:kern w:val="0"/>
                <w:sz w:val="28"/>
                <w:szCs w:val="28"/>
                <w:highlight w:val="none"/>
                <w:lang w:val="en-US" w:eastAsia="zh-CN" w:bidi="ar-SA"/>
              </w:rPr>
              <w:t>开展全区饮用水水源地环境状况年度调查评估，按国家要求完成系统填报，年底前提交评估报告，实现水源地</w:t>
            </w:r>
            <w:r>
              <w:rPr>
                <w:rFonts w:hint="default" w:ascii="宋体" w:hAnsi="宋体" w:eastAsia="仿宋_GB2312" w:cs="宋体"/>
                <w:color w:val="auto"/>
                <w:kern w:val="0"/>
                <w:sz w:val="28"/>
                <w:szCs w:val="28"/>
                <w:highlight w:val="none"/>
                <w:lang w:val="en-US" w:eastAsia="zh-CN" w:bidi="ar-SA"/>
              </w:rPr>
              <w:t>“</w:t>
            </w:r>
            <w:r>
              <w:rPr>
                <w:rFonts w:hint="eastAsia" w:ascii="宋体" w:hAnsi="宋体" w:eastAsia="仿宋_GB2312" w:cs="宋体"/>
                <w:color w:val="auto"/>
                <w:kern w:val="0"/>
                <w:sz w:val="28"/>
                <w:szCs w:val="28"/>
                <w:highlight w:val="none"/>
                <w:lang w:val="en-US" w:eastAsia="zh-CN" w:bidi="ar-SA"/>
              </w:rPr>
              <w:t>一源一档</w:t>
            </w:r>
            <w:r>
              <w:rPr>
                <w:rFonts w:hint="default" w:ascii="宋体" w:hAnsi="宋体" w:eastAsia="仿宋_GB2312" w:cs="宋体"/>
                <w:color w:val="auto"/>
                <w:kern w:val="0"/>
                <w:sz w:val="28"/>
                <w:szCs w:val="28"/>
                <w:highlight w:val="none"/>
                <w:lang w:val="en-US" w:eastAsia="zh-CN" w:bidi="ar-SA"/>
              </w:rPr>
              <w:t>”</w:t>
            </w:r>
            <w:r>
              <w:rPr>
                <w:rFonts w:hint="eastAsia" w:ascii="宋体" w:hAnsi="宋体" w:eastAsia="仿宋_GB2312" w:cs="宋体"/>
                <w:color w:val="auto"/>
                <w:kern w:val="0"/>
                <w:sz w:val="28"/>
                <w:szCs w:val="28"/>
                <w:highlight w:val="none"/>
                <w:lang w:val="en-US" w:eastAsia="zh-CN" w:bidi="ar-SA"/>
              </w:rPr>
              <w:t>动态管理。</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长期</w:t>
            </w:r>
          </w:p>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实施</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p>
            <w:pPr>
              <w:keepNext w:val="0"/>
              <w:keepLines w:val="0"/>
              <w:pageBreakBefore w:val="0"/>
              <w:kinsoku/>
              <w:wordWrap/>
              <w:overflowPunct/>
              <w:topLinePunct w:val="0"/>
              <w:bidi w:val="0"/>
              <w:adjustRightInd w:val="0"/>
              <w:snapToGrid w:val="0"/>
              <w:spacing w:line="320" w:lineRule="exact"/>
              <w:jc w:val="center"/>
              <w:rPr>
                <w:rFonts w:hint="default"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水务局</w:t>
            </w:r>
          </w:p>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密云水库综合</w:t>
            </w:r>
          </w:p>
          <w:p>
            <w:pPr>
              <w:keepNext w:val="0"/>
              <w:keepLines w:val="0"/>
              <w:pageBreakBefore w:val="0"/>
              <w:kinsoku/>
              <w:wordWrap/>
              <w:overflowPunct/>
              <w:topLinePunct w:val="0"/>
              <w:bidi w:val="0"/>
              <w:adjustRightInd w:val="0"/>
              <w:snapToGrid w:val="0"/>
              <w:spacing w:line="320" w:lineRule="exact"/>
              <w:jc w:val="center"/>
              <w:rPr>
                <w:rFonts w:hint="default" w:eastAsia="仿宋_GB2312"/>
                <w:color w:val="auto"/>
                <w:sz w:val="28"/>
                <w:szCs w:val="28"/>
                <w:highlight w:val="none"/>
                <w:lang w:eastAsia="zh-Hans"/>
              </w:rPr>
            </w:pPr>
            <w:r>
              <w:rPr>
                <w:rFonts w:hint="eastAsia" w:eastAsia="仿宋_GB2312"/>
                <w:color w:val="auto"/>
                <w:sz w:val="28"/>
                <w:szCs w:val="28"/>
                <w:highlight w:val="none"/>
                <w:lang w:val="en-US" w:eastAsia="zh-Hans"/>
              </w:rPr>
              <w:t>执法大队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Hans"/>
              </w:rPr>
              <w:t>相关镇</w:t>
            </w:r>
            <w:r>
              <w:rPr>
                <w:rFonts w:hint="eastAsia" w:eastAsia="仿宋_GB2312"/>
                <w:color w:val="auto"/>
                <w:sz w:val="28"/>
                <w:szCs w:val="28"/>
                <w:highlight w:val="none"/>
                <w:lang w:val="en-US" w:eastAsia="zh-CN"/>
              </w:rPr>
              <w:t>街（地区）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宋体" w:hAnsi="宋体" w:eastAsia="仿宋_GB2312" w:cs="宋体"/>
                <w:color w:val="auto"/>
                <w:kern w:val="0"/>
                <w:sz w:val="28"/>
                <w:szCs w:val="28"/>
                <w:highlight w:val="none"/>
                <w:lang w:val="en-US" w:eastAsia="zh-CN" w:bidi="ar-SA"/>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58" w:hRule="atLeast"/>
          <w:jc w:val="center"/>
        </w:trPr>
        <w:tc>
          <w:tcPr>
            <w:tcW w:w="629" w:type="dxa"/>
            <w:vMerge w:val="restart"/>
            <w:tcBorders>
              <w:left w:val="single" w:color="auto" w:sz="4" w:space="0"/>
              <w:right w:val="single" w:color="auto" w:sz="4" w:space="0"/>
            </w:tcBorders>
            <w:vAlign w:val="center"/>
          </w:tcPr>
          <w:p>
            <w:pPr>
              <w:jc w:val="center"/>
              <w:rPr>
                <w:rFonts w:hint="eastAsia" w:eastAsia="仿宋_GB2312"/>
                <w:color w:val="auto"/>
                <w:sz w:val="28"/>
                <w:szCs w:val="28"/>
                <w:highlight w:val="none"/>
                <w:lang w:val="en-US" w:eastAsia="zh-CN"/>
              </w:rPr>
            </w:pPr>
            <w:r>
              <w:rPr>
                <w:rFonts w:hint="eastAsia"/>
                <w:color w:val="auto"/>
                <w:sz w:val="28"/>
                <w:szCs w:val="28"/>
                <w:highlight w:val="none"/>
                <w:lang w:val="en-US" w:eastAsia="zh-CN"/>
              </w:rPr>
              <w:t>4</w:t>
            </w:r>
          </w:p>
        </w:tc>
        <w:tc>
          <w:tcPr>
            <w:tcW w:w="854" w:type="dxa"/>
            <w:vMerge w:val="restart"/>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加强饮用水保护</w:t>
            </w:r>
          </w:p>
        </w:tc>
        <w:tc>
          <w:tcPr>
            <w:tcW w:w="593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bidi w:val="0"/>
              <w:adjustRightInd w:val="0"/>
              <w:snapToGrid w:val="0"/>
              <w:spacing w:before="0" w:beforeAutospacing="0" w:after="0" w:afterAutospacing="0" w:line="320" w:lineRule="exact"/>
              <w:jc w:val="left"/>
              <w:rPr>
                <w:rFonts w:hint="eastAsia" w:ascii="仿宋_GB2312" w:hAnsi="Times New Roman" w:eastAsia="仿宋_GB2312" w:cs="Times New Roman"/>
                <w:color w:val="auto"/>
                <w:kern w:val="2"/>
                <w:sz w:val="28"/>
                <w:szCs w:val="28"/>
                <w:highlight w:val="none"/>
              </w:rPr>
            </w:pPr>
            <w:r>
              <w:rPr>
                <w:rFonts w:hint="eastAsia" w:eastAsia="仿宋_GB2312"/>
                <w:color w:val="auto"/>
                <w:sz w:val="28"/>
                <w:szCs w:val="28"/>
                <w:highlight w:val="none"/>
                <w:lang w:val="en-US" w:eastAsia="zh-Hans"/>
              </w:rPr>
              <w:t>开展水源地专项执法和日常监管,加强</w:t>
            </w:r>
            <w:r>
              <w:rPr>
                <w:rFonts w:hint="default" w:eastAsia="仿宋_GB2312"/>
                <w:color w:val="auto"/>
                <w:sz w:val="28"/>
                <w:szCs w:val="28"/>
                <w:highlight w:val="none"/>
                <w:lang w:val="en-US" w:eastAsia="zh-Hans"/>
              </w:rPr>
              <w:t>“</w:t>
            </w:r>
            <w:r>
              <w:rPr>
                <w:rFonts w:hint="eastAsia" w:eastAsia="仿宋_GB2312"/>
                <w:color w:val="auto"/>
                <w:sz w:val="28"/>
                <w:szCs w:val="28"/>
                <w:highlight w:val="none"/>
                <w:lang w:val="en-US" w:eastAsia="zh-Hans"/>
              </w:rPr>
              <w:t>三监联动</w:t>
            </w:r>
            <w:r>
              <w:rPr>
                <w:rFonts w:hint="default" w:eastAsia="仿宋_GB2312"/>
                <w:color w:val="auto"/>
                <w:sz w:val="28"/>
                <w:szCs w:val="28"/>
                <w:highlight w:val="none"/>
                <w:lang w:val="en-US" w:eastAsia="zh-Hans"/>
              </w:rPr>
              <w:t>”</w:t>
            </w:r>
            <w:r>
              <w:rPr>
                <w:rFonts w:hint="eastAsia" w:eastAsia="仿宋_GB2312"/>
                <w:color w:val="auto"/>
                <w:sz w:val="28"/>
                <w:szCs w:val="28"/>
                <w:highlight w:val="none"/>
                <w:lang w:val="en-US" w:eastAsia="zh-Hans"/>
              </w:rPr>
              <w:t>，动态清理整治水源保护区内影响水源安全的排污口、垃圾堆放等环境问题，因地制宜完善水源保护区（水源井）封闭隔离设施和标志标识牌。</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kinsoku/>
              <w:wordWrap/>
              <w:overflowPunct/>
              <w:topLinePunct w:val="0"/>
              <w:bidi w:val="0"/>
              <w:adjustRightInd w:val="0"/>
              <w:snapToGrid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rPr>
              <w:t>实施</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Hans"/>
              </w:rPr>
              <w:t>区生态环境局</w:t>
            </w: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区生态环境局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密云水库综合</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执法大队</w:t>
            </w:r>
          </w:p>
          <w:p>
            <w:pPr>
              <w:keepNext w:val="0"/>
              <w:keepLines w:val="0"/>
              <w:pageBreakBefore w:val="0"/>
              <w:kinsoku/>
              <w:wordWrap/>
              <w:overflowPunct/>
              <w:topLinePunct w:val="0"/>
              <w:bidi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相关镇街（地区）</w:t>
            </w:r>
          </w:p>
          <w:p>
            <w:pPr>
              <w:keepNext w:val="0"/>
              <w:keepLines w:val="0"/>
              <w:pageBreakBefore w:val="0"/>
              <w:kinsoku/>
              <w:wordWrap/>
              <w:overflowPunct/>
              <w:topLinePunct w:val="0"/>
              <w:bidi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定期向社会公开城镇集中式生活饮用水安全状况信息；推进农村集中式生活饮用水安全状况信息公开，年底前实现乡镇级生活饮用水安全状况定期公开。</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长期</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区生态环境局</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区水务局</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区卫健委</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eastAsia="仿宋_GB2312" w:cs="Times New Roman"/>
                <w:color w:val="auto"/>
                <w:kern w:val="2"/>
                <w:sz w:val="28"/>
                <w:szCs w:val="28"/>
                <w:highlight w:val="none"/>
                <w:lang w:val="en-US" w:eastAsia="zh-CN"/>
              </w:rPr>
              <w:t>相关镇街（地区）</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Hans"/>
              </w:rPr>
            </w:pPr>
            <w:r>
              <w:rPr>
                <w:rFonts w:hint="eastAsia" w:eastAsia="仿宋_GB2312" w:cs="Times New Roman"/>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Hans"/>
              </w:rPr>
            </w:pPr>
            <w:r>
              <w:rPr>
                <w:rFonts w:hint="default"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04"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color w:val="auto"/>
                <w:sz w:val="28"/>
                <w:szCs w:val="28"/>
                <w:highlight w:val="none"/>
              </w:rPr>
            </w:pPr>
            <w:r>
              <w:rPr>
                <w:rFonts w:hint="eastAsia" w:ascii="仿宋_GB2312" w:eastAsia="仿宋_GB2312"/>
                <w:color w:val="auto"/>
                <w:sz w:val="28"/>
                <w:szCs w:val="28"/>
                <w:highlight w:val="none"/>
                <w:lang w:val="en-US" w:eastAsia="zh-CN"/>
              </w:rPr>
              <w:t>5</w:t>
            </w:r>
          </w:p>
          <w:p>
            <w:pPr>
              <w:pStyle w:val="10"/>
              <w:jc w:val="center"/>
              <w:rPr>
                <w:color w:val="auto"/>
                <w:sz w:val="28"/>
                <w:szCs w:val="28"/>
                <w:highlight w:val="none"/>
              </w:rPr>
            </w:pPr>
          </w:p>
        </w:tc>
        <w:tc>
          <w:tcPr>
            <w:tcW w:w="854" w:type="dxa"/>
            <w:vMerge w:val="restart"/>
            <w:tcBorders>
              <w:left w:val="single" w:color="auto" w:sz="4" w:space="0"/>
              <w:right w:val="single" w:color="auto" w:sz="4" w:space="0"/>
            </w:tcBorders>
            <w:vAlign w:val="center"/>
          </w:tcPr>
          <w:p>
            <w:pPr>
              <w:adjustRightInd w:val="0"/>
              <w:snapToGrid w:val="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加强地下水保护</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Times New Roman" w:hAnsi="Times New Roman" w:eastAsia="仿宋_GB2312" w:cs="Times New Roman"/>
                <w:color w:val="auto"/>
                <w:kern w:val="2"/>
                <w:sz w:val="28"/>
                <w:szCs w:val="28"/>
                <w:highlight w:val="none"/>
                <w:lang w:val="en-US" w:eastAsia="zh-CN"/>
              </w:rPr>
            </w:pPr>
            <w:r>
              <w:rPr>
                <w:rFonts w:hint="eastAsia" w:ascii="仿宋_GB2312" w:hAnsi="Times New Roman" w:eastAsia="仿宋_GB2312" w:cs="Times New Roman"/>
                <w:color w:val="auto"/>
                <w:kern w:val="2"/>
                <w:sz w:val="28"/>
                <w:szCs w:val="28"/>
                <w:highlight w:val="none"/>
                <w:lang w:val="en-US" w:eastAsia="zh-Hans" w:bidi="ar-SA"/>
              </w:rPr>
              <w:t>落实辖区地下水水质保持方案，确保地下水质保持稳定。对辖区地下水污染风险监控点开展丰、枯水期监测。</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长期</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ascii="仿宋_GB2312" w:hAnsi="宋体" w:eastAsia="仿宋_GB2312" w:cs="仿宋_GB2312"/>
                <w:color w:val="auto"/>
                <w:kern w:val="0"/>
                <w:sz w:val="28"/>
                <w:szCs w:val="28"/>
                <w:highlight w:val="none"/>
                <w:lang w:bidi="ar"/>
              </w:rPr>
              <w:t>实施</w:t>
            </w:r>
          </w:p>
        </w:tc>
        <w:tc>
          <w:tcPr>
            <w:tcW w:w="205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s="Times New Roman"/>
                <w:color w:val="auto"/>
                <w:sz w:val="28"/>
                <w:szCs w:val="28"/>
                <w:highlight w:val="none"/>
                <w:lang w:val="en-US" w:eastAsia="zh-CN"/>
              </w:rPr>
            </w:pPr>
            <w:r>
              <w:rPr>
                <w:rFonts w:hint="eastAsia" w:eastAsia="仿宋_GB2312"/>
                <w:color w:val="auto"/>
                <w:sz w:val="28"/>
                <w:szCs w:val="28"/>
                <w:highlight w:val="none"/>
                <w:lang w:val="en-US" w:eastAsia="zh-Hans"/>
              </w:rPr>
              <w:t>区生态环境局</w:t>
            </w:r>
          </w:p>
        </w:tc>
        <w:tc>
          <w:tcPr>
            <w:tcW w:w="2386" w:type="dxa"/>
            <w:gridSpan w:val="3"/>
            <w:tcBorders>
              <w:top w:val="single" w:color="auto" w:sz="4" w:space="0"/>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区生态环境局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Times New Roman"/>
                <w:color w:val="auto"/>
                <w:kern w:val="2"/>
                <w:sz w:val="28"/>
                <w:szCs w:val="28"/>
                <w:highlight w:val="none"/>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pStyle w:val="12"/>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eastAsia" w:eastAsia="仿宋_GB2312"/>
                <w:color w:val="auto"/>
                <w:sz w:val="28"/>
                <w:szCs w:val="28"/>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6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ascii="仿宋_GB2312" w:hAnsi="Times New Roman" w:eastAsia="仿宋_GB2312" w:cs="Times New Roman"/>
                <w:color w:val="auto"/>
                <w:kern w:val="2"/>
                <w:sz w:val="28"/>
                <w:szCs w:val="28"/>
                <w:highlight w:val="none"/>
                <w:lang w:val="en-US" w:eastAsia="zh-Hans" w:bidi="ar-SA"/>
              </w:rPr>
              <w:t>推进地下水超采治理，</w:t>
            </w:r>
            <w:r>
              <w:rPr>
                <w:rFonts w:hint="eastAsia" w:ascii="仿宋_GB2312" w:hAnsi="Times New Roman" w:eastAsia="仿宋_GB2312" w:cs="Times New Roman"/>
                <w:color w:val="auto"/>
                <w:kern w:val="2"/>
                <w:sz w:val="28"/>
                <w:szCs w:val="28"/>
                <w:highlight w:val="none"/>
                <w:lang w:val="en-US" w:eastAsia="zh-CN" w:bidi="ar-SA"/>
              </w:rPr>
              <w:t>配合</w:t>
            </w:r>
            <w:r>
              <w:rPr>
                <w:rFonts w:hint="eastAsia" w:ascii="仿宋_GB2312" w:hAnsi="Times New Roman" w:eastAsia="仿宋_GB2312" w:cs="Times New Roman"/>
                <w:color w:val="auto"/>
                <w:kern w:val="2"/>
                <w:sz w:val="28"/>
                <w:szCs w:val="28"/>
                <w:highlight w:val="none"/>
                <w:lang w:val="en-US" w:eastAsia="zh-Hans" w:bidi="ar-SA"/>
              </w:rPr>
              <w:t>制定北京市新三年地下水超采治理行动方案，促进北京市地下水涵养和保护。</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20" w:lineRule="exact"/>
              <w:jc w:val="center"/>
              <w:textAlignment w:val="center"/>
              <w:rPr>
                <w:rFonts w:hint="eastAsia" w:eastAsia="仿宋_GB2312" w:cs="Times New Roman"/>
                <w:color w:val="auto"/>
                <w:sz w:val="28"/>
                <w:szCs w:val="28"/>
                <w:highlight w:val="none"/>
                <w:lang w:val="en-US" w:eastAsia="zh-CN"/>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p>
        </w:tc>
        <w:tc>
          <w:tcPr>
            <w:tcW w:w="2386" w:type="dxa"/>
            <w:gridSpan w:val="3"/>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Times New Roman"/>
                <w:color w:val="auto"/>
                <w:kern w:val="2"/>
                <w:sz w:val="28"/>
                <w:szCs w:val="28"/>
                <w:highlight w:val="none"/>
              </w:rPr>
            </w:pPr>
            <w:r>
              <w:rPr>
                <w:rFonts w:hint="eastAsia" w:ascii="Times New Roman" w:hAnsi="Times New Roman" w:eastAsia="仿宋_GB2312" w:cs="Times New Roman"/>
                <w:color w:val="auto"/>
                <w:kern w:val="2"/>
                <w:sz w:val="28"/>
                <w:szCs w:val="28"/>
                <w:highlight w:val="none"/>
                <w:lang w:eastAsia="zh-CN"/>
              </w:rPr>
              <w:t>区</w:t>
            </w:r>
            <w:r>
              <w:rPr>
                <w:rFonts w:hint="eastAsia" w:ascii="Times New Roman" w:hAnsi="Times New Roman" w:eastAsia="仿宋_GB2312" w:cs="Times New Roman"/>
                <w:color w:val="auto"/>
                <w:kern w:val="2"/>
                <w:sz w:val="28"/>
                <w:szCs w:val="28"/>
                <w:highlight w:val="none"/>
              </w:rPr>
              <w:t>水务局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cs="Times New Roman"/>
                <w:color w:val="auto"/>
                <w:kern w:val="2"/>
                <w:sz w:val="28"/>
                <w:szCs w:val="28"/>
                <w:highlight w:val="none"/>
                <w:lang w:val="en-US" w:eastAsia="zh-CN"/>
              </w:rPr>
            </w:pPr>
            <w:r>
              <w:rPr>
                <w:rFonts w:hint="eastAsia" w:ascii="Times New Roman" w:hAnsi="Times New Roman" w:cs="Times New Roman"/>
                <w:color w:val="auto"/>
                <w:kern w:val="2"/>
                <w:sz w:val="28"/>
                <w:szCs w:val="28"/>
                <w:highlight w:val="none"/>
                <w:lang w:val="en-US" w:eastAsia="zh-CN"/>
              </w:rPr>
              <w:t>区园林绿化局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Times New Roman" w:hAnsi="Times New Roman" w:eastAsia="仿宋_GB2312" w:cs="Times New Roman"/>
                <w:color w:val="auto"/>
                <w:kern w:val="2"/>
                <w:sz w:val="28"/>
                <w:szCs w:val="28"/>
                <w:highlight w:val="none"/>
                <w:lang w:val="en-US" w:eastAsia="zh-CN"/>
              </w:rPr>
            </w:pPr>
            <w:r>
              <w:rPr>
                <w:rFonts w:hint="eastAsia" w:ascii="Times New Roman" w:hAnsi="Times New Roman" w:cs="Times New Roman"/>
                <w:color w:val="auto"/>
                <w:kern w:val="2"/>
                <w:sz w:val="28"/>
                <w:szCs w:val="28"/>
                <w:highlight w:val="none"/>
                <w:lang w:val="en-US" w:eastAsia="zh-CN"/>
              </w:rPr>
              <w:t>区农业农村局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color w:val="auto"/>
                <w:sz w:val="28"/>
                <w:szCs w:val="28"/>
                <w:highlight w:val="none"/>
                <w:lang w:val="en-US" w:eastAsia="zh-CN"/>
              </w:rPr>
              <w:t>各</w:t>
            </w:r>
            <w:r>
              <w:rPr>
                <w:rFonts w:hint="eastAsia" w:eastAsia="仿宋_GB2312"/>
                <w:color w:val="auto"/>
                <w:sz w:val="28"/>
                <w:szCs w:val="28"/>
                <w:highlight w:val="none"/>
                <w:lang w:val="en-US" w:eastAsia="zh-CN"/>
              </w:rPr>
              <w:t>镇街（地区）</w:t>
            </w:r>
          </w:p>
          <w:p>
            <w:pPr>
              <w:keepNext w:val="0"/>
              <w:keepLines w:val="0"/>
              <w:pageBreakBefore w:val="0"/>
              <w:widowControl/>
              <w:kinsoku/>
              <w:wordWrap/>
              <w:overflowPunct/>
              <w:topLinePunct w:val="0"/>
              <w:bidi w:val="0"/>
              <w:spacing w:line="320" w:lineRule="exact"/>
              <w:jc w:val="center"/>
              <w:textAlignment w:val="center"/>
              <w:rPr>
                <w:rFonts w:hint="eastAsia" w:ascii="仿宋_GB2312" w:hAnsi="宋体" w:eastAsia="仿宋_GB2312" w:cs="仿宋_GB2312"/>
                <w:color w:val="auto"/>
                <w:kern w:val="0"/>
                <w:sz w:val="28"/>
                <w:szCs w:val="28"/>
                <w:highlight w:val="none"/>
                <w:lang w:eastAsia="zh-CN" w:bidi="ar"/>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eastAsia="zh-CN"/>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atLeast"/>
          <w:jc w:val="center"/>
        </w:trPr>
        <w:tc>
          <w:tcPr>
            <w:tcW w:w="629" w:type="dxa"/>
            <w:vMerge w:val="continue"/>
            <w:tcBorders>
              <w:left w:val="single" w:color="auto" w:sz="4" w:space="0"/>
              <w:right w:val="single" w:color="auto" w:sz="4" w:space="0"/>
            </w:tcBorders>
            <w:vAlign w:val="center"/>
          </w:tcPr>
          <w:p>
            <w:pPr>
              <w:pStyle w:val="10"/>
              <w:jc w:val="center"/>
              <w:rPr>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left"/>
              <w:rPr>
                <w:rFonts w:hint="eastAsia" w:ascii="Times New Roman" w:hAnsi="Times New Roman" w:eastAsia="仿宋_GB2312" w:cs="Times New Roman"/>
                <w:color w:val="auto"/>
                <w:kern w:val="2"/>
                <w:sz w:val="28"/>
                <w:szCs w:val="28"/>
                <w:highlight w:val="none"/>
                <w:lang w:val="en-US" w:eastAsia="zh-CN"/>
              </w:rPr>
            </w:pPr>
            <w:r>
              <w:rPr>
                <w:rFonts w:hint="eastAsia" w:ascii="仿宋_GB2312" w:eastAsia="仿宋_GB2312"/>
                <w:color w:val="auto"/>
                <w:sz w:val="28"/>
                <w:szCs w:val="28"/>
                <w:highlight w:val="none"/>
              </w:rPr>
              <w:t>定期开展地下水环境质量监测和监督性监测。</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kinsoku/>
              <w:wordWrap/>
              <w:overflowPunct/>
              <w:topLinePunct w:val="0"/>
              <w:bidi w:val="0"/>
              <w:adjustRightInd w:val="0"/>
              <w:snapToGrid w:val="0"/>
              <w:spacing w:line="320" w:lineRule="exact"/>
              <w:jc w:val="center"/>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olor w:val="auto"/>
                <w:sz w:val="28"/>
                <w:szCs w:val="28"/>
                <w:highlight w:val="none"/>
              </w:rPr>
              <w:t>实施</w:t>
            </w:r>
          </w:p>
        </w:tc>
        <w:tc>
          <w:tcPr>
            <w:tcW w:w="2053" w:type="dxa"/>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s="Times New Roman"/>
                <w:color w:val="auto"/>
                <w:sz w:val="28"/>
                <w:szCs w:val="28"/>
                <w:highlight w:val="none"/>
                <w:lang w:val="en-US" w:eastAsia="zh-CN"/>
              </w:rPr>
            </w:pPr>
            <w:r>
              <w:rPr>
                <w:rFonts w:hint="eastAsia" w:eastAsia="仿宋_GB2312"/>
                <w:color w:val="auto"/>
                <w:sz w:val="28"/>
                <w:szCs w:val="28"/>
                <w:highlight w:val="none"/>
                <w:lang w:val="en-US" w:eastAsia="zh-Hans"/>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pStyle w:val="12"/>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ascii="Times New Roman" w:hAnsi="Times New Roman" w:eastAsia="仿宋_GB2312" w:cs="Times New Roman"/>
                <w:color w:val="auto"/>
                <w:kern w:val="2"/>
                <w:sz w:val="28"/>
                <w:szCs w:val="28"/>
                <w:highlight w:val="none"/>
                <w:lang w:eastAsia="zh-CN"/>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pStyle w:val="12"/>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25" w:hRule="atLeast"/>
          <w:jc w:val="center"/>
        </w:trPr>
        <w:tc>
          <w:tcPr>
            <w:tcW w:w="629" w:type="dxa"/>
            <w:vMerge w:val="continue"/>
            <w:tcBorders>
              <w:left w:val="single" w:color="auto" w:sz="4" w:space="0"/>
              <w:right w:val="single" w:color="auto" w:sz="4" w:space="0"/>
            </w:tcBorders>
            <w:vAlign w:val="center"/>
          </w:tcPr>
          <w:p>
            <w:pPr>
              <w:pStyle w:val="10"/>
              <w:jc w:val="center"/>
              <w:rPr>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ascii="仿宋_GB2312" w:hAnsi="Times New Roman" w:eastAsia="仿宋_GB2312" w:cs="Times New Roman"/>
                <w:color w:val="auto"/>
                <w:kern w:val="2"/>
                <w:sz w:val="28"/>
                <w:szCs w:val="28"/>
                <w:highlight w:val="none"/>
                <w:lang w:val="en-US" w:eastAsia="zh-Hans" w:bidi="ar-SA"/>
              </w:rPr>
              <w:t>建立地下水污染风险源分类分级方法，完成</w:t>
            </w:r>
            <w:r>
              <w:rPr>
                <w:rFonts w:hint="eastAsia" w:ascii="仿宋_GB2312" w:hAnsi="Times New Roman" w:eastAsia="仿宋_GB2312" w:cs="Times New Roman"/>
                <w:color w:val="auto"/>
                <w:kern w:val="2"/>
                <w:sz w:val="28"/>
                <w:szCs w:val="28"/>
                <w:highlight w:val="none"/>
                <w:lang w:val="en-US" w:eastAsia="zh-CN" w:bidi="ar-SA"/>
              </w:rPr>
              <w:t>市级下达的</w:t>
            </w:r>
            <w:r>
              <w:rPr>
                <w:rFonts w:hint="eastAsia" w:ascii="仿宋_GB2312" w:hAnsi="Times New Roman" w:eastAsia="仿宋_GB2312" w:cs="Times New Roman"/>
                <w:color w:val="auto"/>
                <w:kern w:val="2"/>
                <w:sz w:val="28"/>
                <w:szCs w:val="28"/>
                <w:highlight w:val="none"/>
                <w:lang w:val="en-US" w:eastAsia="zh-Hans" w:bidi="ar-SA"/>
              </w:rPr>
              <w:t>地下水风险源信息调查</w:t>
            </w:r>
            <w:r>
              <w:rPr>
                <w:rFonts w:hint="eastAsia" w:ascii="仿宋_GB2312" w:hAnsi="Times New Roman" w:eastAsia="仿宋_GB2312" w:cs="Times New Roman"/>
                <w:color w:val="auto"/>
                <w:kern w:val="2"/>
                <w:sz w:val="28"/>
                <w:szCs w:val="28"/>
                <w:highlight w:val="none"/>
                <w:lang w:val="en-US" w:eastAsia="zh-CN" w:bidi="ar-SA"/>
              </w:rPr>
              <w:t>任务</w:t>
            </w:r>
            <w:r>
              <w:rPr>
                <w:rFonts w:hint="eastAsia" w:ascii="仿宋_GB2312" w:hAnsi="Times New Roman" w:eastAsia="仿宋_GB2312" w:cs="Times New Roman"/>
                <w:color w:val="auto"/>
                <w:kern w:val="2"/>
                <w:sz w:val="28"/>
                <w:szCs w:val="28"/>
                <w:highlight w:val="none"/>
                <w:lang w:val="en-US" w:eastAsia="zh-Hans" w:bidi="ar-SA"/>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Times New Roman" w:hAnsi="Times New Roman" w:eastAsia="仿宋_GB2312" w:cs="Times New Roman"/>
                <w:color w:val="auto"/>
                <w:kern w:val="2"/>
                <w:sz w:val="28"/>
                <w:szCs w:val="28"/>
                <w:highlight w:val="none"/>
                <w:lang w:val="en-US" w:eastAsia="zh-CN"/>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pStyle w:val="12"/>
              <w:keepNext w:val="0"/>
              <w:keepLines w:val="0"/>
              <w:pageBreakBefore w:val="0"/>
              <w:kinsoku/>
              <w:wordWrap/>
              <w:overflowPunct/>
              <w:topLinePunct w:val="0"/>
              <w:bidi w:val="0"/>
              <w:adjustRightInd w:val="0"/>
              <w:snapToGrid w:val="0"/>
              <w:spacing w:before="0" w:beforeAutospacing="0" w:after="0" w:afterAutospacing="0" w:line="320" w:lineRule="exact"/>
              <w:jc w:val="center"/>
              <w:rPr>
                <w:rFonts w:hint="eastAsia" w:eastAsia="仿宋_GB2312" w:cs="Times New Roman"/>
                <w:color w:val="auto"/>
                <w:sz w:val="28"/>
                <w:szCs w:val="28"/>
                <w:highlight w:val="none"/>
                <w:lang w:val="en-US" w:eastAsia="zh-CN"/>
              </w:rPr>
            </w:pPr>
            <w:r>
              <w:rPr>
                <w:rFonts w:hint="eastAsia" w:eastAsia="仿宋_GB2312"/>
                <w:color w:val="auto"/>
                <w:sz w:val="28"/>
                <w:szCs w:val="28"/>
                <w:highlight w:val="none"/>
                <w:lang w:val="en-US" w:eastAsia="zh-Hans"/>
              </w:rPr>
              <w:t>区生态环境局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color w:val="auto"/>
                <w:sz w:val="28"/>
                <w:szCs w:val="28"/>
                <w:highlight w:val="none"/>
                <w:lang w:val="en-US" w:eastAsia="zh-CN"/>
              </w:rPr>
              <w:t>各</w:t>
            </w:r>
            <w:r>
              <w:rPr>
                <w:rFonts w:hint="eastAsia" w:eastAsia="仿宋_GB2312"/>
                <w:color w:val="auto"/>
                <w:sz w:val="28"/>
                <w:szCs w:val="28"/>
                <w:highlight w:val="none"/>
                <w:lang w:val="en-US" w:eastAsia="zh-CN"/>
              </w:rPr>
              <w:t>镇街（地区）</w:t>
            </w:r>
          </w:p>
          <w:p>
            <w:pPr>
              <w:pStyle w:val="12"/>
              <w:adjustRightInd w:val="0"/>
              <w:snapToGrid w:val="0"/>
              <w:spacing w:before="0" w:beforeAutospacing="0" w:after="0" w:afterAutospacing="0"/>
              <w:jc w:val="center"/>
              <w:rPr>
                <w:rFonts w:hint="default" w:eastAsia="仿宋_GB2312"/>
                <w:color w:val="auto"/>
                <w:sz w:val="28"/>
                <w:szCs w:val="28"/>
                <w:highlight w:val="none"/>
                <w:lang w:eastAsia="zh-CN"/>
              </w:rPr>
            </w:pPr>
            <w:r>
              <w:rPr>
                <w:rFonts w:hint="eastAsia" w:eastAsia="仿宋_GB2312"/>
                <w:color w:val="auto"/>
                <w:sz w:val="28"/>
                <w:szCs w:val="28"/>
                <w:highlight w:val="none"/>
                <w:lang w:val="en-US"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6</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left"/>
              <w:rPr>
                <w:rFonts w:ascii="仿宋_GB2312" w:eastAsia="仿宋_GB2312"/>
                <w:color w:val="auto"/>
                <w:sz w:val="28"/>
                <w:szCs w:val="28"/>
                <w:highlight w:val="none"/>
              </w:rPr>
            </w:pPr>
            <w:r>
              <w:rPr>
                <w:rFonts w:hint="eastAsia" w:ascii="仿宋_GB2312" w:eastAsia="仿宋_GB2312"/>
                <w:color w:val="auto"/>
                <w:sz w:val="28"/>
                <w:szCs w:val="28"/>
                <w:highlight w:val="none"/>
              </w:rPr>
              <w:t>创建节水型社会</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b w:val="0"/>
                <w:bCs w:val="0"/>
                <w:color w:val="auto"/>
                <w:sz w:val="28"/>
                <w:szCs w:val="28"/>
                <w:highlight w:val="none"/>
              </w:rPr>
            </w:pPr>
            <w:r>
              <w:rPr>
                <w:rFonts w:hint="eastAsia" w:ascii="仿宋_GB2312" w:eastAsia="仿宋_GB2312"/>
                <w:color w:val="auto"/>
                <w:sz w:val="28"/>
                <w:szCs w:val="28"/>
                <w:highlight w:val="none"/>
                <w:lang w:eastAsia="zh-CN"/>
              </w:rPr>
              <w:t>持续推进节水型社会建设</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全区生产生活用水总量</w:t>
            </w:r>
            <w:r>
              <w:rPr>
                <w:rFonts w:hint="eastAsia"/>
                <w:color w:val="auto"/>
                <w:sz w:val="28"/>
                <w:szCs w:val="28"/>
                <w:highlight w:val="none"/>
                <w:lang w:eastAsia="zh-CN"/>
              </w:rPr>
              <w:t>、</w:t>
            </w:r>
            <w:r>
              <w:rPr>
                <w:rFonts w:hint="eastAsia" w:ascii="仿宋_GB2312" w:eastAsia="仿宋_GB2312"/>
                <w:color w:val="auto"/>
                <w:sz w:val="28"/>
                <w:szCs w:val="28"/>
                <w:highlight w:val="none"/>
              </w:rPr>
              <w:t>万元</w:t>
            </w:r>
            <w:r>
              <w:rPr>
                <w:rFonts w:hint="eastAsia" w:ascii="仿宋_GB2312" w:eastAsia="仿宋_GB2312"/>
                <w:color w:val="auto"/>
                <w:sz w:val="28"/>
                <w:szCs w:val="28"/>
                <w:highlight w:val="none"/>
                <w:lang w:val="en-US" w:eastAsia="zh-CN"/>
              </w:rPr>
              <w:t>GDP</w:t>
            </w:r>
            <w:r>
              <w:rPr>
                <w:rFonts w:hint="eastAsia" w:ascii="仿宋_GB2312" w:eastAsia="仿宋_GB2312"/>
                <w:color w:val="auto"/>
                <w:sz w:val="28"/>
                <w:szCs w:val="28"/>
                <w:highlight w:val="none"/>
              </w:rPr>
              <w:t>用水量</w:t>
            </w:r>
            <w:r>
              <w:rPr>
                <w:rFonts w:hint="eastAsia" w:ascii="仿宋_GB2312" w:eastAsia="仿宋_GB2312"/>
                <w:color w:val="auto"/>
                <w:sz w:val="28"/>
                <w:szCs w:val="28"/>
                <w:highlight w:val="none"/>
                <w:lang w:eastAsia="zh-CN"/>
              </w:rPr>
              <w:t>比</w:t>
            </w:r>
            <w:r>
              <w:rPr>
                <w:rFonts w:hint="eastAsia" w:ascii="仿宋_GB2312" w:eastAsia="仿宋_GB2312"/>
                <w:color w:val="auto"/>
                <w:sz w:val="28"/>
                <w:szCs w:val="28"/>
                <w:highlight w:val="none"/>
              </w:rPr>
              <w:t>20</w:t>
            </w:r>
            <w:r>
              <w:rPr>
                <w:rFonts w:hint="eastAsia" w:ascii="仿宋_GB2312" w:eastAsia="仿宋_GB2312"/>
                <w:color w:val="auto"/>
                <w:sz w:val="28"/>
                <w:szCs w:val="28"/>
                <w:highlight w:val="none"/>
                <w:lang w:val="en-US" w:eastAsia="zh-CN"/>
              </w:rPr>
              <w:t>22</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eastAsia="zh-CN"/>
              </w:rPr>
              <w:t>下降</w:t>
            </w:r>
            <w:r>
              <w:rPr>
                <w:rFonts w:hint="eastAsia"/>
                <w:b w:val="0"/>
                <w:bCs w:val="0"/>
                <w:color w:val="auto"/>
                <w:sz w:val="28"/>
                <w:szCs w:val="28"/>
                <w:highlight w:val="none"/>
                <w:lang w:val="en-US" w:eastAsia="zh-CN"/>
              </w:rPr>
              <w:t>率完成市级下达的任务指标</w:t>
            </w:r>
            <w:r>
              <w:rPr>
                <w:rFonts w:hint="eastAsia" w:ascii="仿宋_GB2312" w:eastAsia="仿宋_GB2312"/>
                <w:b w:val="0"/>
                <w:bCs w:val="0"/>
                <w:color w:val="auto"/>
                <w:sz w:val="28"/>
                <w:szCs w:val="28"/>
                <w:highlight w:val="none"/>
              </w:rPr>
              <w:t>。</w:t>
            </w:r>
          </w:p>
          <w:p>
            <w:pPr>
              <w:adjustRightInd w:val="0"/>
              <w:snapToGrid w:val="0"/>
              <w:jc w:val="left"/>
              <w:rPr>
                <w:rFonts w:ascii="仿宋_GB2312" w:eastAsia="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按照《潮河流域生态环境保护综合规划（2019-2025年）》要求，潮河流域7个镇用水总量控制在2700万立方米。</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水务局</w:t>
            </w:r>
          </w:p>
        </w:tc>
        <w:tc>
          <w:tcPr>
            <w:tcW w:w="2386" w:type="dxa"/>
            <w:gridSpan w:val="3"/>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各镇街（地区）</w:t>
            </w:r>
          </w:p>
          <w:p>
            <w:pPr>
              <w:adjustRightInd w:val="0"/>
              <w:snapToGrid w:val="0"/>
              <w:jc w:val="center"/>
              <w:rPr>
                <w:rFonts w:hint="eastAsia"/>
                <w:color w:val="auto"/>
                <w:sz w:val="28"/>
                <w:szCs w:val="28"/>
                <w:highlight w:val="none"/>
                <w:lang w:eastAsia="zh-CN"/>
              </w:rPr>
            </w:pPr>
            <w:r>
              <w:rPr>
                <w:rFonts w:hint="eastAsia" w:eastAsia="仿宋_GB2312"/>
                <w:color w:val="auto"/>
                <w:sz w:val="28"/>
                <w:szCs w:val="28"/>
                <w:highlight w:val="none"/>
                <w:lang w:val="en-US" w:eastAsia="zh-CN"/>
              </w:rPr>
              <w:t>中关村密云园</w:t>
            </w:r>
          </w:p>
        </w:tc>
        <w:tc>
          <w:tcPr>
            <w:tcW w:w="2341"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lang w:val="en-US" w:eastAsia="zh-CN"/>
              </w:rPr>
            </w:pPr>
            <w:r>
              <w:rPr>
                <w:rFonts w:hint="eastAsia" w:ascii="仿宋_GB2312" w:eastAsia="仿宋_GB2312" w:cs="Times New Roman"/>
                <w:color w:val="auto"/>
                <w:sz w:val="28"/>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82"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进一步加强用水总量管控，提高用水效率。结合</w:t>
            </w:r>
            <w:r>
              <w:rPr>
                <w:rFonts w:hint="eastAsia" w:ascii="仿宋_GB2312" w:eastAsia="仿宋_GB2312" w:cs="Times New Roman"/>
                <w:color w:val="auto"/>
                <w:sz w:val="28"/>
                <w:szCs w:val="28"/>
                <w:highlight w:val="none"/>
                <w:lang w:eastAsia="zh-CN"/>
              </w:rPr>
              <w:t>全</w:t>
            </w:r>
            <w:r>
              <w:rPr>
                <w:rFonts w:hint="eastAsia" w:ascii="仿宋_GB2312" w:eastAsia="仿宋_GB2312" w:cs="Times New Roman"/>
                <w:color w:val="auto"/>
                <w:sz w:val="28"/>
                <w:szCs w:val="28"/>
                <w:highlight w:val="none"/>
              </w:rPr>
              <w:t>区用水实际情况，将用水总量</w:t>
            </w:r>
            <w:r>
              <w:rPr>
                <w:rFonts w:hint="eastAsia" w:ascii="仿宋_GB2312" w:eastAsia="仿宋_GB2312" w:cs="Times New Roman"/>
                <w:color w:val="auto"/>
                <w:sz w:val="28"/>
                <w:szCs w:val="28"/>
                <w:highlight w:val="none"/>
                <w:lang w:eastAsia="zh-CN"/>
              </w:rPr>
              <w:t>控制要求</w:t>
            </w:r>
            <w:r>
              <w:rPr>
                <w:rFonts w:hint="eastAsia" w:ascii="仿宋_GB2312" w:eastAsia="仿宋_GB2312" w:cs="Times New Roman"/>
                <w:color w:val="auto"/>
                <w:sz w:val="28"/>
                <w:szCs w:val="28"/>
                <w:highlight w:val="none"/>
              </w:rPr>
              <w:t>进一步分解下达至</w:t>
            </w:r>
            <w:r>
              <w:rPr>
                <w:rFonts w:hint="eastAsia" w:ascii="仿宋_GB2312" w:eastAsia="仿宋_GB2312" w:cs="Times New Roman"/>
                <w:color w:val="auto"/>
                <w:sz w:val="28"/>
                <w:szCs w:val="28"/>
                <w:highlight w:val="none"/>
                <w:lang w:eastAsia="zh-CN"/>
              </w:rPr>
              <w:t>镇街（地区）</w:t>
            </w:r>
            <w:r>
              <w:rPr>
                <w:rFonts w:hint="eastAsia" w:ascii="仿宋_GB2312" w:eastAsia="仿宋_GB2312" w:cs="Times New Roman"/>
                <w:color w:val="auto"/>
                <w:sz w:val="28"/>
                <w:szCs w:val="28"/>
                <w:highlight w:val="none"/>
              </w:rPr>
              <w:t>，并细化管控措施。</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rPr>
            </w:pPr>
            <w:r>
              <w:rPr>
                <w:rFonts w:hint="eastAsia" w:eastAsia="仿宋_GB2312"/>
                <w:color w:val="auto"/>
                <w:sz w:val="28"/>
                <w:szCs w:val="28"/>
                <w:highlight w:val="none"/>
              </w:rPr>
              <w:t>年底前</w:t>
            </w:r>
          </w:p>
        </w:tc>
        <w:tc>
          <w:tcPr>
            <w:tcW w:w="205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rPr>
            </w:pPr>
          </w:p>
        </w:tc>
        <w:tc>
          <w:tcPr>
            <w:tcW w:w="2386" w:type="dxa"/>
            <w:gridSpan w:val="3"/>
            <w:vMerge w:val="continue"/>
            <w:tcBorders>
              <w:left w:val="single" w:color="auto" w:sz="4" w:space="0"/>
              <w:bottom w:val="single" w:color="auto" w:sz="4" w:space="0"/>
              <w:right w:val="single" w:color="auto" w:sz="4" w:space="0"/>
            </w:tcBorders>
            <w:vAlign w:val="center"/>
          </w:tcPr>
          <w:p>
            <w:pPr>
              <w:pStyle w:val="10"/>
              <w:jc w:val="center"/>
              <w:rPr>
                <w:rFonts w:hint="eastAsia"/>
                <w:color w:val="auto"/>
                <w:sz w:val="28"/>
                <w:szCs w:val="28"/>
                <w:highlight w:val="none"/>
                <w:lang w:eastAsia="zh-CN"/>
              </w:rPr>
            </w:pPr>
          </w:p>
        </w:tc>
        <w:tc>
          <w:tcPr>
            <w:tcW w:w="2341"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eastAsia" w:ascii="仿宋_GB2312" w:eastAsia="仿宋_GB2312" w:cs="Times New Roman"/>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6"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三、水环境治理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6" w:hRule="atLeast"/>
          <w:jc w:val="center"/>
        </w:trPr>
        <w:tc>
          <w:tcPr>
            <w:tcW w:w="629" w:type="dxa"/>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lang w:val="en-US" w:eastAsia="zh-CN"/>
              </w:rPr>
              <w:t>7</w:t>
            </w:r>
          </w:p>
        </w:tc>
        <w:tc>
          <w:tcPr>
            <w:tcW w:w="854" w:type="dxa"/>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强化生活污染治理</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imes New Roman" w:hAnsi="Times New Roman" w:eastAsia="仿宋_GB2312" w:cs="Times New Roman"/>
                <w:color w:val="auto"/>
                <w:kern w:val="2"/>
                <w:sz w:val="28"/>
                <w:szCs w:val="28"/>
                <w:highlight w:val="none"/>
                <w:lang w:val="en-US" w:eastAsia="zh-CN" w:bidi="ar-SA"/>
              </w:rPr>
            </w:pPr>
            <w:r>
              <w:rPr>
                <w:rFonts w:hint="eastAsia" w:ascii="仿宋_GB2312" w:eastAsia="仿宋_GB2312" w:cs="Times New Roman"/>
                <w:color w:val="auto"/>
                <w:sz w:val="28"/>
                <w:szCs w:val="28"/>
                <w:highlight w:val="none"/>
                <w:lang w:val="en-US" w:eastAsia="zh-CN"/>
              </w:rPr>
              <w:t>实施第四个三年城市水环境治理三年行动方案，累计新（改）建污水收集管线</w:t>
            </w:r>
            <w:r>
              <w:rPr>
                <w:rFonts w:hint="eastAsia" w:cs="Times New Roman"/>
                <w:b w:val="0"/>
                <w:bCs w:val="0"/>
                <w:color w:val="auto"/>
                <w:sz w:val="28"/>
                <w:szCs w:val="28"/>
                <w:highlight w:val="none"/>
                <w:lang w:val="en-US" w:eastAsia="zh-CN"/>
              </w:rPr>
              <w:t>60</w:t>
            </w:r>
            <w:r>
              <w:rPr>
                <w:rFonts w:hint="eastAsia" w:ascii="仿宋_GB2312" w:eastAsia="仿宋_GB2312" w:cs="Times New Roman"/>
                <w:color w:val="auto"/>
                <w:sz w:val="28"/>
                <w:szCs w:val="28"/>
                <w:highlight w:val="none"/>
                <w:lang w:val="en-US" w:eastAsia="zh-CN"/>
              </w:rPr>
              <w:t>公里，强化再生水配置利用能力，2023年持续推进园林绿化再生水替代工程。</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eastAsia="仿宋_GB2312" w:cs="Times New Roman"/>
                <w:color w:val="auto"/>
                <w:sz w:val="28"/>
                <w:szCs w:val="28"/>
                <w:highlight w:val="none"/>
                <w:lang w:val="en-US" w:eastAsia="zh-CN"/>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区水务局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区园林绿化局</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区园林绿化中心</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相关镇街（地区）</w:t>
            </w:r>
          </w:p>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区发改委</w:t>
            </w:r>
          </w:p>
          <w:p>
            <w:pPr>
              <w:adjustRightInd w:val="0"/>
              <w:snapToGrid w:val="0"/>
              <w:jc w:val="center"/>
              <w:rPr>
                <w:rFonts w:hint="default" w:ascii="Times New Roman" w:hAnsi="Times New Roman" w:eastAsia="仿宋_GB2312" w:cs="Times New Roman"/>
                <w:color w:val="auto"/>
                <w:kern w:val="2"/>
                <w:sz w:val="28"/>
                <w:szCs w:val="28"/>
                <w:highlight w:val="none"/>
                <w:lang w:val="en-US" w:eastAsia="zh-Hans" w:bidi="ar-SA"/>
              </w:rPr>
            </w:pPr>
            <w:r>
              <w:rPr>
                <w:rFonts w:hint="eastAsia" w:ascii="Times New Roman" w:hAnsi="Times New Roman" w:eastAsia="仿宋_GB2312" w:cs="Times New Roman"/>
                <w:color w:val="auto"/>
                <w:kern w:val="2"/>
                <w:sz w:val="28"/>
                <w:szCs w:val="28"/>
                <w:highlight w:val="none"/>
                <w:lang w:val="en-US" w:eastAsia="zh-CN" w:bidi="ar-SA"/>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7"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color w:val="auto"/>
                <w:sz w:val="28"/>
                <w:szCs w:val="28"/>
                <w:highlight w:val="none"/>
                <w:lang w:val="en-US" w:eastAsia="zh-CN"/>
              </w:rPr>
              <w:t>7</w:t>
            </w:r>
          </w:p>
        </w:tc>
        <w:tc>
          <w:tcPr>
            <w:tcW w:w="854" w:type="dxa"/>
            <w:vMerge w:val="restart"/>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强化生活污染治理</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lang w:val="en-US" w:eastAsia="zh-CN"/>
              </w:rPr>
            </w:pPr>
            <w:r>
              <w:rPr>
                <w:rFonts w:hint="eastAsia" w:ascii="仿宋_GB2312" w:eastAsia="仿宋_GB2312" w:cs="Times New Roman"/>
                <w:color w:val="auto"/>
                <w:sz w:val="28"/>
                <w:szCs w:val="28"/>
                <w:highlight w:val="none"/>
                <w:lang w:val="en-US" w:eastAsia="zh-CN"/>
              </w:rPr>
              <w:t>加大雨污混接错接巡查整治力度，由相关部门牵头，督促相关属地对新发现的错接混接点位及时处置，逐步实现动态清零，积极推进中心城区合流溢流口治理。</w:t>
            </w:r>
          </w:p>
          <w:p>
            <w:pPr>
              <w:adjustRightInd w:val="0"/>
              <w:snapToGrid w:val="0"/>
              <w:jc w:val="left"/>
              <w:rPr>
                <w:color w:val="auto"/>
                <w:sz w:val="28"/>
                <w:szCs w:val="28"/>
                <w:highlight w:val="none"/>
              </w:rPr>
            </w:pPr>
            <w:r>
              <w:rPr>
                <w:rFonts w:hint="eastAsia" w:ascii="仿宋_GB2312" w:eastAsia="仿宋_GB2312" w:cs="Times New Roman"/>
                <w:color w:val="auto"/>
                <w:sz w:val="28"/>
                <w:szCs w:val="28"/>
                <w:highlight w:val="none"/>
                <w:lang w:val="en-US" w:eastAsia="zh-CN"/>
              </w:rPr>
              <w:t>区发改委、区城管委、区水务局等相关部门，围绕密云新城及</w:t>
            </w:r>
            <w:r>
              <w:rPr>
                <w:rFonts w:hint="eastAsia" w:cs="Times New Roman"/>
                <w:color w:val="auto"/>
                <w:sz w:val="28"/>
                <w:szCs w:val="28"/>
                <w:highlight w:val="none"/>
                <w:lang w:val="en-US" w:eastAsia="zh-CN"/>
              </w:rPr>
              <w:t>相关镇街（地区、园区）</w:t>
            </w:r>
            <w:r>
              <w:rPr>
                <w:rFonts w:hint="eastAsia" w:ascii="仿宋_GB2312" w:eastAsia="仿宋_GB2312" w:cs="Times New Roman"/>
                <w:color w:val="auto"/>
                <w:sz w:val="28"/>
                <w:szCs w:val="28"/>
                <w:highlight w:val="none"/>
                <w:lang w:val="en-US" w:eastAsia="zh-CN"/>
              </w:rPr>
              <w:t>雨污合流问题谋划项目，包括但不限于：1.雨污管网现状调查（说清管网分布现状、健康情况）；2.密云镇李各庄村平房区，十里堡镇双井、燕落寨地区，溪翁庄镇东营子村、尖岩村、走马庄村、石墙沟等村庄，污水、雨水管网建设；3.白河城区段河道治理。</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宋体" w:hAnsi="Courier New" w:eastAsia="仿宋_GB2312" w:cs="仿宋_GB2312"/>
                <w:color w:val="auto"/>
                <w:sz w:val="28"/>
                <w:szCs w:val="28"/>
                <w:highlight w:val="none"/>
                <w:lang w:val="en-US" w:eastAsia="zh-CN" w:bidi="ar-SA"/>
              </w:rPr>
            </w:pPr>
            <w:r>
              <w:rPr>
                <w:rFonts w:hint="eastAsia" w:ascii="宋体" w:hAnsi="Courier New" w:eastAsia="仿宋_GB2312" w:cs="仿宋_GB2312"/>
                <w:color w:val="auto"/>
                <w:sz w:val="28"/>
                <w:szCs w:val="28"/>
                <w:highlight w:val="none"/>
                <w:lang w:val="en-US" w:eastAsia="zh-CN" w:bidi="ar-SA"/>
              </w:rPr>
              <w:t>区水务局</w:t>
            </w:r>
          </w:p>
          <w:p>
            <w:pPr>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rFonts w:hint="eastAsia" w:ascii="宋体" w:hAnsi="Courier New" w:eastAsia="仿宋_GB2312" w:cs="仿宋_GB2312"/>
                <w:color w:val="auto"/>
                <w:sz w:val="28"/>
                <w:szCs w:val="28"/>
                <w:highlight w:val="none"/>
                <w:lang w:val="en-US" w:eastAsia="zh-CN" w:bidi="ar-SA"/>
              </w:rPr>
            </w:pPr>
            <w:r>
              <w:rPr>
                <w:rFonts w:hint="eastAsia" w:ascii="宋体" w:hAnsi="Courier New" w:eastAsia="仿宋_GB2312" w:cs="仿宋_GB2312"/>
                <w:color w:val="auto"/>
                <w:sz w:val="28"/>
                <w:szCs w:val="28"/>
                <w:highlight w:val="none"/>
                <w:lang w:val="en-US" w:eastAsia="zh-CN" w:bidi="ar-SA"/>
              </w:rPr>
              <w:t xml:space="preserve">区城管委    </w:t>
            </w:r>
          </w:p>
          <w:p>
            <w:pPr>
              <w:pStyle w:val="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outlineLvl w:val="9"/>
              <w:rPr>
                <w:color w:val="auto"/>
                <w:highlight w:val="none"/>
              </w:rPr>
            </w:pPr>
            <w:r>
              <w:rPr>
                <w:rFonts w:hint="eastAsia" w:ascii="宋体" w:hAnsi="Courier New" w:eastAsia="仿宋_GB2312" w:cs="仿宋_GB2312"/>
                <w:color w:val="auto"/>
                <w:sz w:val="28"/>
                <w:szCs w:val="28"/>
                <w:highlight w:val="none"/>
                <w:lang w:val="en-US" w:eastAsia="zh-CN" w:bidi="ar-SA"/>
              </w:rPr>
              <w:t>区住建委</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水务局</w:t>
            </w:r>
          </w:p>
          <w:p>
            <w:pPr>
              <w:spacing w:line="36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区城管委</w:t>
            </w:r>
          </w:p>
          <w:p>
            <w:pPr>
              <w:spacing w:line="360" w:lineRule="exact"/>
              <w:jc w:val="center"/>
              <w:rPr>
                <w:rFonts w:hint="eastAsia" w:eastAsia="仿宋_GB2312"/>
                <w:color w:val="auto"/>
                <w:sz w:val="28"/>
                <w:szCs w:val="28"/>
                <w:highlight w:val="none"/>
                <w:lang w:val="en-US" w:eastAsia="zh-CN"/>
              </w:rPr>
            </w:pPr>
            <w:r>
              <w:rPr>
                <w:rFonts w:hint="eastAsia" w:ascii="宋体" w:hAnsi="宋体" w:eastAsia="仿宋_GB2312" w:cs="宋体"/>
                <w:color w:val="auto"/>
                <w:kern w:val="0"/>
                <w:sz w:val="28"/>
                <w:szCs w:val="28"/>
                <w:highlight w:val="none"/>
                <w:lang w:val="en-US" w:eastAsia="zh-Hans" w:bidi="ar-SA"/>
              </w:rPr>
              <w:t>区</w:t>
            </w:r>
            <w:r>
              <w:rPr>
                <w:rFonts w:hint="eastAsia" w:ascii="宋体" w:hAnsi="宋体" w:eastAsia="仿宋_GB2312" w:cs="宋体"/>
                <w:color w:val="auto"/>
                <w:kern w:val="0"/>
                <w:sz w:val="28"/>
                <w:szCs w:val="28"/>
                <w:highlight w:val="none"/>
                <w:lang w:val="en-US" w:eastAsia="zh-CN" w:bidi="ar-SA"/>
              </w:rPr>
              <w:t>发改委</w:t>
            </w:r>
          </w:p>
          <w:p>
            <w:pPr>
              <w:spacing w:line="36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区住建委</w:t>
            </w:r>
          </w:p>
          <w:p>
            <w:pPr>
              <w:adjustRightInd w:val="0"/>
              <w:snapToGrid w:val="0"/>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相关镇街（地区）</w:t>
            </w:r>
          </w:p>
          <w:p>
            <w:pPr>
              <w:adjustRightInd w:val="0"/>
              <w:snapToGrid w:val="0"/>
              <w:jc w:val="center"/>
              <w:rPr>
                <w:rFonts w:hint="eastAsia"/>
                <w:color w:val="auto"/>
                <w:sz w:val="28"/>
                <w:szCs w:val="28"/>
                <w:highlight w:val="none"/>
                <w:lang w:eastAsia="zh-CN"/>
              </w:rPr>
            </w:pPr>
            <w:r>
              <w:rPr>
                <w:rFonts w:hint="eastAsia" w:eastAsia="仿宋_GB2312"/>
                <w:color w:val="auto"/>
                <w:sz w:val="28"/>
                <w:szCs w:val="28"/>
                <w:highlight w:val="none"/>
                <w:lang w:val="en-US" w:eastAsia="zh-CN"/>
              </w:rPr>
              <w:t>中关村密云园</w:t>
            </w:r>
          </w:p>
          <w:p>
            <w:pPr>
              <w:spacing w:line="360" w:lineRule="exact"/>
              <w:jc w:val="center"/>
              <w:rPr>
                <w:rFonts w:hint="default" w:eastAsia="仿宋_GB2312"/>
                <w:color w:val="auto"/>
                <w:spacing w:val="-20"/>
                <w:sz w:val="28"/>
                <w:szCs w:val="28"/>
                <w:highlight w:val="none"/>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仿宋_GB2312" w:cs="宋体"/>
                <w:color w:val="auto"/>
                <w:kern w:val="0"/>
                <w:sz w:val="28"/>
                <w:szCs w:val="28"/>
                <w:highlight w:val="none"/>
                <w:lang w:val="en-US" w:eastAsia="zh-CN" w:bidi="ar-SA"/>
              </w:rPr>
            </w:pPr>
            <w:r>
              <w:rPr>
                <w:rFonts w:hint="eastAsia" w:ascii="宋体" w:hAnsi="宋体" w:eastAsia="仿宋_GB2312" w:cs="宋体"/>
                <w:color w:val="auto"/>
                <w:kern w:val="0"/>
                <w:sz w:val="28"/>
                <w:szCs w:val="28"/>
                <w:highlight w:val="none"/>
                <w:lang w:val="en-US" w:eastAsia="zh-CN" w:bidi="ar-SA"/>
              </w:rPr>
              <w:t>区财政局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仿宋_GB2312" w:cs="宋体"/>
                <w:color w:val="auto"/>
                <w:kern w:val="0"/>
                <w:sz w:val="28"/>
                <w:szCs w:val="28"/>
                <w:highlight w:val="none"/>
                <w:lang w:val="en-US" w:eastAsia="zh-Hans" w:bidi="ar-SA"/>
              </w:rPr>
            </w:pPr>
            <w:r>
              <w:rPr>
                <w:rFonts w:hint="eastAsia" w:ascii="宋体" w:hAnsi="宋体" w:eastAsia="仿宋_GB2312" w:cs="宋体"/>
                <w:color w:val="auto"/>
                <w:kern w:val="0"/>
                <w:sz w:val="28"/>
                <w:szCs w:val="28"/>
                <w:highlight w:val="none"/>
                <w:lang w:val="en-US" w:eastAsia="zh-Hans" w:bidi="ar-SA"/>
              </w:rPr>
              <w:t>区生态环境局</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84"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加强汛期雨水面源污染和溢流污染防治，持续开展</w:t>
            </w:r>
            <w:r>
              <w:rPr>
                <w:rFonts w:hint="default"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Times New Roman"/>
                <w:color w:val="auto"/>
                <w:kern w:val="2"/>
                <w:sz w:val="28"/>
                <w:szCs w:val="28"/>
                <w:highlight w:val="none"/>
                <w:lang w:val="en-US" w:eastAsia="zh-CN" w:bidi="ar-SA"/>
              </w:rPr>
              <w:t>清管行动</w:t>
            </w:r>
            <w:r>
              <w:rPr>
                <w:rFonts w:hint="default"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Times New Roman"/>
                <w:color w:val="auto"/>
                <w:kern w:val="2"/>
                <w:sz w:val="28"/>
                <w:szCs w:val="28"/>
                <w:highlight w:val="none"/>
                <w:lang w:val="en-US" w:eastAsia="zh-CN" w:bidi="ar-SA"/>
              </w:rPr>
              <w:t>清河行动</w:t>
            </w:r>
            <w:r>
              <w:rPr>
                <w:rFonts w:hint="default" w:ascii="Times New Roman" w:hAnsi="Times New Roman" w:eastAsia="仿宋_GB2312" w:cs="Times New Roman"/>
                <w:color w:val="auto"/>
                <w:kern w:val="2"/>
                <w:sz w:val="28"/>
                <w:szCs w:val="28"/>
                <w:highlight w:val="none"/>
                <w:lang w:val="en-US" w:eastAsia="zh-CN" w:bidi="ar-SA"/>
              </w:rPr>
              <w:t>”</w:t>
            </w:r>
            <w:r>
              <w:rPr>
                <w:rFonts w:hint="eastAsia" w:ascii="Times New Roman" w:hAnsi="Times New Roman" w:eastAsia="仿宋_GB2312" w:cs="Times New Roman"/>
                <w:color w:val="auto"/>
                <w:kern w:val="2"/>
                <w:sz w:val="28"/>
                <w:szCs w:val="28"/>
                <w:highlight w:val="none"/>
                <w:lang w:val="en-US" w:eastAsia="zh-CN" w:bidi="ar-SA"/>
              </w:rPr>
              <w:t>，聚焦汛期水质波动明显的河流，提前对雨水管涵、雨污合流管涵、雨水口（雨箅子）等进行全面清掏并加大巡查、清理力度。</w:t>
            </w:r>
          </w:p>
          <w:p>
            <w:pPr>
              <w:adjustRightInd w:val="0"/>
              <w:snapToGrid w:val="0"/>
              <w:jc w:val="left"/>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主汛期开展雨后入河排口排污检查，加强对重点断面的监测和溯源排查。</w:t>
            </w:r>
          </w:p>
          <w:p>
            <w:pPr>
              <w:adjustRightInd w:val="0"/>
              <w:snapToGrid w:val="0"/>
              <w:jc w:val="left"/>
              <w:rPr>
                <w:rFonts w:ascii="仿宋_GB2312" w:eastAsia="仿宋_GB2312"/>
                <w:color w:val="auto"/>
                <w:sz w:val="28"/>
                <w:szCs w:val="28"/>
                <w:highlight w:val="none"/>
              </w:rPr>
            </w:pPr>
            <w:r>
              <w:rPr>
                <w:rFonts w:hint="eastAsia" w:ascii="Times New Roman" w:hAnsi="Times New Roman" w:eastAsia="仿宋_GB2312" w:cs="Times New Roman"/>
                <w:color w:val="auto"/>
                <w:kern w:val="2"/>
                <w:sz w:val="28"/>
                <w:szCs w:val="28"/>
                <w:highlight w:val="none"/>
                <w:lang w:val="en-US" w:eastAsia="zh-CN" w:bidi="ar-SA"/>
              </w:rPr>
              <w:t>城区污水处理厂加强联动联调，雨前提前加大抽升处理，降低管网液位，实现管网腾容，最大程度减少污水溢流排河。</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9月</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ascii="仿宋_GB2312" w:hAnsi="宋体" w:eastAsia="仿宋_GB2312" w:cs="仿宋_GB2312"/>
                <w:color w:val="auto"/>
                <w:kern w:val="0"/>
                <w:sz w:val="28"/>
                <w:szCs w:val="28"/>
                <w:highlight w:val="none"/>
                <w:lang w:bidi="ar"/>
              </w:rPr>
              <w:t>底前</w:t>
            </w:r>
          </w:p>
        </w:tc>
        <w:tc>
          <w:tcPr>
            <w:tcW w:w="2053"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区城管委</w:t>
            </w:r>
          </w:p>
          <w:p>
            <w:pPr>
              <w:spacing w:line="400" w:lineRule="exact"/>
              <w:jc w:val="center"/>
              <w:rPr>
                <w:rFonts w:eastAsia="仿宋_GB2312"/>
                <w:color w:val="auto"/>
                <w:sz w:val="28"/>
                <w:szCs w:val="28"/>
                <w:highlight w:val="none"/>
              </w:rPr>
            </w:pPr>
            <w:r>
              <w:rPr>
                <w:rFonts w:hint="eastAsia" w:eastAsia="仿宋_GB2312"/>
                <w:color w:val="auto"/>
                <w:sz w:val="28"/>
                <w:szCs w:val="28"/>
                <w:highlight w:val="none"/>
                <w:lang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区水务局</w:t>
            </w:r>
          </w:p>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区城管委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区生态环境局</w:t>
            </w:r>
          </w:p>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密云水库综合</w:t>
            </w:r>
          </w:p>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执法大队</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eastAsia="仿宋_GB2312"/>
                <w:color w:val="auto"/>
                <w:sz w:val="28"/>
                <w:szCs w:val="28"/>
                <w:highlight w:val="none"/>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79"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8</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持续推进农村污染防治</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加快农村污水处理设施建设，优化完善适合本地区的农村生活污水治理模式和技术工艺，以“污水收集管网+厂站”集中处理模式</w:t>
            </w:r>
            <w:r>
              <w:rPr>
                <w:rFonts w:hint="eastAsia" w:cs="Times New Roman"/>
                <w:color w:val="auto"/>
                <w:sz w:val="28"/>
                <w:szCs w:val="28"/>
                <w:highlight w:val="none"/>
                <w:lang w:val="en-US" w:eastAsia="zh-CN"/>
              </w:rPr>
              <w:t>完成</w:t>
            </w:r>
            <w:r>
              <w:rPr>
                <w:rFonts w:hint="eastAsia" w:cs="Times New Roman"/>
                <w:b w:val="0"/>
                <w:bCs w:val="0"/>
                <w:color w:val="auto"/>
                <w:sz w:val="28"/>
                <w:szCs w:val="28"/>
                <w:highlight w:val="none"/>
                <w:lang w:val="en-US" w:eastAsia="zh-CN"/>
              </w:rPr>
              <w:t>市级考核要求村庄数量的</w:t>
            </w:r>
            <w:r>
              <w:rPr>
                <w:rFonts w:hint="eastAsia" w:ascii="仿宋_GB2312" w:eastAsia="仿宋_GB2312" w:cs="Times New Roman"/>
                <w:b w:val="0"/>
                <w:bCs w:val="0"/>
                <w:color w:val="auto"/>
                <w:sz w:val="28"/>
                <w:szCs w:val="28"/>
                <w:highlight w:val="none"/>
              </w:rPr>
              <w:t>污水收集处理</w:t>
            </w:r>
            <w:r>
              <w:rPr>
                <w:rFonts w:hint="eastAsia" w:ascii="仿宋_GB2312" w:eastAsia="仿宋_GB2312" w:cs="Times New Roman"/>
                <w:b w:val="0"/>
                <w:bCs w:val="0"/>
                <w:color w:val="auto"/>
                <w:sz w:val="28"/>
                <w:szCs w:val="28"/>
                <w:highlight w:val="none"/>
                <w:lang w:eastAsia="zh-CN"/>
              </w:rPr>
              <w:t>问题</w:t>
            </w:r>
            <w:r>
              <w:rPr>
                <w:rFonts w:hint="eastAsia" w:ascii="仿宋_GB2312" w:eastAsia="仿宋_GB2312" w:cs="Times New Roman"/>
                <w:b w:val="0"/>
                <w:bCs w:val="0"/>
                <w:color w:val="auto"/>
                <w:sz w:val="28"/>
                <w:szCs w:val="28"/>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水务局</w:t>
            </w:r>
          </w:p>
          <w:p>
            <w:pPr>
              <w:keepNext w:val="0"/>
              <w:keepLines w:val="0"/>
              <w:pageBreakBefore w:val="0"/>
              <w:kinsoku/>
              <w:wordWrap/>
              <w:overflowPunct/>
              <w:topLinePunct w:val="0"/>
              <w:bidi w:val="0"/>
              <w:spacing w:line="320" w:lineRule="exact"/>
              <w:jc w:val="center"/>
              <w:rPr>
                <w:rFonts w:eastAsia="仿宋_GB2312"/>
                <w:color w:val="auto"/>
                <w:sz w:val="28"/>
                <w:szCs w:val="28"/>
                <w:highlight w:val="none"/>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区规自分局</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区发改委</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eastAsia="仿宋_GB2312"/>
                <w:color w:val="auto"/>
                <w:sz w:val="28"/>
                <w:szCs w:val="28"/>
                <w:highlight w:val="none"/>
                <w:lang w:eastAsia="zh-Hans"/>
              </w:rPr>
            </w:pPr>
            <w:r>
              <w:rPr>
                <w:rFonts w:hint="eastAsia" w:eastAsia="仿宋_GB2312"/>
                <w:color w:val="auto"/>
                <w:sz w:val="28"/>
                <w:szCs w:val="28"/>
                <w:highlight w:val="none"/>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8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强化现有设施的监管。组织开展现有农村污水处理设施运行情况调查评估，持续更新完善农村生活污水治理设施运行台账。加强农村生活污水处理设施运行监督管理力度，对运行不正常的设施随发现随督促整改，确保已建成设施正常运行率达到80%以上，按年度形成农村生活污水收集处理设施运行情况排查报告。加大农村生活污水处理设施监督性监测及执法力度。</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rPr>
            </w:pPr>
            <w:r>
              <w:rPr>
                <w:rFonts w:ascii="仿宋_GB2312" w:hAnsi="宋体" w:eastAsia="仿宋_GB2312" w:cs="仿宋_GB2312"/>
                <w:color w:val="auto"/>
                <w:kern w:val="0"/>
                <w:sz w:val="28"/>
                <w:szCs w:val="28"/>
                <w:highlight w:val="none"/>
                <w:lang w:bidi="ar"/>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密云水库综合执法大队</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密云水库综合</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eastAsia="zh-CN"/>
              </w:rPr>
              <w:t>执法大队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20" w:lineRule="exact"/>
              <w:jc w:val="center"/>
              <w:textAlignment w:val="center"/>
              <w:rPr>
                <w:rFonts w:hint="eastAsia" w:ascii="仿宋_GB2312" w:hAnsi="宋体" w:eastAsia="仿宋_GB2312" w:cs="仿宋_GB2312"/>
                <w:color w:val="auto"/>
                <w:kern w:val="0"/>
                <w:sz w:val="28"/>
                <w:szCs w:val="28"/>
                <w:highlight w:val="none"/>
                <w:lang w:eastAsia="zh-CN" w:bidi="ar"/>
              </w:rPr>
            </w:pPr>
            <w:r>
              <w:rPr>
                <w:rFonts w:hint="eastAsia" w:eastAsia="仿宋_GB2312"/>
                <w:color w:val="auto"/>
                <w:sz w:val="28"/>
                <w:szCs w:val="28"/>
                <w:highlight w:val="none"/>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59"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深入推进农村环境整治工作，完成</w:t>
            </w:r>
            <w:r>
              <w:rPr>
                <w:rFonts w:hint="eastAsia" w:ascii="仿宋_GB2312" w:eastAsia="仿宋_GB2312" w:cs="Times New Roman"/>
                <w:color w:val="auto"/>
                <w:sz w:val="28"/>
                <w:szCs w:val="28"/>
                <w:highlight w:val="none"/>
                <w:lang w:eastAsia="zh-CN"/>
              </w:rPr>
              <w:t>国家</w:t>
            </w:r>
            <w:r>
              <w:rPr>
                <w:rFonts w:hint="eastAsia" w:ascii="仿宋_GB2312" w:eastAsia="仿宋_GB2312" w:cs="Times New Roman"/>
                <w:color w:val="auto"/>
                <w:sz w:val="28"/>
                <w:szCs w:val="28"/>
                <w:highlight w:val="none"/>
              </w:rPr>
              <w:t>下达的任务目标，任务村庄生活污水、黑臭水体、集中式饮用水水源地达到国家整治要求，村庄环境干净整洁。完成任务数量不低于本区农村污水收集处理设施建设任务数量。</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color w:val="auto"/>
                <w:sz w:val="28"/>
                <w:szCs w:val="28"/>
                <w:highlight w:val="none"/>
              </w:rPr>
            </w:pPr>
            <w:r>
              <w:rPr>
                <w:rFonts w:ascii="仿宋_GB2312" w:hAnsi="宋体" w:eastAsia="仿宋_GB2312" w:cs="仿宋_GB2312"/>
                <w:color w:val="auto"/>
                <w:kern w:val="0"/>
                <w:sz w:val="28"/>
                <w:szCs w:val="28"/>
                <w:highlight w:val="none"/>
                <w:lang w:bidi="ar"/>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区农业农村局</w:t>
            </w:r>
          </w:p>
          <w:p>
            <w:pPr>
              <w:keepNext w:val="0"/>
              <w:keepLines w:val="0"/>
              <w:pageBreakBefore w:val="0"/>
              <w:kinsoku/>
              <w:wordWrap/>
              <w:overflowPunct/>
              <w:topLinePunct w:val="0"/>
              <w:bidi w:val="0"/>
              <w:spacing w:line="320" w:lineRule="exact"/>
              <w:jc w:val="center"/>
              <w:rPr>
                <w:rFonts w:hint="default" w:ascii="仿宋_GB2312" w:hAnsi="Times New Roman" w:eastAsia="仿宋_GB2312" w:cs="Times New Roman"/>
                <w:color w:val="auto"/>
                <w:kern w:val="2"/>
                <w:sz w:val="28"/>
                <w:szCs w:val="28"/>
                <w:highlight w:val="none"/>
              </w:rPr>
            </w:pPr>
            <w:r>
              <w:rPr>
                <w:rFonts w:hint="eastAsia" w:eastAsia="仿宋_GB2312"/>
                <w:color w:val="auto"/>
                <w:sz w:val="28"/>
                <w:szCs w:val="28"/>
                <w:highlight w:val="none"/>
                <w:lang w:val="en-US" w:eastAsia="zh-CN"/>
              </w:rPr>
              <w:t>区城管委</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区农业农村局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区城管委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color w:val="auto"/>
                <w:sz w:val="28"/>
                <w:szCs w:val="28"/>
                <w:highlight w:val="none"/>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区卫健委</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5"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ascii="仿宋_GB2312" w:eastAsia="仿宋_GB2312"/>
                <w:b w:val="0"/>
                <w:bCs w:val="0"/>
                <w:color w:val="auto"/>
                <w:sz w:val="28"/>
                <w:szCs w:val="28"/>
                <w:highlight w:val="none"/>
              </w:rPr>
            </w:pPr>
            <w:r>
              <w:rPr>
                <w:rFonts w:hint="eastAsia" w:ascii="仿宋_GB2312" w:eastAsia="仿宋_GB2312" w:cs="Times New Roman"/>
                <w:color w:val="auto"/>
                <w:sz w:val="28"/>
                <w:szCs w:val="28"/>
                <w:highlight w:val="none"/>
              </w:rPr>
              <w:t>加强水产养殖污染防治。加强绿色健康养殖模式推广，推进水产养殖尾水治理、水产用药减量行动。</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b w:val="0"/>
                <w:bCs w:val="0"/>
                <w:color w:val="auto"/>
                <w:sz w:val="28"/>
                <w:szCs w:val="28"/>
                <w:highlight w:val="none"/>
              </w:rPr>
            </w:pPr>
            <w:r>
              <w:rPr>
                <w:rFonts w:hint="eastAsia" w:ascii="仿宋_GB2312" w:eastAsia="仿宋_GB2312"/>
                <w:color w:val="auto"/>
                <w:sz w:val="28"/>
                <w:szCs w:val="28"/>
                <w:highlight w:val="none"/>
              </w:rPr>
              <w:t>实施</w:t>
            </w:r>
          </w:p>
        </w:tc>
        <w:tc>
          <w:tcPr>
            <w:tcW w:w="2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320" w:lineRule="exact"/>
              <w:jc w:val="both"/>
              <w:textAlignment w:val="center"/>
              <w:rPr>
                <w:rFonts w:hint="eastAsia" w:ascii="仿宋_GB2312" w:eastAsia="仿宋_GB2312"/>
                <w:b w:val="0"/>
                <w:bCs w:val="0"/>
                <w:color w:val="auto"/>
                <w:sz w:val="28"/>
                <w:szCs w:val="28"/>
                <w:highlight w:val="none"/>
                <w:lang w:eastAsia="zh-CN"/>
              </w:rPr>
            </w:pPr>
            <w:r>
              <w:rPr>
                <w:rFonts w:hint="eastAsia" w:eastAsia="仿宋_GB2312"/>
                <w:color w:val="auto"/>
                <w:spacing w:val="-17"/>
                <w:sz w:val="28"/>
                <w:szCs w:val="28"/>
                <w:highlight w:val="none"/>
                <w:lang w:val="en-US" w:eastAsia="zh-CN"/>
              </w:rPr>
              <w:t>区农业服务中心</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u w:val="none" w:color="auto"/>
                <w:lang w:val="en-US" w:eastAsia="zh-CN"/>
              </w:rPr>
              <w:t>区</w:t>
            </w:r>
            <w:r>
              <w:rPr>
                <w:rFonts w:hint="eastAsia" w:cs="仿宋_GB2312"/>
                <w:color w:val="auto"/>
                <w:sz w:val="28"/>
                <w:szCs w:val="28"/>
                <w:highlight w:val="none"/>
                <w:u w:val="none" w:color="auto"/>
                <w:lang w:val="en-US" w:eastAsia="zh-CN"/>
              </w:rPr>
              <w:t>农业服务中心</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b w:val="0"/>
                <w:bCs w:val="0"/>
                <w:color w:val="auto"/>
                <w:sz w:val="28"/>
                <w:szCs w:val="28"/>
                <w:highlight w:val="none"/>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b w:val="0"/>
                <w:bCs w:val="0"/>
                <w:color w:val="auto"/>
                <w:sz w:val="28"/>
                <w:szCs w:val="28"/>
                <w:highlight w:val="none"/>
                <w:lang w:val="en-US" w:eastAsia="zh-CN"/>
              </w:rPr>
            </w:pPr>
            <w:r>
              <w:rPr>
                <w:rFonts w:hint="eastAsia" w:eastAsia="仿宋_GB2312"/>
                <w:color w:val="auto"/>
                <w:sz w:val="28"/>
                <w:szCs w:val="28"/>
                <w:highlight w:val="none"/>
                <w:lang w:val="en-US"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0" w:hRule="atLeast"/>
          <w:jc w:val="center"/>
        </w:trPr>
        <w:tc>
          <w:tcPr>
            <w:tcW w:w="629" w:type="dxa"/>
            <w:tcBorders>
              <w:left w:val="single" w:color="auto" w:sz="4" w:space="0"/>
              <w:right w:val="single" w:color="auto" w:sz="4" w:space="0"/>
            </w:tcBorders>
            <w:vAlign w:val="center"/>
          </w:tcPr>
          <w:p>
            <w:pPr>
              <w:widowControl/>
              <w:jc w:val="center"/>
              <w:textAlignment w:val="center"/>
              <w:rPr>
                <w:rFonts w:ascii="仿宋_GB2312" w:eastAsia="仿宋_GB2312"/>
                <w:color w:val="auto"/>
                <w:sz w:val="28"/>
                <w:szCs w:val="28"/>
                <w:highlight w:val="none"/>
              </w:rPr>
            </w:pPr>
            <w:r>
              <w:rPr>
                <w:rFonts w:ascii="仿宋_GB2312" w:hAnsi="宋体" w:eastAsia="仿宋_GB2312" w:cs="仿宋_GB2312"/>
                <w:color w:val="auto"/>
                <w:kern w:val="0"/>
                <w:sz w:val="28"/>
                <w:szCs w:val="28"/>
                <w:highlight w:val="none"/>
                <w:lang w:bidi="ar"/>
              </w:rPr>
              <w:t>9</w:t>
            </w:r>
          </w:p>
        </w:tc>
        <w:tc>
          <w:tcPr>
            <w:tcW w:w="85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加强医疗机构污水监管</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hAnsi="宋体" w:eastAsia="仿宋_GB2312" w:cs="仿宋_GB2312"/>
                <w:color w:val="auto"/>
                <w:kern w:val="0"/>
                <w:sz w:val="28"/>
                <w:szCs w:val="28"/>
                <w:highlight w:val="none"/>
                <w:lang w:bidi="ar"/>
              </w:rPr>
            </w:pPr>
            <w:r>
              <w:rPr>
                <w:rFonts w:hint="eastAsia" w:ascii="仿宋_GB2312" w:eastAsia="仿宋_GB2312" w:cs="Times New Roman"/>
                <w:color w:val="auto"/>
                <w:sz w:val="28"/>
                <w:szCs w:val="28"/>
                <w:highlight w:val="none"/>
              </w:rPr>
              <w:t>加强医疗机构监管，定期检查医疗机构污水处理设施建设和运行管理情况，加强排污许可管理，确保污水处理设施和消毒设施配置齐全，运转正常。</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hint="eastAsia" w:ascii="仿宋_GB2312"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区卫健委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仿宋_GB2312" w:hAnsi="宋体" w:eastAsia="仿宋_GB2312" w:cs="仿宋_GB2312"/>
                <w:color w:val="auto"/>
                <w:kern w:val="0"/>
                <w:sz w:val="28"/>
                <w:szCs w:val="28"/>
                <w:highlight w:val="none"/>
                <w:lang w:eastAsia="zh-CN" w:bidi="ar"/>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383"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10</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加强工业污染防治</w:t>
            </w: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加大工业污染防治力度，工业园区</w:t>
            </w:r>
            <w:r>
              <w:rPr>
                <w:rFonts w:hint="eastAsia" w:ascii="仿宋_GB2312" w:eastAsia="仿宋_GB2312" w:cs="Times New Roman"/>
                <w:color w:val="auto"/>
                <w:sz w:val="28"/>
                <w:szCs w:val="28"/>
                <w:highlight w:val="none"/>
                <w:lang w:eastAsia="zh-CN"/>
              </w:rPr>
              <w:t>内</w:t>
            </w:r>
            <w:r>
              <w:rPr>
                <w:rFonts w:hint="eastAsia" w:ascii="仿宋_GB2312" w:eastAsia="仿宋_GB2312" w:cs="Times New Roman"/>
                <w:color w:val="auto"/>
                <w:sz w:val="28"/>
                <w:szCs w:val="28"/>
                <w:highlight w:val="none"/>
              </w:rPr>
              <w:t>污水管网质量和污水收集效能明显提升，污水实现应收尽收。</w:t>
            </w:r>
          </w:p>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lang w:eastAsia="zh-CN"/>
              </w:rPr>
              <w:t>中关村密云园</w:t>
            </w:r>
            <w:r>
              <w:rPr>
                <w:rFonts w:hint="eastAsia" w:ascii="仿宋_GB2312" w:eastAsia="仿宋_GB2312" w:cs="Times New Roman"/>
                <w:color w:val="auto"/>
                <w:sz w:val="28"/>
                <w:szCs w:val="28"/>
                <w:highlight w:val="none"/>
              </w:rPr>
              <w:t>加强对辖区工业企业的排查监管，杜绝污水直排、偷排。</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ascii="仿宋_GB2312" w:hAnsi="宋体" w:eastAsia="仿宋_GB2312" w:cs="仿宋_GB2312"/>
                <w:color w:val="auto"/>
                <w:kern w:val="0"/>
                <w:sz w:val="28"/>
                <w:szCs w:val="28"/>
                <w:highlight w:val="none"/>
                <w:lang w:bidi="ar"/>
              </w:rPr>
              <w:t>实施</w:t>
            </w:r>
          </w:p>
        </w:tc>
        <w:tc>
          <w:tcPr>
            <w:tcW w:w="2053" w:type="dxa"/>
            <w:vMerge w:val="restart"/>
            <w:tcBorders>
              <w:top w:val="single" w:color="auto" w:sz="4" w:space="0"/>
              <w:left w:val="single" w:color="auto" w:sz="4" w:space="0"/>
              <w:right w:val="single" w:color="auto" w:sz="4" w:space="0"/>
            </w:tcBorders>
            <w:vAlign w:val="center"/>
          </w:tcPr>
          <w:p>
            <w:pPr>
              <w:widowControl/>
              <w:jc w:val="center"/>
              <w:textAlignment w:val="center"/>
              <w:rPr>
                <w:rFonts w:eastAsia="仿宋_GB2312"/>
                <w:color w:val="auto"/>
                <w:sz w:val="28"/>
                <w:szCs w:val="28"/>
                <w:highlight w:val="none"/>
              </w:rPr>
            </w:pPr>
            <w:r>
              <w:rPr>
                <w:rFonts w:hint="eastAsia" w:eastAsia="仿宋_GB2312"/>
                <w:color w:val="auto"/>
                <w:sz w:val="28"/>
                <w:szCs w:val="28"/>
                <w:highlight w:val="none"/>
                <w:lang w:val="en-US" w:eastAsia="zh-CN"/>
              </w:rPr>
              <w:t>区生态环境局</w:t>
            </w:r>
          </w:p>
        </w:tc>
        <w:tc>
          <w:tcPr>
            <w:tcW w:w="2386"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pacing w:val="-20"/>
                <w:sz w:val="28"/>
                <w:szCs w:val="28"/>
                <w:highlight w:val="none"/>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仿宋_GB2312"/>
                <w:color w:val="auto"/>
                <w:sz w:val="28"/>
                <w:szCs w:val="28"/>
                <w:highlight w:val="none"/>
                <w:lang w:val="en-US" w:eastAsia="zh-Hans"/>
              </w:rPr>
            </w:pPr>
            <w:r>
              <w:rPr>
                <w:rFonts w:hint="eastAsia" w:eastAsia="仿宋_GB2312"/>
                <w:color w:val="auto"/>
                <w:sz w:val="28"/>
                <w:szCs w:val="28"/>
                <w:highlight w:val="none"/>
                <w:lang w:val="en-US" w:eastAsia="zh-CN"/>
              </w:rPr>
              <w:t>区经信局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91"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left"/>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落实《北京市土壤污染防治条例》要求，督促国家和市级开发区内工业企业落实地下水污染防治措施。</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rPr>
            </w:pPr>
            <w:r>
              <w:rPr>
                <w:rFonts w:ascii="仿宋_GB2312" w:hAnsi="宋体" w:eastAsia="仿宋_GB2312" w:cs="仿宋_GB2312"/>
                <w:color w:val="auto"/>
                <w:kern w:val="0"/>
                <w:sz w:val="28"/>
                <w:szCs w:val="28"/>
                <w:highlight w:val="none"/>
                <w:lang w:bidi="ar"/>
              </w:rPr>
              <w:t>实施</w:t>
            </w:r>
          </w:p>
        </w:tc>
        <w:tc>
          <w:tcPr>
            <w:tcW w:w="2053" w:type="dxa"/>
            <w:vMerge w:val="continue"/>
            <w:tcBorders>
              <w:left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CN"/>
              </w:rPr>
            </w:pPr>
          </w:p>
        </w:tc>
        <w:tc>
          <w:tcPr>
            <w:tcW w:w="2386" w:type="dxa"/>
            <w:gridSpan w:val="3"/>
            <w:vMerge w:val="continue"/>
            <w:tcBorders>
              <w:left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Hans"/>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34"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开展排污许可证单位执行报告提交率审核。开展排污许可证执行报告、排污许可证和排污登记表质量审核，审核数量</w:t>
            </w:r>
            <w:r>
              <w:rPr>
                <w:rFonts w:hint="eastAsia" w:ascii="仿宋_GB2312" w:eastAsia="仿宋_GB2312" w:cs="Times New Roman"/>
                <w:color w:val="auto"/>
                <w:sz w:val="28"/>
                <w:szCs w:val="28"/>
                <w:highlight w:val="none"/>
                <w:lang w:eastAsia="zh-CN"/>
              </w:rPr>
              <w:t>完成市级任务要求</w:t>
            </w:r>
            <w:r>
              <w:rPr>
                <w:rFonts w:hint="eastAsia" w:ascii="仿宋_GB2312" w:eastAsia="仿宋_GB2312" w:cs="Times New Roman"/>
                <w:color w:val="auto"/>
                <w:sz w:val="28"/>
                <w:szCs w:val="28"/>
                <w:highlight w:val="none"/>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ascii="仿宋_GB2312" w:hAnsi="宋体" w:eastAsia="仿宋_GB2312" w:cs="仿宋_GB2312"/>
                <w:color w:val="auto"/>
                <w:kern w:val="0"/>
                <w:sz w:val="28"/>
                <w:szCs w:val="28"/>
                <w:highlight w:val="none"/>
                <w:lang w:bidi="ar"/>
              </w:rPr>
            </w:pPr>
            <w:r>
              <w:rPr>
                <w:rFonts w:ascii="仿宋_GB2312" w:hAnsi="宋体" w:eastAsia="仿宋_GB2312" w:cs="仿宋_GB2312"/>
                <w:color w:val="auto"/>
                <w:kern w:val="0"/>
                <w:sz w:val="28"/>
                <w:szCs w:val="28"/>
                <w:highlight w:val="none"/>
                <w:lang w:bidi="ar"/>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ascii="仿宋_GB2312" w:hAnsi="宋体" w:eastAsia="仿宋_GB2312" w:cs="仿宋_GB2312"/>
                <w:color w:val="auto"/>
                <w:kern w:val="0"/>
                <w:sz w:val="28"/>
                <w:szCs w:val="28"/>
                <w:highlight w:val="none"/>
                <w:lang w:bidi="ar"/>
              </w:rPr>
              <w:t>实施</w:t>
            </w:r>
          </w:p>
        </w:tc>
        <w:tc>
          <w:tcPr>
            <w:tcW w:w="2053" w:type="dxa"/>
            <w:vMerge w:val="continue"/>
            <w:tcBorders>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8"/>
                <w:szCs w:val="28"/>
                <w:highlight w:val="none"/>
              </w:rPr>
            </w:pPr>
          </w:p>
        </w:tc>
        <w:tc>
          <w:tcPr>
            <w:tcW w:w="2386" w:type="dxa"/>
            <w:gridSpan w:val="3"/>
            <w:vMerge w:val="continue"/>
            <w:tcBorders>
              <w:left w:val="single" w:color="auto" w:sz="4" w:space="0"/>
              <w:bottom w:val="single" w:color="auto" w:sz="4" w:space="0"/>
              <w:right w:val="single" w:color="auto" w:sz="4" w:space="0"/>
            </w:tcBorders>
            <w:vAlign w:val="center"/>
          </w:tcPr>
          <w:p>
            <w:pPr>
              <w:widowControl/>
              <w:jc w:val="center"/>
              <w:textAlignment w:val="center"/>
              <w:rPr>
                <w:rFonts w:eastAsia="仿宋_GB2312"/>
                <w:color w:val="auto"/>
                <w:sz w:val="28"/>
                <w:szCs w:val="28"/>
                <w:highlight w:val="none"/>
              </w:rPr>
            </w:pPr>
          </w:p>
        </w:tc>
        <w:tc>
          <w:tcPr>
            <w:tcW w:w="234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val="en-US" w:eastAsia="zh-CN"/>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48"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r>
              <w:rPr>
                <w:rFonts w:hint="default" w:ascii="仿宋_GB2312" w:eastAsia="仿宋_GB2312"/>
                <w:color w:val="auto"/>
                <w:sz w:val="28"/>
                <w:szCs w:val="28"/>
                <w:highlight w:val="none"/>
              </w:rPr>
              <w:t>11</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加强入河排污口监管</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ascii="仿宋_GB2312" w:eastAsia="仿宋_GB2312" w:cs="Times New Roman"/>
                <w:color w:val="auto"/>
                <w:sz w:val="28"/>
                <w:szCs w:val="28"/>
                <w:highlight w:val="none"/>
              </w:rPr>
            </w:pPr>
            <w:r>
              <w:rPr>
                <w:rFonts w:hint="eastAsia" w:ascii="仿宋_GB2312" w:eastAsia="仿宋_GB2312" w:cs="Times New Roman"/>
                <w:color w:val="auto"/>
                <w:sz w:val="28"/>
                <w:szCs w:val="28"/>
                <w:highlight w:val="none"/>
              </w:rPr>
              <w:t>巩固清理整治成效，问题排口动态清零。严格新建、改建、扩建入河排污口设置管理，按照分级审批权限做好设置审批。</w:t>
            </w:r>
          </w:p>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color w:val="auto"/>
                <w:sz w:val="28"/>
                <w:szCs w:val="28"/>
                <w:highlight w:val="none"/>
              </w:rPr>
            </w:pPr>
            <w:r>
              <w:rPr>
                <w:rFonts w:hint="eastAsia" w:ascii="仿宋_GB2312" w:eastAsia="仿宋_GB2312" w:cs="Times New Roman"/>
                <w:color w:val="auto"/>
                <w:sz w:val="28"/>
                <w:szCs w:val="28"/>
                <w:highlight w:val="none"/>
              </w:rPr>
              <w:t>持续开展排查溯源和数据更新，实现排污口排查整治、设置审核备案、日常监督管理等信息互通，建立动态管理台账。</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ascii="仿宋_GB2312" w:eastAsia="仿宋_GB2312"/>
                <w:color w:val="auto"/>
                <w:sz w:val="28"/>
                <w:szCs w:val="28"/>
                <w:highlight w:val="none"/>
              </w:rPr>
              <w:t>实施</w:t>
            </w:r>
          </w:p>
        </w:tc>
        <w:tc>
          <w:tcPr>
            <w:tcW w:w="20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s="Times New Roman"/>
                <w:color w:val="auto"/>
                <w:sz w:val="28"/>
                <w:szCs w:val="28"/>
                <w:highlight w:val="none"/>
                <w:lang w:val="en-US" w:eastAsia="zh-CN"/>
              </w:rPr>
              <w:t>区生态环境局</w:t>
            </w:r>
          </w:p>
        </w:tc>
        <w:tc>
          <w:tcPr>
            <w:tcW w:w="2386" w:type="dxa"/>
            <w:gridSpan w:val="3"/>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区生态环境局</w:t>
            </w:r>
          </w:p>
          <w:p>
            <w:pPr>
              <w:keepNext w:val="0"/>
              <w:keepLines w:val="0"/>
              <w:pageBreakBefore w:val="0"/>
              <w:kinsoku/>
              <w:wordWrap/>
              <w:overflowPunct/>
              <w:topLinePunct w:val="0"/>
              <w:bidi w:val="0"/>
              <w:adjustRightInd/>
              <w:snapToGrid/>
              <w:spacing w:line="36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区水务局</w:t>
            </w:r>
          </w:p>
          <w:p>
            <w:pPr>
              <w:pStyle w:val="5"/>
              <w:keepNext w:val="0"/>
              <w:keepLines w:val="0"/>
              <w:pageBreakBefore w:val="0"/>
              <w:kinsoku/>
              <w:wordWrap/>
              <w:overflowPunct/>
              <w:topLinePunct w:val="0"/>
              <w:bidi w:val="0"/>
              <w:adjustRightInd/>
              <w:snapToGrid/>
              <w:spacing w:line="360" w:lineRule="exact"/>
              <w:jc w:val="center"/>
              <w:rPr>
                <w:rFonts w:hint="eastAsia"/>
                <w:color w:val="auto"/>
                <w:highlight w:val="none"/>
                <w:lang w:val="en-US" w:eastAsia="zh-CN"/>
              </w:rPr>
            </w:pPr>
            <w:r>
              <w:rPr>
                <w:rFonts w:hint="eastAsia" w:cs="Times New Roman"/>
                <w:color w:val="auto"/>
                <w:sz w:val="28"/>
                <w:szCs w:val="28"/>
                <w:highlight w:val="none"/>
                <w:lang w:val="en-US" w:eastAsia="zh-CN"/>
              </w:rPr>
              <w:t>区城管委</w:t>
            </w:r>
          </w:p>
          <w:p>
            <w:pPr>
              <w:keepNext w:val="0"/>
              <w:keepLines w:val="0"/>
              <w:pageBreakBefore w:val="0"/>
              <w:kinsoku/>
              <w:wordWrap/>
              <w:overflowPunct/>
              <w:topLinePunct w:val="0"/>
              <w:bidi w:val="0"/>
              <w:adjustRightInd/>
              <w:snapToGrid/>
              <w:spacing w:line="360" w:lineRule="exact"/>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相关镇街（地区）</w:t>
            </w:r>
          </w:p>
          <w:p>
            <w:pPr>
              <w:keepNext w:val="0"/>
              <w:keepLines w:val="0"/>
              <w:pageBreakBefore w:val="0"/>
              <w:kinsoku/>
              <w:wordWrap/>
              <w:overflowPunct/>
              <w:topLinePunct w:val="0"/>
              <w:bidi w:val="0"/>
              <w:adjustRightInd/>
              <w:snapToGrid/>
              <w:spacing w:line="360" w:lineRule="exact"/>
              <w:jc w:val="center"/>
              <w:rPr>
                <w:rFonts w:hint="eastAsia" w:ascii="Times New Roman" w:hAnsi="Times New Roman" w:eastAsia="仿宋_GB2312" w:cs="Times New Roman"/>
                <w:color w:val="auto"/>
                <w:kern w:val="2"/>
                <w:sz w:val="28"/>
                <w:szCs w:val="28"/>
                <w:highlight w:val="none"/>
                <w:lang w:val="en-US" w:eastAsia="zh-CN" w:bidi="ar-SA"/>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6"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color w:val="auto"/>
                <w:spacing w:val="-6"/>
                <w:sz w:val="28"/>
                <w:szCs w:val="28"/>
                <w:highlight w:val="none"/>
              </w:rPr>
            </w:pPr>
            <w:r>
              <w:rPr>
                <w:rFonts w:hint="eastAsia" w:ascii="仿宋_GB2312" w:eastAsia="仿宋_GB2312" w:cs="Times New Roman"/>
                <w:color w:val="auto"/>
                <w:sz w:val="28"/>
                <w:szCs w:val="28"/>
                <w:highlight w:val="none"/>
              </w:rPr>
              <w:t>推进入河排口精细化管理，加强水质在线监管平台的应用，对水质异常的排口快速查找原因，及时组织整治。推动</w:t>
            </w:r>
            <w:r>
              <w:rPr>
                <w:rFonts w:hint="default" w:ascii="仿宋_GB2312" w:eastAsia="仿宋_GB2312" w:cs="Times New Roman"/>
                <w:color w:val="auto"/>
                <w:sz w:val="28"/>
                <w:szCs w:val="28"/>
                <w:highlight w:val="none"/>
              </w:rPr>
              <w:t>“</w:t>
            </w:r>
            <w:r>
              <w:rPr>
                <w:rFonts w:hint="eastAsia" w:ascii="仿宋_GB2312" w:eastAsia="仿宋_GB2312" w:cs="Times New Roman"/>
                <w:color w:val="auto"/>
                <w:sz w:val="28"/>
                <w:szCs w:val="28"/>
                <w:highlight w:val="none"/>
              </w:rPr>
              <w:t>排污单位-排污通道-排污口-受纳水体</w:t>
            </w:r>
            <w:r>
              <w:rPr>
                <w:rFonts w:hint="default" w:ascii="仿宋_GB2312" w:eastAsia="仿宋_GB2312" w:cs="Times New Roman"/>
                <w:color w:val="auto"/>
                <w:sz w:val="28"/>
                <w:szCs w:val="28"/>
                <w:highlight w:val="none"/>
              </w:rPr>
              <w:t>”</w:t>
            </w:r>
            <w:r>
              <w:rPr>
                <w:rFonts w:hint="eastAsia" w:ascii="仿宋_GB2312" w:eastAsia="仿宋_GB2312" w:cs="Times New Roman"/>
                <w:color w:val="auto"/>
                <w:sz w:val="28"/>
                <w:szCs w:val="28"/>
                <w:highlight w:val="none"/>
              </w:rPr>
              <w:t>全过程管理。</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rPr>
            </w:pPr>
          </w:p>
        </w:tc>
        <w:tc>
          <w:tcPr>
            <w:tcW w:w="2386" w:type="dxa"/>
            <w:gridSpan w:val="3"/>
            <w:vMerge w:val="continue"/>
            <w:tcBorders>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rPr>
            </w:pPr>
          </w:p>
        </w:tc>
        <w:tc>
          <w:tcPr>
            <w:tcW w:w="2341" w:type="dxa"/>
            <w:vMerge w:val="continue"/>
            <w:tcBorders>
              <w:left w:val="single" w:color="auto" w:sz="4" w:space="0"/>
              <w:bottom w:val="single" w:color="auto" w:sz="4" w:space="0"/>
              <w:right w:val="single" w:color="auto" w:sz="4" w:space="0"/>
            </w:tcBorders>
            <w:vAlign w:val="center"/>
          </w:tcPr>
          <w:p>
            <w:pPr>
              <w:spacing w:line="400" w:lineRule="exact"/>
              <w:jc w:val="center"/>
              <w:rPr>
                <w:rFonts w:hint="default" w:eastAsia="仿宋_GB2312"/>
                <w:color w:val="auto"/>
                <w:sz w:val="28"/>
                <w:szCs w:val="28"/>
                <w:highlight w:val="no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50"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12</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ascii="仿宋_GB2312" w:eastAsia="仿宋_GB2312"/>
                <w:b w:val="0"/>
                <w:bCs w:val="0"/>
                <w:color w:val="auto"/>
                <w:sz w:val="28"/>
                <w:szCs w:val="28"/>
                <w:highlight w:val="none"/>
              </w:rPr>
            </w:pPr>
            <w:r>
              <w:rPr>
                <w:rFonts w:hint="eastAsia" w:ascii="仿宋_GB2312" w:eastAsia="仿宋_GB2312"/>
                <w:b w:val="0"/>
                <w:bCs w:val="0"/>
                <w:color w:val="auto"/>
                <w:sz w:val="28"/>
                <w:szCs w:val="28"/>
                <w:highlight w:val="none"/>
              </w:rPr>
              <w:t>巩固水体整治成效</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b w:val="0"/>
                <w:bCs w:val="0"/>
                <w:i w:val="0"/>
                <w:iCs w:val="0"/>
                <w:color w:val="auto"/>
                <w:sz w:val="28"/>
                <w:szCs w:val="28"/>
                <w:highlight w:val="none"/>
              </w:rPr>
            </w:pPr>
            <w:r>
              <w:rPr>
                <w:rFonts w:hint="eastAsia" w:eastAsia="仿宋_GB2312"/>
                <w:b w:val="0"/>
                <w:bCs w:val="0"/>
                <w:color w:val="auto"/>
                <w:sz w:val="28"/>
                <w:szCs w:val="28"/>
                <w:highlight w:val="none"/>
              </w:rPr>
              <w:t>发挥</w:t>
            </w:r>
            <w:r>
              <w:rPr>
                <w:rFonts w:hint="eastAsia" w:eastAsia="仿宋_GB2312"/>
                <w:b w:val="0"/>
                <w:bCs w:val="0"/>
                <w:color w:val="auto"/>
                <w:sz w:val="28"/>
                <w:szCs w:val="28"/>
                <w:highlight w:val="none"/>
                <w:lang w:eastAsia="zh-CN"/>
              </w:rPr>
              <w:t>“</w:t>
            </w:r>
            <w:r>
              <w:rPr>
                <w:rFonts w:hint="eastAsia" w:eastAsia="仿宋_GB2312"/>
                <w:b w:val="0"/>
                <w:bCs w:val="0"/>
                <w:color w:val="auto"/>
                <w:sz w:val="28"/>
                <w:szCs w:val="28"/>
                <w:highlight w:val="none"/>
              </w:rPr>
              <w:t>河长制</w:t>
            </w:r>
            <w:r>
              <w:rPr>
                <w:rFonts w:hint="eastAsia" w:eastAsia="仿宋_GB2312"/>
                <w:b w:val="0"/>
                <w:bCs w:val="0"/>
                <w:color w:val="auto"/>
                <w:sz w:val="28"/>
                <w:szCs w:val="28"/>
                <w:highlight w:val="none"/>
                <w:lang w:eastAsia="zh-CN"/>
              </w:rPr>
              <w:t>”“</w:t>
            </w:r>
            <w:r>
              <w:rPr>
                <w:rFonts w:hint="eastAsia" w:eastAsia="仿宋_GB2312"/>
                <w:b w:val="0"/>
                <w:bCs w:val="0"/>
                <w:color w:val="auto"/>
                <w:sz w:val="28"/>
                <w:szCs w:val="28"/>
                <w:highlight w:val="none"/>
              </w:rPr>
              <w:t>湖长制</w:t>
            </w:r>
            <w:r>
              <w:rPr>
                <w:rFonts w:hint="eastAsia" w:eastAsia="仿宋_GB2312"/>
                <w:b w:val="0"/>
                <w:bCs w:val="0"/>
                <w:color w:val="auto"/>
                <w:sz w:val="28"/>
                <w:szCs w:val="28"/>
                <w:highlight w:val="none"/>
                <w:lang w:eastAsia="zh-CN"/>
              </w:rPr>
              <w:t>”</w:t>
            </w:r>
            <w:r>
              <w:rPr>
                <w:rFonts w:hint="eastAsia" w:eastAsia="仿宋_GB2312"/>
                <w:b w:val="0"/>
                <w:bCs w:val="0"/>
                <w:color w:val="auto"/>
                <w:sz w:val="28"/>
                <w:szCs w:val="28"/>
                <w:highlight w:val="none"/>
              </w:rPr>
              <w:t>统筹作用，加强汛期面源污染治理、污水直排混排入河监管巡查力度，将河流消劣治理、整治后黑臭水体管护、农村小微水体管护等任务纳入年度总河长令，相关部门加强日常监督检查并做好技术指导工作。</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b w:val="0"/>
                <w:bCs w:val="0"/>
                <w:i w:val="0"/>
                <w:iCs w:val="0"/>
                <w:color w:val="auto"/>
                <w:sz w:val="28"/>
                <w:szCs w:val="28"/>
                <w:highlight w:val="none"/>
              </w:rPr>
            </w:pPr>
            <w:r>
              <w:rPr>
                <w:rFonts w:hint="eastAsia" w:eastAsia="仿宋_GB2312"/>
                <w:color w:val="auto"/>
                <w:sz w:val="28"/>
                <w:szCs w:val="28"/>
                <w:highlight w:val="none"/>
              </w:rPr>
              <w:t>实施</w:t>
            </w:r>
          </w:p>
        </w:tc>
        <w:tc>
          <w:tcPr>
            <w:tcW w:w="2053" w:type="dxa"/>
            <w:tcBorders>
              <w:top w:val="single" w:color="auto" w:sz="4" w:space="0"/>
              <w:left w:val="single" w:color="auto" w:sz="4" w:space="0"/>
              <w:right w:val="single" w:color="auto" w:sz="4" w:space="0"/>
            </w:tcBorders>
            <w:vAlign w:val="center"/>
          </w:tcPr>
          <w:p>
            <w:pPr>
              <w:pStyle w:val="10"/>
              <w:ind w:left="0" w:leftChars="0" w:firstLine="0" w:firstLineChars="0"/>
              <w:jc w:val="center"/>
              <w:rPr>
                <w:rFonts w:hint="eastAsia" w:eastAsia="宋体"/>
                <w:color w:val="auto"/>
                <w:sz w:val="28"/>
                <w:szCs w:val="28"/>
                <w:highlight w:val="none"/>
                <w:lang w:eastAsia="zh-CN"/>
              </w:rPr>
            </w:pPr>
            <w:r>
              <w:rPr>
                <w:rFonts w:hint="eastAsia" w:ascii="Calibri" w:hAnsi="Calibri" w:eastAsia="仿宋_GB2312" w:cs="Times New Roman"/>
                <w:color w:val="auto"/>
                <w:kern w:val="2"/>
                <w:sz w:val="28"/>
                <w:szCs w:val="28"/>
                <w:highlight w:val="none"/>
                <w:lang w:val="en-US" w:eastAsia="zh-CN" w:bidi="ar-SA"/>
              </w:rPr>
              <w:t>区水务局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color w:val="auto"/>
                <w:sz w:val="28"/>
                <w:szCs w:val="28"/>
                <w:highlight w:val="none"/>
                <w:lang w:val="en-US" w:eastAsia="zh-CN"/>
              </w:rPr>
              <w:t>区城管委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eastAsia="仿宋_GB2312"/>
                <w:b w:val="0"/>
                <w:bCs w:val="0"/>
                <w:i w:val="0"/>
                <w:iCs w:val="0"/>
                <w:color w:val="auto"/>
                <w:sz w:val="28"/>
                <w:szCs w:val="28"/>
                <w:highlight w:val="none"/>
                <w:lang w:val="en"/>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40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区农业农村局</w:t>
            </w:r>
          </w:p>
          <w:p>
            <w:pPr>
              <w:keepNext w:val="0"/>
              <w:keepLines w:val="0"/>
              <w:pageBreakBefore w:val="0"/>
              <w:widowControl/>
              <w:kinsoku/>
              <w:wordWrap/>
              <w:overflowPunct/>
              <w:topLinePunct w:val="0"/>
              <w:autoSpaceDE w:val="0"/>
              <w:autoSpaceDN w:val="0"/>
              <w:bidi w:val="0"/>
              <w:adjustRightInd/>
              <w:snapToGrid/>
              <w:spacing w:line="400" w:lineRule="exact"/>
              <w:jc w:val="center"/>
              <w:textAlignment w:val="center"/>
              <w:outlineLvl w:val="9"/>
              <w:rPr>
                <w:rFonts w:hint="eastAsia" w:eastAsia="仿宋_GB2312"/>
                <w:b w:val="0"/>
                <w:bCs w:val="0"/>
                <w:i w:val="0"/>
                <w:iCs w:val="0"/>
                <w:color w:val="auto"/>
                <w:sz w:val="28"/>
                <w:szCs w:val="28"/>
                <w:highlight w:val="none"/>
                <w:lang w:val="en-US" w:eastAsia="zh-CN"/>
              </w:rPr>
            </w:pPr>
            <w:r>
              <w:rPr>
                <w:rFonts w:hint="eastAsia" w:eastAsia="仿宋_GB2312"/>
                <w:color w:val="auto"/>
                <w:sz w:val="28"/>
                <w:szCs w:val="28"/>
                <w:highlight w:val="none"/>
                <w:lang w:val="en-US" w:eastAsia="zh-CN"/>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b w:val="0"/>
                <w:bCs w:val="0"/>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ascii="仿宋_GB2312" w:eastAsia="仿宋_GB2312"/>
                <w:b w:val="0"/>
                <w:bCs w:val="0"/>
                <w:i w:val="0"/>
                <w:iCs w:val="0"/>
                <w:color w:val="auto"/>
                <w:sz w:val="28"/>
                <w:szCs w:val="28"/>
                <w:highlight w:val="none"/>
              </w:rPr>
            </w:pPr>
            <w:r>
              <w:rPr>
                <w:rFonts w:hint="eastAsia" w:eastAsia="仿宋_GB2312"/>
                <w:b w:val="0"/>
                <w:bCs w:val="0"/>
                <w:color w:val="auto"/>
                <w:sz w:val="28"/>
                <w:szCs w:val="28"/>
                <w:highlight w:val="none"/>
              </w:rPr>
              <w:t>加强对黑臭水体、农村小微水体、劣V类水体监测巡查，第二、三季度每月开展黑臭水体水质监测，对发现的黑臭问题，当月完成整改，确保动态清零。</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b w:val="0"/>
                <w:bCs w:val="0"/>
                <w:i w:val="0"/>
                <w:iCs w:val="0"/>
                <w:color w:val="auto"/>
                <w:sz w:val="28"/>
                <w:szCs w:val="28"/>
                <w:highlight w:val="none"/>
              </w:rPr>
            </w:pPr>
            <w:r>
              <w:rPr>
                <w:rFonts w:hint="eastAsia" w:eastAsia="仿宋_GB2312"/>
                <w:color w:val="auto"/>
                <w:sz w:val="28"/>
                <w:szCs w:val="28"/>
                <w:highlight w:val="none"/>
              </w:rPr>
              <w:t>实施</w:t>
            </w:r>
          </w:p>
        </w:tc>
        <w:tc>
          <w:tcPr>
            <w:tcW w:w="2053" w:type="dxa"/>
            <w:tcBorders>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区水务局</w:t>
            </w:r>
          </w:p>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eastAsia="宋体"/>
                <w:color w:val="auto"/>
                <w:sz w:val="28"/>
                <w:szCs w:val="28"/>
                <w:highlight w:val="none"/>
                <w:lang w:eastAsia="zh-CN"/>
              </w:rPr>
            </w:pPr>
            <w:r>
              <w:rPr>
                <w:rFonts w:hint="eastAsia" w:ascii="Calibri" w:hAnsi="Calibri" w:eastAsia="仿宋_GB2312" w:cs="Times New Roman"/>
                <w:color w:val="auto"/>
                <w:kern w:val="2"/>
                <w:sz w:val="28"/>
                <w:szCs w:val="28"/>
                <w:highlight w:val="none"/>
                <w:lang w:val="en-US" w:eastAsia="zh-CN" w:bidi="ar-SA"/>
              </w:rPr>
              <w:t>区生态环境局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jc w:val="center"/>
              <w:textAlignment w:val="auto"/>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kinsoku/>
              <w:wordWrap/>
              <w:overflowPunct/>
              <w:topLinePunct w:val="0"/>
              <w:autoSpaceDE/>
              <w:autoSpaceDN/>
              <w:bidi w:val="0"/>
              <w:adjustRightInd/>
              <w:snapToGrid/>
              <w:spacing w:line="360" w:lineRule="exact"/>
              <w:jc w:val="center"/>
              <w:outlineLvl w:val="9"/>
              <w:rPr>
                <w:rFonts w:hint="default" w:eastAsia="仿宋_GB2312"/>
                <w:b w:val="0"/>
                <w:bCs w:val="0"/>
                <w:i w:val="0"/>
                <w:iCs w:val="0"/>
                <w:color w:val="auto"/>
                <w:sz w:val="28"/>
                <w:szCs w:val="28"/>
                <w:highlight w:val="none"/>
                <w:lang w:val="en"/>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b w:val="0"/>
                <w:bCs w:val="0"/>
                <w:i w:val="0"/>
                <w:iCs w:val="0"/>
                <w:color w:val="auto"/>
                <w:sz w:val="28"/>
                <w:szCs w:val="28"/>
                <w:highlight w:val="none"/>
                <w:lang w:val="en-US" w:eastAsia="zh-CN"/>
              </w:rPr>
            </w:pPr>
            <w:r>
              <w:rPr>
                <w:rFonts w:hint="eastAsia" w:eastAsia="仿宋_GB2312"/>
                <w:b w:val="0"/>
                <w:bCs w:val="0"/>
                <w:i w:val="0"/>
                <w:iCs w:val="0"/>
                <w:color w:val="auto"/>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b w:val="0"/>
                <w:bCs w:val="0"/>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tabs>
                <w:tab w:val="left" w:pos="8400"/>
              </w:tabs>
              <w:kinsoku/>
              <w:wordWrap/>
              <w:overflowPunct/>
              <w:topLinePunct w:val="0"/>
              <w:autoSpaceDE/>
              <w:autoSpaceDN/>
              <w:bidi w:val="0"/>
              <w:adjustRightInd w:val="0"/>
              <w:snapToGrid w:val="0"/>
              <w:spacing w:line="360" w:lineRule="exact"/>
              <w:ind w:right="0" w:rightChars="0"/>
              <w:jc w:val="left"/>
              <w:textAlignment w:val="auto"/>
              <w:outlineLvl w:val="9"/>
              <w:rPr>
                <w:rFonts w:hint="eastAsia" w:eastAsia="仿宋_GB2312"/>
                <w:b w:val="0"/>
                <w:bCs w:val="0"/>
                <w:color w:val="auto"/>
                <w:sz w:val="28"/>
                <w:szCs w:val="28"/>
                <w:highlight w:val="none"/>
                <w:lang w:eastAsia="zh-CN"/>
              </w:rPr>
            </w:pPr>
            <w:r>
              <w:rPr>
                <w:rFonts w:hint="eastAsia" w:eastAsia="仿宋_GB2312"/>
                <w:b w:val="0"/>
                <w:bCs w:val="0"/>
                <w:color w:val="auto"/>
                <w:sz w:val="28"/>
                <w:szCs w:val="28"/>
                <w:highlight w:val="none"/>
              </w:rPr>
              <w:t>加强污染减排与生态扩容，</w:t>
            </w:r>
            <w:r>
              <w:rPr>
                <w:rFonts w:hint="eastAsia" w:eastAsia="仿宋_GB2312"/>
                <w:b w:val="0"/>
                <w:bCs w:val="0"/>
                <w:color w:val="auto"/>
                <w:sz w:val="28"/>
                <w:szCs w:val="28"/>
                <w:highlight w:val="none"/>
                <w:lang w:eastAsia="zh-CN"/>
              </w:rPr>
              <w:t>推进城区白河下段水体稳定达标。</w:t>
            </w:r>
          </w:p>
          <w:p>
            <w:pPr>
              <w:keepNext w:val="0"/>
              <w:keepLines w:val="0"/>
              <w:pageBreakBefore w:val="0"/>
              <w:widowControl w:val="0"/>
              <w:numPr>
                <w:ilvl w:val="0"/>
                <w:numId w:val="0"/>
              </w:numPr>
              <w:tabs>
                <w:tab w:val="left" w:pos="8400"/>
              </w:tabs>
              <w:kinsoku/>
              <w:wordWrap/>
              <w:overflowPunct/>
              <w:topLinePunct w:val="0"/>
              <w:autoSpaceDE/>
              <w:autoSpaceDN/>
              <w:bidi w:val="0"/>
              <w:adjustRightInd w:val="0"/>
              <w:snapToGrid w:val="0"/>
              <w:spacing w:line="360" w:lineRule="exact"/>
              <w:ind w:right="0" w:rightChars="0"/>
              <w:jc w:val="left"/>
              <w:textAlignment w:val="auto"/>
              <w:outlineLvl w:val="9"/>
              <w:rPr>
                <w:rFonts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lang w:eastAsia="zh-CN"/>
              </w:rPr>
              <w:t>相关部门和属地共同开展雨污合流整治，</w:t>
            </w:r>
            <w:r>
              <w:rPr>
                <w:rFonts w:hint="eastAsia" w:eastAsia="仿宋_GB2312"/>
                <w:b w:val="0"/>
                <w:bCs w:val="0"/>
                <w:color w:val="auto"/>
                <w:sz w:val="28"/>
                <w:szCs w:val="28"/>
                <w:highlight w:val="none"/>
                <w:lang w:val="en-US" w:eastAsia="zh-CN"/>
              </w:rPr>
              <w:t>区水务局牵头，会同各属地，严格落实河长制工作要求，加强河道巡查，对雨污合流情况发现一起、溯源一起、整治一起。区生态环境局加强对城区河道开展水质监测，关注水质变化情况并及时通报。</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仿宋_GB2312" w:hAnsi="宋体" w:eastAsia="仿宋_GB2312" w:cs="仿宋_GB2312"/>
                <w:color w:val="auto"/>
                <w:kern w:val="0"/>
                <w:sz w:val="28"/>
                <w:szCs w:val="28"/>
                <w:highlight w:val="none"/>
                <w:lang w:bidi="ar"/>
              </w:rPr>
            </w:pPr>
            <w:r>
              <w:rPr>
                <w:rFonts w:hint="eastAsia" w:eastAsia="仿宋_GB2312"/>
                <w:b w:val="0"/>
                <w:bCs w:val="0"/>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ascii="Calibri" w:hAnsi="Calibri" w:eastAsia="仿宋_GB2312" w:cs="Times New Roman"/>
                <w:color w:val="auto"/>
                <w:kern w:val="2"/>
                <w:sz w:val="28"/>
                <w:szCs w:val="28"/>
                <w:highlight w:val="none"/>
                <w:lang w:val="en-US" w:eastAsia="zh-CN" w:bidi="ar-SA"/>
              </w:rPr>
            </w:pPr>
            <w:r>
              <w:rPr>
                <w:rFonts w:hint="eastAsia" w:ascii="Calibri" w:hAnsi="Calibri" w:eastAsia="仿宋_GB2312" w:cs="Times New Roman"/>
                <w:color w:val="auto"/>
                <w:kern w:val="2"/>
                <w:sz w:val="28"/>
                <w:szCs w:val="28"/>
                <w:highlight w:val="none"/>
                <w:lang w:val="en-US" w:eastAsia="zh-CN" w:bidi="ar-SA"/>
              </w:rPr>
              <w:t>区水务局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区城管委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区发改委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s="Times New Roman"/>
                <w:color w:val="auto"/>
                <w:kern w:val="2"/>
                <w:sz w:val="28"/>
                <w:szCs w:val="28"/>
                <w:highlight w:val="none"/>
                <w:lang w:val="en-US" w:eastAsia="zh-CN" w:bidi="ar-SA"/>
              </w:rPr>
            </w:pPr>
            <w:r>
              <w:rPr>
                <w:rFonts w:hint="eastAsia" w:eastAsia="仿宋_GB2312" w:cs="Times New Roman"/>
                <w:color w:val="auto"/>
                <w:kern w:val="2"/>
                <w:sz w:val="28"/>
                <w:szCs w:val="28"/>
                <w:highlight w:val="none"/>
                <w:lang w:val="en-US" w:eastAsia="zh-CN" w:bidi="ar-SA"/>
              </w:rPr>
              <w:t>区住建委</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b w:val="0"/>
                <w:bCs w:val="0"/>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default"/>
                <w:color w:val="auto"/>
                <w:sz w:val="28"/>
                <w:szCs w:val="28"/>
                <w:highlight w:val="none"/>
                <w:lang w:val="en"/>
              </w:rPr>
            </w:pPr>
            <w:r>
              <w:rPr>
                <w:rFonts w:hint="eastAsia" w:ascii="Times New Roman" w:hAnsi="Times New Roman" w:eastAsia="仿宋_GB2312" w:cs="Times New Roman"/>
                <w:color w:val="auto"/>
                <w:kern w:val="2"/>
                <w:sz w:val="28"/>
                <w:szCs w:val="28"/>
                <w:highlight w:val="none"/>
                <w:lang w:val="en-US" w:eastAsia="zh-CN" w:bidi="ar-SA"/>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b w:val="0"/>
                <w:bCs w:val="0"/>
                <w:i w:val="0"/>
                <w:iCs w:val="0"/>
                <w:color w:val="auto"/>
                <w:sz w:val="28"/>
                <w:szCs w:val="28"/>
                <w:highlight w:val="none"/>
                <w:lang w:val="en-US" w:eastAsia="zh-CN"/>
              </w:rPr>
            </w:pPr>
            <w:r>
              <w:rPr>
                <w:rFonts w:hint="eastAsia" w:ascii="仿宋_GB2312" w:hAnsi="宋体" w:eastAsia="仿宋_GB2312" w:cs="仿宋_GB2312"/>
                <w:color w:val="auto"/>
                <w:kern w:val="0"/>
                <w:sz w:val="28"/>
                <w:szCs w:val="28"/>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7" w:hRule="atLeast"/>
          <w:jc w:val="center"/>
        </w:trPr>
        <w:tc>
          <w:tcPr>
            <w:tcW w:w="629" w:type="dxa"/>
            <w:vMerge w:val="restart"/>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3</w:t>
            </w:r>
          </w:p>
        </w:tc>
        <w:tc>
          <w:tcPr>
            <w:tcW w:w="854" w:type="dxa"/>
            <w:vMerge w:val="restart"/>
            <w:tcBorders>
              <w:top w:val="single" w:color="auto" w:sz="4" w:space="0"/>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eastAsia="仿宋_GB2312"/>
                <w:color w:val="auto"/>
                <w:sz w:val="28"/>
                <w:szCs w:val="28"/>
                <w:highlight w:val="none"/>
              </w:rPr>
              <w:t>强化</w:t>
            </w:r>
            <w:r>
              <w:rPr>
                <w:rFonts w:hint="eastAsia" w:eastAsia="仿宋_GB2312"/>
                <w:color w:val="auto"/>
                <w:sz w:val="28"/>
                <w:szCs w:val="28"/>
                <w:highlight w:val="none"/>
                <w:lang w:eastAsia="zh-CN"/>
              </w:rPr>
              <w:t>监管</w:t>
            </w:r>
            <w:r>
              <w:rPr>
                <w:rFonts w:hint="eastAsia" w:eastAsia="仿宋_GB2312"/>
                <w:color w:val="auto"/>
                <w:sz w:val="28"/>
                <w:szCs w:val="28"/>
                <w:highlight w:val="none"/>
              </w:rPr>
              <w:t>执法</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pacing w:val="-6"/>
                <w:sz w:val="28"/>
                <w:szCs w:val="28"/>
                <w:highlight w:val="none"/>
              </w:rPr>
            </w:pPr>
            <w:r>
              <w:rPr>
                <w:rFonts w:hint="eastAsia" w:eastAsia="仿宋_GB2312" w:cs="Times New Roman"/>
                <w:color w:val="auto"/>
                <w:sz w:val="28"/>
                <w:szCs w:val="28"/>
                <w:highlight w:val="none"/>
                <w:lang w:val="en-US" w:eastAsia="zh-CN"/>
              </w:rPr>
              <w:t>巩固多部门联合执法机制，加大环境执法力度。以水环境问题为导向，开展流域</w:t>
            </w:r>
            <w:r>
              <w:rPr>
                <w:rFonts w:hint="default" w:eastAsia="仿宋_GB2312" w:cs="Times New Roman"/>
                <w:color w:val="auto"/>
                <w:sz w:val="28"/>
                <w:szCs w:val="28"/>
                <w:highlight w:val="none"/>
                <w:lang w:val="en-US" w:eastAsia="zh-CN"/>
              </w:rPr>
              <w:t>“</w:t>
            </w:r>
            <w:r>
              <w:rPr>
                <w:rFonts w:hint="eastAsia" w:eastAsia="仿宋_GB2312" w:cs="Times New Roman"/>
                <w:color w:val="auto"/>
                <w:sz w:val="28"/>
                <w:szCs w:val="28"/>
                <w:highlight w:val="none"/>
                <w:lang w:val="en-US" w:eastAsia="zh-CN"/>
              </w:rPr>
              <w:t>点穴</w:t>
            </w:r>
            <w:r>
              <w:rPr>
                <w:rFonts w:hint="default" w:eastAsia="仿宋_GB2312" w:cs="Times New Roman"/>
                <w:color w:val="auto"/>
                <w:sz w:val="28"/>
                <w:szCs w:val="28"/>
                <w:highlight w:val="none"/>
                <w:lang w:val="en-US" w:eastAsia="zh-CN"/>
              </w:rPr>
              <w:t>”</w:t>
            </w:r>
            <w:r>
              <w:rPr>
                <w:rFonts w:hint="eastAsia" w:eastAsia="仿宋_GB2312" w:cs="Times New Roman"/>
                <w:color w:val="auto"/>
                <w:sz w:val="28"/>
                <w:szCs w:val="28"/>
                <w:highlight w:val="none"/>
                <w:lang w:val="en-US" w:eastAsia="zh-CN"/>
              </w:rPr>
              <w:t>执法，重点对饮用水水源地、入河排污口、未纳管企业和农村污水治理设施等开展专项执法。</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eastAsia="仿宋_GB2312"/>
                <w:color w:val="auto"/>
                <w:sz w:val="28"/>
                <w:szCs w:val="28"/>
                <w:highlight w:val="none"/>
              </w:rPr>
            </w:pPr>
            <w:r>
              <w:rPr>
                <w:rFonts w:hint="eastAsia" w:eastAsia="仿宋_GB2312"/>
                <w:color w:val="auto"/>
                <w:sz w:val="28"/>
                <w:szCs w:val="28"/>
                <w:highlight w:val="none"/>
                <w:lang w:eastAsia="zh-CN"/>
              </w:rPr>
              <w:t>区</w:t>
            </w:r>
            <w:r>
              <w:rPr>
                <w:rFonts w:hint="eastAsia" w:eastAsia="仿宋_GB2312"/>
                <w:color w:val="auto"/>
                <w:sz w:val="28"/>
                <w:szCs w:val="28"/>
                <w:highlight w:val="none"/>
              </w:rPr>
              <w:t>生态环境局</w:t>
            </w:r>
          </w:p>
          <w:p>
            <w:pPr>
              <w:snapToGrid w:val="0"/>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区城管执法局</w:t>
            </w:r>
          </w:p>
          <w:p>
            <w:pPr>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区水务局</w:t>
            </w:r>
          </w:p>
          <w:p>
            <w:pPr>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密云水库综合执法大队</w:t>
            </w:r>
          </w:p>
          <w:p>
            <w:pPr>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snapToGrid w:val="0"/>
              <w:jc w:val="center"/>
              <w:rPr>
                <w:rFonts w:hint="eastAsia" w:eastAsia="仿宋_GB2312"/>
                <w:color w:val="auto"/>
                <w:sz w:val="28"/>
                <w:szCs w:val="28"/>
                <w:highlight w:val="none"/>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区农业农村局</w:t>
            </w:r>
          </w:p>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区农业服务中心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49" w:hRule="atLeast"/>
          <w:jc w:val="center"/>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bottom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z w:val="28"/>
                <w:szCs w:val="28"/>
                <w:highlight w:val="none"/>
              </w:rPr>
            </w:pPr>
            <w:r>
              <w:rPr>
                <w:rFonts w:hint="eastAsia" w:eastAsia="仿宋_GB2312" w:cs="Times New Roman"/>
                <w:color w:val="auto"/>
                <w:sz w:val="28"/>
                <w:szCs w:val="28"/>
                <w:highlight w:val="none"/>
                <w:lang w:val="en-US" w:eastAsia="zh-CN"/>
              </w:rPr>
              <w:t>严厉打击向城市雨水管道排污及倾倒垃圾、向河道倾倒及填埋垃圾等违法行为，切实降低初期雨水污染对河流水质的影响。</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区城管执法局</w:t>
            </w:r>
          </w:p>
          <w:p>
            <w:pPr>
              <w:spacing w:line="400" w:lineRule="exact"/>
              <w:jc w:val="center"/>
              <w:rPr>
                <w:rFonts w:hint="eastAsia" w:eastAsia="仿宋_GB2312"/>
                <w:color w:val="auto"/>
                <w:sz w:val="28"/>
                <w:szCs w:val="28"/>
                <w:highlight w:val="none"/>
                <w:lang w:val="en-US" w:eastAsia="zh-CN"/>
              </w:rPr>
            </w:pPr>
            <w:r>
              <w:rPr>
                <w:rFonts w:hint="eastAsia"/>
                <w:color w:val="auto"/>
                <w:sz w:val="28"/>
                <w:szCs w:val="28"/>
                <w:highlight w:val="none"/>
                <w:lang w:val="en-US" w:eastAsia="zh-CN"/>
              </w:rPr>
              <w:t xml:space="preserve"> </w:t>
            </w:r>
            <w:r>
              <w:rPr>
                <w:rFonts w:hint="eastAsia" w:eastAsia="仿宋_GB2312"/>
                <w:color w:val="auto"/>
                <w:sz w:val="28"/>
                <w:szCs w:val="28"/>
                <w:highlight w:val="none"/>
                <w:lang w:val="en-US" w:eastAsia="zh-CN"/>
              </w:rPr>
              <w:t>相关镇街（地区）</w:t>
            </w:r>
          </w:p>
          <w:p>
            <w:pPr>
              <w:spacing w:line="400" w:lineRule="exact"/>
              <w:jc w:val="center"/>
              <w:rPr>
                <w:rFonts w:eastAsia="仿宋_GB2312"/>
                <w:color w:val="auto"/>
                <w:spacing w:val="-20"/>
                <w:sz w:val="28"/>
                <w:szCs w:val="28"/>
                <w:highlight w:val="none"/>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hint="default" w:eastAsia="仿宋_GB2312"/>
                <w:color w:val="auto"/>
                <w:sz w:val="28"/>
                <w:szCs w:val="28"/>
                <w:highlight w:val="none"/>
                <w:lang w:val="en-US" w:eastAsia="zh-Hans"/>
              </w:rPr>
            </w:pPr>
            <w:r>
              <w:rPr>
                <w:rFonts w:hint="eastAsia" w:eastAsia="仿宋_GB2312"/>
                <w:color w:val="auto"/>
                <w:sz w:val="28"/>
                <w:szCs w:val="28"/>
                <w:highlight w:val="none"/>
                <w:lang w:val="en-US" w:eastAsia="zh-Hans"/>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73" w:hRule="atLeast"/>
          <w:jc w:val="center"/>
        </w:trPr>
        <w:tc>
          <w:tcPr>
            <w:tcW w:w="629" w:type="dxa"/>
            <w:tcBorders>
              <w:top w:val="single" w:color="auto" w:sz="4" w:space="0"/>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eastAsia="zh-CN"/>
              </w:rPr>
            </w:pPr>
            <w:r>
              <w:rPr>
                <w:rFonts w:hint="eastAsia" w:ascii="仿宋_GB2312" w:eastAsia="仿宋_GB2312"/>
                <w:color w:val="auto"/>
                <w:sz w:val="28"/>
                <w:szCs w:val="28"/>
                <w:highlight w:val="none"/>
              </w:rPr>
              <w:t>1</w:t>
            </w:r>
            <w:r>
              <w:rPr>
                <w:rFonts w:hint="eastAsia" w:ascii="仿宋_GB2312" w:eastAsia="仿宋_GB2312"/>
                <w:color w:val="auto"/>
                <w:sz w:val="28"/>
                <w:szCs w:val="28"/>
                <w:highlight w:val="none"/>
                <w:lang w:val="en-US" w:eastAsia="zh-CN"/>
              </w:rPr>
              <w:t>4</w:t>
            </w:r>
          </w:p>
        </w:tc>
        <w:tc>
          <w:tcPr>
            <w:tcW w:w="854" w:type="dxa"/>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落实监督指导</w:t>
            </w:r>
          </w:p>
        </w:tc>
        <w:tc>
          <w:tcPr>
            <w:tcW w:w="593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仿宋_GB2312" w:eastAsia="仿宋_GB2312"/>
                <w:b/>
                <w:bCs/>
                <w:i w:val="0"/>
                <w:iCs w:val="0"/>
                <w:color w:val="auto"/>
                <w:sz w:val="28"/>
                <w:szCs w:val="28"/>
                <w:highlight w:val="none"/>
              </w:rPr>
            </w:pPr>
            <w:r>
              <w:rPr>
                <w:rFonts w:hint="eastAsia" w:eastAsia="仿宋_GB2312"/>
                <w:color w:val="auto"/>
                <w:sz w:val="28"/>
                <w:szCs w:val="28"/>
                <w:highlight w:val="none"/>
                <w:lang w:val="en-US" w:eastAsia="zh-CN"/>
              </w:rPr>
              <w:t>按照相关要求对</w:t>
            </w:r>
            <w:r>
              <w:rPr>
                <w:rFonts w:hint="eastAsia" w:eastAsia="仿宋_GB2312"/>
                <w:color w:val="auto"/>
                <w:sz w:val="28"/>
                <w:szCs w:val="28"/>
                <w:highlight w:val="none"/>
              </w:rPr>
              <w:t>水环境质量</w:t>
            </w:r>
            <w:r>
              <w:rPr>
                <w:rFonts w:hint="eastAsia" w:eastAsia="仿宋_GB2312"/>
                <w:color w:val="auto"/>
                <w:sz w:val="28"/>
                <w:szCs w:val="28"/>
                <w:highlight w:val="none"/>
                <w:lang w:eastAsia="zh-CN"/>
              </w:rPr>
              <w:t>全市</w:t>
            </w:r>
            <w:r>
              <w:rPr>
                <w:rFonts w:hint="eastAsia" w:eastAsia="仿宋_GB2312"/>
                <w:color w:val="auto"/>
                <w:sz w:val="28"/>
                <w:szCs w:val="28"/>
                <w:highlight w:val="none"/>
              </w:rPr>
              <w:t>排名</w:t>
            </w:r>
            <w:r>
              <w:rPr>
                <w:rFonts w:hint="eastAsia" w:eastAsia="仿宋_GB2312"/>
                <w:color w:val="auto"/>
                <w:sz w:val="28"/>
                <w:szCs w:val="28"/>
                <w:highlight w:val="none"/>
                <w:lang w:eastAsia="zh-CN"/>
              </w:rPr>
              <w:t>靠后，辖区水环境质量超标（或有恶化趋势）的</w:t>
            </w:r>
            <w:r>
              <w:rPr>
                <w:rFonts w:hint="eastAsia" w:eastAsia="仿宋_GB2312"/>
                <w:color w:val="auto"/>
                <w:sz w:val="28"/>
                <w:szCs w:val="28"/>
                <w:highlight w:val="none"/>
                <w:lang w:val="en-US" w:eastAsia="zh-CN"/>
              </w:rPr>
              <w:t>镇街（地区）、中关村密云园</w:t>
            </w:r>
            <w:r>
              <w:rPr>
                <w:rFonts w:hint="eastAsia" w:eastAsia="仿宋_GB2312"/>
                <w:color w:val="auto"/>
                <w:sz w:val="28"/>
                <w:szCs w:val="28"/>
                <w:highlight w:val="none"/>
                <w:lang w:eastAsia="zh-CN"/>
              </w:rPr>
              <w:t>进行</w:t>
            </w:r>
            <w:r>
              <w:rPr>
                <w:rFonts w:hint="eastAsia" w:eastAsia="仿宋_GB2312"/>
                <w:color w:val="auto"/>
                <w:sz w:val="28"/>
                <w:szCs w:val="28"/>
                <w:highlight w:val="none"/>
              </w:rPr>
              <w:t>通报。</w:t>
            </w:r>
          </w:p>
        </w:tc>
        <w:tc>
          <w:tcPr>
            <w:tcW w:w="1200" w:type="dxa"/>
            <w:tcBorders>
              <w:top w:val="single" w:color="auto" w:sz="4" w:space="0"/>
              <w:left w:val="single" w:color="auto" w:sz="4" w:space="0"/>
              <w:bottom w:val="single" w:color="auto" w:sz="4" w:space="0"/>
              <w:right w:val="single" w:color="auto" w:sz="4" w:space="0"/>
            </w:tcBorders>
            <w:vAlign w:val="center"/>
          </w:tcPr>
          <w:p>
            <w:pPr>
              <w:spacing w:line="400" w:lineRule="exact"/>
              <w:ind w:left="-110" w:leftChars="-50" w:right="-110" w:rightChars="-50"/>
              <w:jc w:val="center"/>
              <w:rPr>
                <w:rFonts w:eastAsia="仿宋_GB2312"/>
                <w:color w:val="auto"/>
                <w:sz w:val="28"/>
                <w:szCs w:val="28"/>
                <w:highlight w:val="none"/>
              </w:rPr>
            </w:pPr>
            <w:r>
              <w:rPr>
                <w:rFonts w:hint="eastAsia" w:eastAsia="仿宋_GB2312"/>
                <w:color w:val="auto"/>
                <w:sz w:val="28"/>
                <w:szCs w:val="28"/>
                <w:highlight w:val="none"/>
              </w:rPr>
              <w:t>长期</w:t>
            </w:r>
          </w:p>
          <w:p>
            <w:pPr>
              <w:spacing w:line="400" w:lineRule="exact"/>
              <w:ind w:left="-110" w:leftChars="-50" w:right="-110" w:rightChars="-50"/>
              <w:jc w:val="center"/>
              <w:rPr>
                <w:rFonts w:eastAsia="仿宋_GB2312"/>
                <w:b/>
                <w:bCs/>
                <w:i w:val="0"/>
                <w:iCs w:val="0"/>
                <w:color w:val="auto"/>
                <w:sz w:val="28"/>
                <w:szCs w:val="28"/>
                <w:highlight w:val="none"/>
              </w:rPr>
            </w:pPr>
            <w:r>
              <w:rPr>
                <w:rFonts w:hint="eastAsia"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b/>
                <w:bCs/>
                <w:i w:val="0"/>
                <w:iCs w:val="0"/>
                <w:color w:val="auto"/>
                <w:sz w:val="28"/>
                <w:szCs w:val="28"/>
                <w:highlight w:val="none"/>
                <w:lang w:eastAsia="zh-CN"/>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区水务局</w:t>
            </w:r>
          </w:p>
          <w:p>
            <w:pPr>
              <w:spacing w:line="400" w:lineRule="exact"/>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adjustRightInd w:val="0"/>
              <w:snapToGrid w:val="0"/>
              <w:jc w:val="center"/>
              <w:rPr>
                <w:rFonts w:hint="default" w:eastAsia="仿宋_GB2312"/>
                <w:b/>
                <w:bCs/>
                <w:i w:val="0"/>
                <w:iCs w:val="0"/>
                <w:color w:val="auto"/>
                <w:sz w:val="28"/>
                <w:szCs w:val="28"/>
                <w:highlight w:val="none"/>
                <w:lang w:val="en-US" w:eastAsia="zh-Hans"/>
              </w:rPr>
            </w:pPr>
            <w:r>
              <w:rPr>
                <w:rFonts w:hint="eastAsia" w:eastAsia="仿宋_GB2312"/>
                <w:color w:val="auto"/>
                <w:sz w:val="28"/>
                <w:szCs w:val="28"/>
                <w:highlight w:val="none"/>
                <w:lang w:val="en-US"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539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黑体"/>
                <w:color w:val="auto"/>
                <w:sz w:val="28"/>
                <w:szCs w:val="28"/>
                <w:highlight w:val="none"/>
              </w:rPr>
            </w:pPr>
            <w:r>
              <w:rPr>
                <w:rFonts w:hint="eastAsia" w:eastAsia="黑体"/>
                <w:color w:val="auto"/>
                <w:sz w:val="28"/>
                <w:szCs w:val="28"/>
                <w:highlight w:val="none"/>
              </w:rPr>
              <w:t>四、水生态修复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15</w:t>
            </w:r>
          </w:p>
        </w:tc>
        <w:tc>
          <w:tcPr>
            <w:tcW w:w="854" w:type="dxa"/>
            <w:vMerge w:val="restart"/>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保障重点河流生态流量</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z w:val="28"/>
                <w:szCs w:val="28"/>
                <w:highlight w:val="none"/>
              </w:rPr>
            </w:pPr>
            <w:r>
              <w:rPr>
                <w:rFonts w:hint="eastAsia" w:eastAsia="仿宋_GB2312"/>
                <w:color w:val="auto"/>
                <w:sz w:val="28"/>
                <w:szCs w:val="28"/>
                <w:highlight w:val="none"/>
                <w:lang w:val="en-US" w:eastAsia="zh-CN"/>
              </w:rPr>
              <w:t>根据水利部和海委统一部署，配合市级部门推动潮白河、蓟运河流域生态环境复苏，建立主要河道生态流量目标，逐步恢复河道生态基流。继续实施潮白河流域生态补水。</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2053"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区水务局</w:t>
            </w:r>
          </w:p>
        </w:tc>
        <w:tc>
          <w:tcPr>
            <w:tcW w:w="2386"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相关镇街（地区）</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val="0"/>
              <w:autoSpaceDN w:val="0"/>
              <w:bidi w:val="0"/>
              <w:adjustRightInd/>
              <w:snapToGrid/>
              <w:spacing w:line="36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p>
            <w:pPr>
              <w:keepNext w:val="0"/>
              <w:keepLines w:val="0"/>
              <w:pageBreakBefore w:val="0"/>
              <w:widowControl/>
              <w:kinsoku/>
              <w:wordWrap/>
              <w:overflowPunct/>
              <w:topLinePunct w:val="0"/>
              <w:autoSpaceDE w:val="0"/>
              <w:autoSpaceDN w:val="0"/>
              <w:bidi w:val="0"/>
              <w:adjustRightInd/>
              <w:snapToGrid/>
              <w:spacing w:line="360" w:lineRule="exact"/>
              <w:jc w:val="center"/>
              <w:textAlignment w:val="center"/>
              <w:outlineLvl w:val="9"/>
              <w:rPr>
                <w:rFonts w:hint="default" w:eastAsia="仿宋_GB2312"/>
                <w:color w:val="auto"/>
                <w:sz w:val="28"/>
                <w:szCs w:val="28"/>
                <w:highlight w:val="none"/>
                <w:lang w:val="en-US" w:eastAsia="zh-Hans"/>
              </w:rPr>
            </w:pPr>
            <w:r>
              <w:rPr>
                <w:rFonts w:hint="eastAsia" w:eastAsia="仿宋_GB2312"/>
                <w:color w:val="auto"/>
                <w:sz w:val="28"/>
                <w:szCs w:val="28"/>
                <w:highlight w:val="none"/>
                <w:lang w:val="en-US"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4"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adjustRightInd w:val="0"/>
              <w:snapToGrid w:val="0"/>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hint="eastAsia" w:eastAsia="仿宋_GB2312"/>
                <w:color w:val="auto"/>
                <w:sz w:val="28"/>
                <w:szCs w:val="28"/>
                <w:highlight w:val="none"/>
              </w:rPr>
            </w:pPr>
            <w:r>
              <w:rPr>
                <w:rFonts w:hint="eastAsia" w:eastAsia="仿宋_GB2312"/>
                <w:color w:val="auto"/>
                <w:sz w:val="28"/>
                <w:szCs w:val="28"/>
                <w:highlight w:val="none"/>
                <w:lang w:val="en-US" w:eastAsia="zh-CN"/>
              </w:rPr>
              <w:t>统筹生活、生产、生态用水配置，保障河湖生态用水。推进区域再生水循环利用，鼓励再生水用于河湖生态补水。</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CN"/>
              </w:rPr>
              <w:t>区水务局</w:t>
            </w:r>
          </w:p>
        </w:tc>
        <w:tc>
          <w:tcPr>
            <w:tcW w:w="2341" w:type="dxa"/>
            <w:tcBorders>
              <w:top w:val="single" w:color="auto" w:sz="4" w:space="0"/>
              <w:left w:val="single" w:color="auto" w:sz="4" w:space="0"/>
              <w:bottom w:val="single" w:color="auto" w:sz="4" w:space="0"/>
              <w:right w:val="single" w:color="auto" w:sz="4" w:space="0"/>
            </w:tcBorders>
            <w:vAlign w:val="center"/>
          </w:tcPr>
          <w:p>
            <w:pPr>
              <w:jc w:val="center"/>
              <w:rPr>
                <w:rFonts w:hint="eastAsia"/>
                <w:color w:val="auto"/>
                <w:sz w:val="28"/>
                <w:szCs w:val="28"/>
                <w:highlight w:val="none"/>
                <w:lang w:val="en-US" w:eastAsia="zh-Hans"/>
              </w:rPr>
            </w:pPr>
            <w:r>
              <w:rPr>
                <w:rFonts w:hint="eastAsia"/>
                <w:color w:val="auto"/>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84" w:hRule="atLeast"/>
          <w:jc w:val="center"/>
        </w:trPr>
        <w:tc>
          <w:tcPr>
            <w:tcW w:w="629" w:type="dxa"/>
            <w:vMerge w:val="restart"/>
            <w:tcBorders>
              <w:left w:val="single" w:color="auto" w:sz="4" w:space="0"/>
              <w:right w:val="single" w:color="auto" w:sz="4" w:space="0"/>
            </w:tcBorders>
            <w:vAlign w:val="center"/>
          </w:tcPr>
          <w:p>
            <w:pPr>
              <w:adjustRightInd w:val="0"/>
              <w:snapToGrid w:val="0"/>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16</w:t>
            </w:r>
          </w:p>
        </w:tc>
        <w:tc>
          <w:tcPr>
            <w:tcW w:w="854" w:type="dxa"/>
            <w:vMerge w:val="restart"/>
            <w:tcBorders>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r>
              <w:rPr>
                <w:rFonts w:hint="eastAsia" w:ascii="仿宋_GB2312" w:eastAsia="仿宋_GB2312"/>
                <w:color w:val="auto"/>
                <w:sz w:val="28"/>
                <w:szCs w:val="28"/>
                <w:highlight w:val="none"/>
              </w:rPr>
              <w:t>提升水生态系统健康</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center"/>
              <w:outlineLvl w:val="9"/>
              <w:rPr>
                <w:rFonts w:eastAsia="仿宋_GB2312"/>
                <w:color w:val="auto"/>
                <w:sz w:val="28"/>
                <w:szCs w:val="28"/>
                <w:highlight w:val="none"/>
              </w:rPr>
            </w:pPr>
            <w:r>
              <w:rPr>
                <w:rFonts w:hint="eastAsia" w:eastAsia="仿宋_GB2312"/>
                <w:color w:val="auto"/>
                <w:sz w:val="28"/>
                <w:szCs w:val="28"/>
                <w:highlight w:val="none"/>
                <w:lang w:val="en-US" w:eastAsia="zh-CN"/>
              </w:rPr>
              <w:t>配合市水务局明确潮白河等河流水生态空间管控边界。立足山水林田湖草沙一体化保护修复，</w:t>
            </w:r>
            <w:r>
              <w:rPr>
                <w:rFonts w:hint="eastAsia"/>
                <w:color w:val="auto"/>
                <w:sz w:val="28"/>
                <w:szCs w:val="28"/>
                <w:highlight w:val="none"/>
                <w:lang w:val="en-US" w:eastAsia="zh-CN"/>
              </w:rPr>
              <w:t>配合</w:t>
            </w:r>
            <w:r>
              <w:rPr>
                <w:rFonts w:hint="eastAsia" w:eastAsia="仿宋_GB2312"/>
                <w:color w:val="auto"/>
                <w:sz w:val="28"/>
                <w:szCs w:val="28"/>
                <w:highlight w:val="none"/>
                <w:lang w:val="en-US" w:eastAsia="zh-CN"/>
              </w:rPr>
              <w:t>编制潮白河流域水生态保护修复规划。</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center"/>
              <w:outlineLvl w:val="9"/>
              <w:rPr>
                <w:rFonts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仿宋_GB2312"/>
                <w:color w:val="auto"/>
                <w:sz w:val="28"/>
                <w:szCs w:val="28"/>
                <w:highlight w:val="none"/>
              </w:rPr>
            </w:pPr>
            <w:r>
              <w:rPr>
                <w:rFonts w:hint="eastAsia" w:eastAsia="仿宋_GB2312" w:cs="Times New Roman"/>
                <w:color w:val="auto"/>
                <w:sz w:val="28"/>
                <w:szCs w:val="28"/>
                <w:highlight w:val="none"/>
                <w:lang w:val="en-US" w:eastAsia="zh-CN"/>
              </w:rPr>
              <w:t>区水务局</w:t>
            </w:r>
          </w:p>
        </w:tc>
        <w:tc>
          <w:tcPr>
            <w:tcW w:w="2341" w:type="dxa"/>
            <w:tcBorders>
              <w:top w:val="single" w:color="auto" w:sz="4" w:space="0"/>
              <w:left w:val="single" w:color="auto" w:sz="4" w:space="0"/>
              <w:bottom w:val="single" w:color="auto" w:sz="4" w:space="0"/>
              <w:right w:val="single" w:color="auto" w:sz="4" w:space="0"/>
            </w:tcBorders>
            <w:vAlign w:val="center"/>
          </w:tcPr>
          <w:p>
            <w:pPr>
              <w:adjustRightInd w:val="0"/>
              <w:snapToGrid w:val="0"/>
              <w:jc w:val="both"/>
              <w:rPr>
                <w:rFonts w:hint="eastAsia" w:eastAsia="仿宋_GB2312"/>
                <w:color w:val="auto"/>
                <w:sz w:val="28"/>
                <w:szCs w:val="28"/>
                <w:highlight w:val="none"/>
                <w:lang w:val="en-US" w:eastAsia="zh-CN"/>
              </w:rPr>
            </w:pP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区发改委</w:t>
            </w: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区规自分局</w:t>
            </w:r>
          </w:p>
          <w:p>
            <w:pPr>
              <w:adjustRightInd w:val="0"/>
              <w:snapToGrid w:val="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区园林绿化局</w:t>
            </w:r>
          </w:p>
          <w:p>
            <w:pPr>
              <w:adjustRightInd w:val="0"/>
              <w:snapToGrid w:val="0"/>
              <w:jc w:val="center"/>
              <w:rPr>
                <w:rFonts w:hint="eastAsia" w:eastAsia="仿宋_GB2312"/>
                <w:color w:val="auto"/>
                <w:sz w:val="28"/>
                <w:szCs w:val="28"/>
                <w:highlight w:val="none"/>
                <w:lang w:val="en-US" w:eastAsia="zh-CN"/>
              </w:rPr>
            </w:pPr>
            <w:r>
              <w:rPr>
                <w:rFonts w:hint="eastAsia"/>
                <w:color w:val="auto"/>
                <w:sz w:val="28"/>
                <w:szCs w:val="28"/>
                <w:highlight w:val="none"/>
                <w:lang w:val="en-US" w:eastAsia="zh-CN"/>
              </w:rPr>
              <w:t>区生态环境局</w:t>
            </w:r>
          </w:p>
          <w:p>
            <w:pPr>
              <w:pStyle w:val="10"/>
              <w:jc w:val="center"/>
              <w:rPr>
                <w:rFonts w:hint="eastAsia"/>
                <w:color w:val="auto"/>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0" w:hRule="atLeast"/>
          <w:jc w:val="center"/>
        </w:trPr>
        <w:tc>
          <w:tcPr>
            <w:tcW w:w="629" w:type="dxa"/>
            <w:vMerge w:val="continue"/>
            <w:tcBorders>
              <w:left w:val="single" w:color="auto" w:sz="4" w:space="0"/>
              <w:right w:val="single" w:color="auto" w:sz="4" w:space="0"/>
            </w:tcBorders>
            <w:vAlign w:val="center"/>
          </w:tcPr>
          <w:p>
            <w:pPr>
              <w:adjustRightInd w:val="0"/>
              <w:snapToGrid w:val="0"/>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adjustRightInd w:val="0"/>
              <w:snapToGrid w:val="0"/>
              <w:jc w:val="center"/>
              <w:rPr>
                <w:rFonts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加强</w:t>
            </w:r>
            <w:r>
              <w:rPr>
                <w:rFonts w:hint="eastAsia" w:ascii="仿宋_GB2312" w:eastAsia="仿宋_GB2312"/>
                <w:color w:val="auto"/>
                <w:sz w:val="28"/>
                <w:szCs w:val="28"/>
                <w:highlight w:val="none"/>
                <w:lang w:eastAsia="zh-CN"/>
              </w:rPr>
              <w:t>水生态修复</w:t>
            </w:r>
            <w:r>
              <w:rPr>
                <w:rFonts w:hint="eastAsia" w:ascii="仿宋_GB2312" w:eastAsia="仿宋_GB2312"/>
                <w:color w:val="auto"/>
                <w:sz w:val="28"/>
                <w:szCs w:val="28"/>
                <w:highlight w:val="none"/>
              </w:rPr>
              <w:t>，</w:t>
            </w:r>
            <w:r>
              <w:rPr>
                <w:rFonts w:hint="eastAsia" w:ascii="仿宋_GB2312" w:eastAsia="仿宋_GB2312"/>
                <w:color w:val="auto"/>
                <w:sz w:val="28"/>
                <w:szCs w:val="28"/>
                <w:highlight w:val="none"/>
                <w:lang w:eastAsia="zh-CN"/>
              </w:rPr>
              <w:t>推进冯家峪镇</w:t>
            </w:r>
            <w:r>
              <w:rPr>
                <w:rFonts w:hint="eastAsia" w:ascii="仿宋_GB2312" w:eastAsia="仿宋_GB2312"/>
                <w:color w:val="auto"/>
                <w:sz w:val="28"/>
                <w:szCs w:val="28"/>
                <w:highlight w:val="none"/>
              </w:rPr>
              <w:t>白马关河</w:t>
            </w:r>
            <w:r>
              <w:rPr>
                <w:rFonts w:hint="eastAsia" w:ascii="仿宋_GB2312" w:eastAsia="仿宋_GB2312"/>
                <w:color w:val="auto"/>
                <w:sz w:val="28"/>
                <w:szCs w:val="28"/>
                <w:highlight w:val="none"/>
                <w:lang w:eastAsia="zh-CN"/>
              </w:rPr>
              <w:t>、</w:t>
            </w:r>
            <w:r>
              <w:rPr>
                <w:rFonts w:hint="eastAsia" w:ascii="仿宋_GB2312" w:eastAsia="仿宋_GB2312"/>
                <w:color w:val="auto"/>
                <w:sz w:val="28"/>
                <w:szCs w:val="28"/>
                <w:highlight w:val="none"/>
              </w:rPr>
              <w:t>石城镇</w:t>
            </w:r>
            <w:r>
              <w:rPr>
                <w:rFonts w:hint="eastAsia" w:ascii="仿宋_GB2312" w:eastAsia="仿宋_GB2312"/>
                <w:color w:val="auto"/>
                <w:sz w:val="28"/>
                <w:szCs w:val="28"/>
                <w:highlight w:val="none"/>
                <w:lang w:eastAsia="zh-CN"/>
              </w:rPr>
              <w:t>生态修复</w:t>
            </w:r>
            <w:r>
              <w:rPr>
                <w:rFonts w:hint="eastAsia"/>
                <w:color w:val="auto"/>
                <w:sz w:val="28"/>
                <w:szCs w:val="28"/>
                <w:highlight w:val="none"/>
                <w:lang w:val="en-US" w:eastAsia="zh-CN"/>
              </w:rPr>
              <w:t>项目</w:t>
            </w:r>
            <w:r>
              <w:rPr>
                <w:rFonts w:hint="eastAsia" w:ascii="仿宋_GB2312" w:eastAsia="仿宋_GB2312"/>
                <w:color w:val="auto"/>
                <w:sz w:val="28"/>
                <w:szCs w:val="28"/>
                <w:highlight w:val="none"/>
              </w:rPr>
              <w:t>（一期）</w:t>
            </w:r>
            <w:r>
              <w:rPr>
                <w:rFonts w:hint="eastAsia" w:ascii="仿宋_GB2312" w:eastAsia="仿宋_GB2312"/>
                <w:color w:val="auto"/>
                <w:sz w:val="28"/>
                <w:szCs w:val="28"/>
                <w:highlight w:val="none"/>
                <w:lang w:eastAsia="zh-CN"/>
              </w:rPr>
              <w:t>、北庄镇清水河生态修复项目（一期）、太师屯镇清水河南岸中水回用、古北口镇汤河生态修复项目（一期）、密云区饮用水源地（巨各庄镇龙塘子自然村）生态修复项目。</w:t>
            </w:r>
          </w:p>
        </w:tc>
        <w:tc>
          <w:tcPr>
            <w:tcW w:w="120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持续</w:t>
            </w:r>
          </w:p>
          <w:p>
            <w:pPr>
              <w:adjustRightInd w:val="0"/>
              <w:snapToGrid w:val="0"/>
              <w:jc w:val="center"/>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推进</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s="Times New Roman"/>
                <w:color w:val="auto"/>
                <w:sz w:val="28"/>
                <w:szCs w:val="28"/>
                <w:highlight w:val="none"/>
                <w:lang w:val="en-US" w:eastAsia="zh-Hans"/>
              </w:rPr>
            </w:pPr>
            <w:r>
              <w:rPr>
                <w:rFonts w:hint="eastAsia" w:eastAsia="仿宋_GB2312" w:cs="Times New Roman"/>
                <w:color w:val="auto"/>
                <w:sz w:val="28"/>
                <w:szCs w:val="28"/>
                <w:highlight w:val="none"/>
                <w:lang w:val="en-US" w:eastAsia="zh-CN"/>
              </w:rPr>
              <w:t>冯家峪</w:t>
            </w:r>
            <w:r>
              <w:rPr>
                <w:rFonts w:hint="eastAsia" w:eastAsia="仿宋_GB2312" w:cs="Times New Roman"/>
                <w:color w:val="auto"/>
                <w:sz w:val="28"/>
                <w:szCs w:val="28"/>
                <w:highlight w:val="none"/>
                <w:lang w:val="en-US" w:eastAsia="zh-Hans"/>
              </w:rPr>
              <w:t>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石城镇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北庄镇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太师屯镇</w:t>
            </w:r>
          </w:p>
          <w:p>
            <w:pPr>
              <w:spacing w:line="40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古北口镇</w:t>
            </w:r>
          </w:p>
          <w:p>
            <w:pPr>
              <w:spacing w:line="400" w:lineRule="exact"/>
              <w:jc w:val="center"/>
              <w:rPr>
                <w:rFonts w:hint="eastAsia"/>
                <w:color w:val="auto"/>
                <w:sz w:val="28"/>
                <w:szCs w:val="28"/>
                <w:highlight w:val="none"/>
                <w:lang w:val="en-US" w:eastAsia="zh-CN"/>
              </w:rPr>
            </w:pPr>
            <w:r>
              <w:rPr>
                <w:rFonts w:hint="eastAsia" w:eastAsia="仿宋_GB2312" w:cs="Times New Roman"/>
                <w:color w:val="auto"/>
                <w:sz w:val="28"/>
                <w:szCs w:val="28"/>
                <w:highlight w:val="none"/>
                <w:lang w:val="en-US" w:eastAsia="zh-CN"/>
              </w:rPr>
              <w:t>巨各庄镇</w:t>
            </w:r>
          </w:p>
        </w:tc>
        <w:tc>
          <w:tcPr>
            <w:tcW w:w="23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仿宋_GB2312"/>
                <w:color w:val="auto"/>
                <w:sz w:val="28"/>
                <w:szCs w:val="28"/>
                <w:highlight w:val="none"/>
                <w:lang w:eastAsia="zh-CN"/>
              </w:rPr>
            </w:pPr>
            <w:r>
              <w:rPr>
                <w:rFonts w:hint="eastAsia" w:eastAsia="仿宋_GB2312"/>
                <w:color w:val="auto"/>
                <w:sz w:val="28"/>
                <w:szCs w:val="28"/>
                <w:highlight w:val="none"/>
                <w:lang w:val="en-US" w:eastAsia="zh-CN"/>
              </w:rPr>
              <w:t xml:space="preserve">区水务局 </w:t>
            </w:r>
            <w:r>
              <w:rPr>
                <w:rFonts w:hint="default" w:eastAsia="仿宋_GB2312"/>
                <w:color w:val="auto"/>
                <w:sz w:val="28"/>
                <w:szCs w:val="28"/>
                <w:highlight w:val="none"/>
                <w:lang w:eastAsia="zh-CN"/>
              </w:rPr>
              <w:t xml:space="preserve">  </w:t>
            </w:r>
            <w:r>
              <w:rPr>
                <w:rFonts w:hint="eastAsia" w:eastAsia="仿宋_GB2312"/>
                <w:color w:val="auto"/>
                <w:sz w:val="28"/>
                <w:szCs w:val="28"/>
                <w:highlight w:val="none"/>
                <w:lang w:val="en-US" w:eastAsia="zh-CN"/>
              </w:rPr>
              <w:t xml:space="preserve"> </w:t>
            </w:r>
            <w:r>
              <w:rPr>
                <w:rFonts w:hint="default" w:eastAsia="仿宋_GB2312"/>
                <w:color w:val="auto"/>
                <w:sz w:val="28"/>
                <w:szCs w:val="28"/>
                <w:highlight w:val="none"/>
                <w:lang w:eastAsia="zh-CN"/>
              </w:rPr>
              <w:t xml:space="preserve">      </w:t>
            </w:r>
            <w:r>
              <w:rPr>
                <w:rFonts w:hint="eastAsia" w:eastAsia="仿宋_GB2312"/>
                <w:color w:val="auto"/>
                <w:sz w:val="28"/>
                <w:szCs w:val="28"/>
                <w:highlight w:val="none"/>
                <w:lang w:val="en-US" w:eastAsia="zh-CN"/>
              </w:rPr>
              <w:t xml:space="preserve">   </w:t>
            </w:r>
            <w:r>
              <w:rPr>
                <w:rFonts w:hint="eastAsia" w:eastAsia="仿宋_GB2312"/>
                <w:color w:val="auto"/>
                <w:sz w:val="28"/>
                <w:szCs w:val="28"/>
                <w:highlight w:val="none"/>
                <w:lang w:val="en-US" w:eastAsia="zh-Hans"/>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0" w:hRule="atLeast"/>
          <w:jc w:val="center"/>
        </w:trPr>
        <w:tc>
          <w:tcPr>
            <w:tcW w:w="629"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default"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17</w:t>
            </w:r>
          </w:p>
        </w:tc>
        <w:tc>
          <w:tcPr>
            <w:tcW w:w="854"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ascii="仿宋_GB2312" w:eastAsia="仿宋_GB2312"/>
                <w:color w:val="auto"/>
                <w:sz w:val="28"/>
                <w:szCs w:val="28"/>
                <w:highlight w:val="none"/>
              </w:rPr>
            </w:pPr>
            <w:r>
              <w:rPr>
                <w:rFonts w:hint="eastAsia" w:ascii="仿宋_GB2312" w:eastAsia="仿宋_GB2312"/>
                <w:color w:val="auto"/>
                <w:sz w:val="28"/>
                <w:szCs w:val="28"/>
                <w:highlight w:val="none"/>
              </w:rPr>
              <w:t>开展水生态监测评估</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outlineLvl w:val="9"/>
              <w:rPr>
                <w:rFonts w:hint="eastAsia" w:ascii="仿宋_GB2312" w:eastAsia="仿宋_GB2312"/>
                <w:color w:val="auto"/>
                <w:sz w:val="28"/>
                <w:szCs w:val="28"/>
                <w:highlight w:val="none"/>
              </w:rPr>
            </w:pPr>
            <w:r>
              <w:rPr>
                <w:rFonts w:hint="eastAsia" w:ascii="Calibri" w:hAnsi="Calibri" w:eastAsia="仿宋_GB2312" w:cs="Times New Roman"/>
                <w:color w:val="auto"/>
                <w:kern w:val="2"/>
                <w:sz w:val="28"/>
                <w:szCs w:val="28"/>
                <w:highlight w:val="none"/>
                <w:lang w:val="en-US" w:eastAsia="zh-CN" w:bidi="ar-SA"/>
              </w:rPr>
              <w:t>配合市生态环境局完善本市水生态环境质量监测及综合评价体系，开展水生态环境状况监测</w:t>
            </w:r>
            <w:r>
              <w:rPr>
                <w:rFonts w:hint="eastAsia" w:eastAsia="仿宋_GB2312" w:cs="Times New Roman"/>
                <w:color w:val="auto"/>
                <w:kern w:val="2"/>
                <w:sz w:val="28"/>
                <w:szCs w:val="28"/>
                <w:highlight w:val="none"/>
                <w:lang w:val="en-US" w:eastAsia="zh-CN" w:bidi="ar-SA"/>
              </w:rPr>
              <w:t>、</w:t>
            </w:r>
            <w:r>
              <w:rPr>
                <w:rFonts w:hint="eastAsia" w:ascii="Calibri" w:hAnsi="Calibri" w:eastAsia="仿宋_GB2312" w:cs="Times New Roman"/>
                <w:color w:val="auto"/>
                <w:kern w:val="2"/>
                <w:sz w:val="28"/>
                <w:szCs w:val="28"/>
                <w:highlight w:val="none"/>
                <w:lang w:val="en-US" w:eastAsia="zh-CN" w:bidi="ar-SA"/>
              </w:rPr>
              <w:t>评价。</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eastAsia="仿宋_GB2312"/>
                <w:color w:val="auto"/>
                <w:sz w:val="28"/>
                <w:szCs w:val="28"/>
                <w:highlight w:val="none"/>
              </w:rPr>
            </w:pPr>
            <w:r>
              <w:rPr>
                <w:rFonts w:hint="eastAsia" w:eastAsia="仿宋_GB2312"/>
                <w:color w:val="auto"/>
                <w:sz w:val="28"/>
                <w:szCs w:val="28"/>
                <w:highlight w:val="none"/>
              </w:rPr>
              <w:t>长期</w:t>
            </w:r>
          </w:p>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hint="eastAsia" w:eastAsia="仿宋_GB2312"/>
                <w:color w:val="auto"/>
                <w:sz w:val="28"/>
                <w:szCs w:val="28"/>
                <w:highlight w:val="none"/>
              </w:rPr>
            </w:pPr>
            <w:r>
              <w:rPr>
                <w:rFonts w:hint="eastAsia" w:eastAsia="仿宋_GB2312"/>
                <w:color w:val="auto"/>
                <w:sz w:val="28"/>
                <w:szCs w:val="28"/>
                <w:highlight w:val="none"/>
              </w:rPr>
              <w:t>实施</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区生态环境局</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color w:val="auto"/>
                <w:sz w:val="28"/>
                <w:szCs w:val="28"/>
                <w:highlight w:val="none"/>
              </w:rPr>
            </w:pPr>
            <w:r>
              <w:rPr>
                <w:rFonts w:hint="eastAsia" w:eastAsia="仿宋_GB2312"/>
                <w:color w:val="auto"/>
                <w:sz w:val="28"/>
                <w:szCs w:val="28"/>
                <w:highlight w:val="none"/>
                <w:lang w:val="en-US" w:eastAsia="zh-CN"/>
              </w:rPr>
              <w:t>区水务局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密云水库综合</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Hans"/>
              </w:rPr>
              <w:t>执法大队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宋体" w:hAnsi="宋体" w:eastAsia="仿宋_GB2312" w:cs="宋体"/>
                <w:color w:val="auto"/>
                <w:kern w:val="0"/>
                <w:sz w:val="28"/>
                <w:szCs w:val="28"/>
                <w:highlight w:val="none"/>
                <w:lang w:val="en-US" w:eastAsia="zh-Hans" w:bidi="ar-SA"/>
              </w:rPr>
            </w:pPr>
            <w:r>
              <w:rPr>
                <w:rFonts w:hint="eastAsia" w:ascii="宋体" w:hAnsi="宋体" w:eastAsia="仿宋_GB2312" w:cs="宋体"/>
                <w:color w:val="auto"/>
                <w:kern w:val="0"/>
                <w:sz w:val="28"/>
                <w:szCs w:val="28"/>
                <w:highlight w:val="none"/>
                <w:lang w:val="en-US" w:eastAsia="zh-Hans"/>
              </w:rPr>
              <w:t>区财政局</w:t>
            </w:r>
            <w:r>
              <w:rPr>
                <w:rFonts w:hint="default" w:eastAsia="仿宋_GB2312"/>
                <w:color w:val="auto"/>
                <w:sz w:val="28"/>
                <w:szCs w:val="28"/>
                <w:highlight w:val="none"/>
                <w:lang w:eastAsia="zh-Hans"/>
              </w:rPr>
              <w:t xml:space="preserve">                 </w:t>
            </w:r>
            <w:r>
              <w:rPr>
                <w:rFonts w:hint="eastAsia" w:ascii="仿宋_GB2312" w:hAnsi="黑体" w:eastAsia="仿宋_GB2312" w:cs="仿宋_GB2312"/>
                <w:color w:val="auto"/>
                <w:sz w:val="28"/>
                <w:szCs w:val="28"/>
                <w:highlight w:val="none"/>
                <w:u w:val="none" w:color="auto"/>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62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lang w:val="en-US" w:eastAsia="zh-CN"/>
              </w:rPr>
            </w:pPr>
          </w:p>
        </w:tc>
        <w:tc>
          <w:tcPr>
            <w:tcW w:w="85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outlineLvl w:val="9"/>
              <w:rPr>
                <w:rFonts w:hint="eastAsia"/>
                <w:color w:val="auto"/>
                <w:sz w:val="28"/>
                <w:szCs w:val="28"/>
                <w:highlight w:val="none"/>
                <w:lang w:eastAsia="zh-CN"/>
              </w:rPr>
            </w:pPr>
            <w:r>
              <w:rPr>
                <w:rFonts w:hint="eastAsia" w:eastAsia="仿宋_GB2312" w:cs="Times New Roman"/>
                <w:color w:val="auto"/>
                <w:kern w:val="2"/>
                <w:sz w:val="28"/>
                <w:szCs w:val="28"/>
                <w:highlight w:val="none"/>
                <w:lang w:val="en-US" w:eastAsia="zh-CN" w:bidi="ar-SA"/>
              </w:rPr>
              <w:t>继续</w:t>
            </w:r>
            <w:r>
              <w:rPr>
                <w:rFonts w:hint="eastAsia" w:ascii="Calibri" w:hAnsi="Calibri" w:eastAsia="仿宋_GB2312" w:cs="Times New Roman"/>
                <w:color w:val="auto"/>
                <w:kern w:val="2"/>
                <w:sz w:val="28"/>
                <w:szCs w:val="28"/>
                <w:highlight w:val="none"/>
                <w:lang w:val="en-US" w:eastAsia="zh-CN" w:bidi="ar-SA"/>
              </w:rPr>
              <w:t>实施覆盖到村（社区）的水环境质量监测评价。</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205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各镇街（地区）</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中关村密云园</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区财政局</w:t>
            </w:r>
          </w:p>
          <w:p>
            <w:pPr>
              <w:keepNext w:val="0"/>
              <w:keepLines w:val="0"/>
              <w:pageBreakBefore w:val="0"/>
              <w:kinsoku/>
              <w:wordWrap/>
              <w:overflowPunct/>
              <w:topLinePunct w:val="0"/>
              <w:autoSpaceDE/>
              <w:autoSpaceDN/>
              <w:bidi w:val="0"/>
              <w:adjustRightInd/>
              <w:snapToGrid/>
              <w:spacing w:line="320" w:lineRule="exact"/>
              <w:jc w:val="center"/>
              <w:outlineLvl w:val="9"/>
              <w:rPr>
                <w:rFonts w:hint="eastAsia" w:ascii="宋体" w:hAnsi="宋体" w:eastAsia="仿宋_GB2312" w:cs="宋体"/>
                <w:color w:val="auto"/>
                <w:kern w:val="0"/>
                <w:sz w:val="28"/>
                <w:szCs w:val="28"/>
                <w:highlight w:val="none"/>
                <w:lang w:val="en-US" w:eastAsia="zh-Hans"/>
              </w:rPr>
            </w:pPr>
            <w:r>
              <w:rPr>
                <w:rFonts w:hint="eastAsia" w:eastAsia="仿宋_GB2312"/>
                <w:color w:val="auto"/>
                <w:sz w:val="28"/>
                <w:szCs w:val="28"/>
                <w:highlight w:val="none"/>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9" w:hRule="atLeast"/>
          <w:jc w:val="center"/>
        </w:trPr>
        <w:tc>
          <w:tcPr>
            <w:tcW w:w="629"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ascii="仿宋_GB2312" w:eastAsia="仿宋_GB2312"/>
                <w:color w:val="auto"/>
                <w:sz w:val="28"/>
                <w:szCs w:val="28"/>
                <w:highlight w:val="none"/>
              </w:rPr>
            </w:pPr>
          </w:p>
        </w:tc>
        <w:tc>
          <w:tcPr>
            <w:tcW w:w="85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ascii="仿宋_GB2312" w:eastAsia="仿宋_GB2312"/>
                <w:color w:val="auto"/>
                <w:sz w:val="28"/>
                <w:szCs w:val="28"/>
                <w:highlight w:val="none"/>
              </w:rPr>
            </w:pP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left"/>
              <w:outlineLvl w:val="9"/>
              <w:rPr>
                <w:rFonts w:hint="eastAsia" w:ascii="仿宋_GB2312" w:eastAsia="仿宋_GB2312"/>
                <w:color w:val="auto"/>
                <w:sz w:val="28"/>
                <w:szCs w:val="28"/>
                <w:highlight w:val="none"/>
                <w:lang w:eastAsia="zh-CN"/>
              </w:rPr>
            </w:pPr>
            <w:r>
              <w:rPr>
                <w:rFonts w:hint="eastAsia" w:eastAsia="仿宋_GB2312"/>
                <w:color w:val="auto"/>
                <w:sz w:val="28"/>
                <w:szCs w:val="28"/>
                <w:highlight w:val="none"/>
                <w:lang w:eastAsia="zh-CN"/>
              </w:rPr>
              <w:t>根据各级</w:t>
            </w:r>
            <w:r>
              <w:rPr>
                <w:rFonts w:hint="eastAsia"/>
                <w:color w:val="auto"/>
                <w:sz w:val="28"/>
                <w:szCs w:val="28"/>
                <w:highlight w:val="none"/>
                <w:lang w:val="en-US" w:eastAsia="zh-CN"/>
              </w:rPr>
              <w:t>水污染防治</w:t>
            </w:r>
            <w:r>
              <w:rPr>
                <w:rFonts w:hint="eastAsia" w:eastAsia="仿宋_GB2312"/>
                <w:color w:val="auto"/>
                <w:sz w:val="28"/>
                <w:szCs w:val="28"/>
                <w:highlight w:val="none"/>
                <w:lang w:eastAsia="zh-CN"/>
              </w:rPr>
              <w:t>工作要求开展各类水环境质量手工监测。</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ind w:left="-110" w:leftChars="-50" w:right="-110" w:rightChars="-50"/>
              <w:jc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outlineLvl w:val="9"/>
              <w:rPr>
                <w:rFonts w:hint="eastAsia" w:eastAsia="仿宋_GB2312"/>
                <w:color w:val="auto"/>
                <w:sz w:val="28"/>
                <w:szCs w:val="28"/>
                <w:highlight w:val="none"/>
                <w:lang w:val="en-US" w:eastAsia="zh-Hans"/>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color w:val="auto"/>
                <w:sz w:val="28"/>
                <w:szCs w:val="28"/>
                <w:highlight w:val="none"/>
                <w:lang w:val="en-US" w:eastAsia="zh-Hans"/>
              </w:rPr>
            </w:pPr>
            <w:r>
              <w:rPr>
                <w:rFonts w:hint="eastAsia" w:eastAsia="仿宋_GB2312"/>
                <w:color w:val="auto"/>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96" w:hRule="atLeast"/>
          <w:jc w:val="center"/>
        </w:trPr>
        <w:tc>
          <w:tcPr>
            <w:tcW w:w="629"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18</w:t>
            </w:r>
          </w:p>
        </w:tc>
        <w:tc>
          <w:tcPr>
            <w:tcW w:w="854" w:type="dxa"/>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ascii="仿宋_GB2312" w:eastAsia="仿宋_GB2312"/>
                <w:color w:val="auto"/>
                <w:sz w:val="28"/>
                <w:szCs w:val="28"/>
                <w:highlight w:val="none"/>
              </w:rPr>
            </w:pPr>
            <w:r>
              <w:rPr>
                <w:rFonts w:hint="eastAsia" w:ascii="仿宋_GB2312" w:eastAsia="仿宋_GB2312"/>
                <w:color w:val="auto"/>
                <w:sz w:val="28"/>
                <w:szCs w:val="28"/>
                <w:highlight w:val="none"/>
              </w:rPr>
              <w:t>加强区级生态环境监测能力建设</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left"/>
              <w:textAlignment w:val="center"/>
              <w:outlineLvl w:val="9"/>
              <w:rPr>
                <w:rFonts w:hint="eastAsia" w:eastAsia="仿宋_GB2312"/>
                <w:color w:val="auto"/>
                <w:sz w:val="28"/>
                <w:szCs w:val="28"/>
                <w:highlight w:val="none"/>
                <w:lang w:eastAsia="zh-CN"/>
              </w:rPr>
            </w:pPr>
            <w:r>
              <w:rPr>
                <w:rFonts w:hint="eastAsia" w:eastAsia="仿宋_GB2312"/>
                <w:color w:val="auto"/>
                <w:sz w:val="28"/>
                <w:szCs w:val="28"/>
                <w:highlight w:val="none"/>
                <w:lang w:eastAsia="zh-CN"/>
              </w:rPr>
              <w:t>按照市生态环境局要求，结合密云区实际情况，大力推进区级生态环境监测机构基础站、特色站监测能力建设，进一步提高数据支撑能力。</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outlineLvl w:val="9"/>
              <w:rPr>
                <w:rFonts w:hint="eastAsia" w:eastAsia="仿宋_GB2312"/>
                <w:color w:val="auto"/>
                <w:sz w:val="28"/>
                <w:szCs w:val="28"/>
                <w:highlight w:val="none"/>
              </w:rPr>
            </w:pPr>
            <w:r>
              <w:rPr>
                <w:rFonts w:hint="eastAsia" w:eastAsia="仿宋_GB2312"/>
                <w:color w:val="auto"/>
                <w:sz w:val="28"/>
                <w:szCs w:val="28"/>
                <w:highlight w:val="none"/>
              </w:rPr>
              <w:t>年底前</w:t>
            </w:r>
          </w:p>
        </w:tc>
        <w:tc>
          <w:tcPr>
            <w:tcW w:w="4439" w:type="dxa"/>
            <w:gridSpan w:val="4"/>
            <w:tcBorders>
              <w:top w:val="single" w:color="auto" w:sz="4" w:space="0"/>
              <w:left w:val="single" w:color="auto" w:sz="4" w:space="0"/>
              <w:bottom w:val="single" w:color="auto" w:sz="4" w:space="0"/>
              <w:right w:val="single" w:color="auto" w:sz="4" w:space="0"/>
            </w:tcBorders>
            <w:vAlign w:val="center"/>
          </w:tcPr>
          <w:p>
            <w:pPr>
              <w:pStyle w:val="10"/>
              <w:keepNext w:val="0"/>
              <w:keepLines w:val="0"/>
              <w:pageBreakBefore w:val="0"/>
              <w:kinsoku/>
              <w:wordWrap/>
              <w:overflowPunct/>
              <w:topLinePunct w:val="0"/>
              <w:bidi w:val="0"/>
              <w:spacing w:line="320" w:lineRule="exact"/>
              <w:ind w:left="0" w:leftChars="0" w:firstLine="0" w:firstLineChars="0"/>
              <w:jc w:val="center"/>
              <w:rPr>
                <w:rFonts w:hint="eastAsia" w:eastAsia="仿宋_GB2312"/>
                <w:color w:val="auto"/>
                <w:sz w:val="28"/>
                <w:szCs w:val="28"/>
                <w:highlight w:val="none"/>
                <w:lang w:val="en-US" w:eastAsia="zh-CN"/>
              </w:rPr>
            </w:pPr>
            <w:r>
              <w:rPr>
                <w:rFonts w:hint="eastAsia" w:eastAsia="仿宋_GB2312"/>
                <w:color w:val="auto"/>
                <w:sz w:val="28"/>
                <w:szCs w:val="28"/>
                <w:highlight w:val="none"/>
                <w:lang w:val="en-US" w:eastAsia="zh-CN"/>
              </w:rPr>
              <w:t>区</w:t>
            </w:r>
            <w:r>
              <w:rPr>
                <w:rFonts w:hint="eastAsia" w:eastAsia="仿宋_GB2312"/>
                <w:color w:val="auto"/>
                <w:sz w:val="28"/>
                <w:szCs w:val="28"/>
                <w:highlight w:val="none"/>
              </w:rPr>
              <w:t>生态环境局</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p>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p>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区财政局</w:t>
            </w:r>
          </w:p>
          <w:p>
            <w:pPr>
              <w:keepNext w:val="0"/>
              <w:keepLines w:val="0"/>
              <w:pageBreakBefore w:val="0"/>
              <w:kinsoku/>
              <w:wordWrap/>
              <w:overflowPunct/>
              <w:topLinePunct w:val="0"/>
              <w:bidi w:val="0"/>
              <w:spacing w:line="320" w:lineRule="exact"/>
              <w:jc w:val="center"/>
              <w:rPr>
                <w:rFonts w:hint="eastAsia" w:eastAsia="仿宋_GB2312" w:cs="Times New Roman"/>
                <w:color w:val="auto"/>
                <w:sz w:val="28"/>
                <w:szCs w:val="28"/>
                <w:highlight w:val="none"/>
                <w:lang w:val="en-US" w:eastAsia="zh-CN"/>
              </w:rPr>
            </w:pPr>
            <w:r>
              <w:rPr>
                <w:rFonts w:hint="eastAsia" w:eastAsia="仿宋_GB2312" w:cs="Times New Roman"/>
                <w:color w:val="auto"/>
                <w:sz w:val="28"/>
                <w:szCs w:val="28"/>
                <w:highlight w:val="none"/>
                <w:lang w:val="en-US" w:eastAsia="zh-CN"/>
              </w:rPr>
              <w:t>区市场监管局</w:t>
            </w:r>
          </w:p>
          <w:p>
            <w:pPr>
              <w:pStyle w:val="10"/>
              <w:keepNext w:val="0"/>
              <w:keepLines w:val="0"/>
              <w:pageBreakBefore w:val="0"/>
              <w:kinsoku/>
              <w:wordWrap/>
              <w:overflowPunct/>
              <w:topLinePunct w:val="0"/>
              <w:bidi w:val="0"/>
              <w:spacing w:line="320" w:lineRule="exact"/>
              <w:jc w:val="center"/>
              <w:rPr>
                <w:rFonts w:hint="eastAsia"/>
                <w:color w:val="auto"/>
                <w:sz w:val="28"/>
                <w:szCs w:val="28"/>
                <w:highlight w:val="none"/>
                <w:lang w:val="en-US" w:eastAsia="zh-CN"/>
              </w:rPr>
            </w:pPr>
            <w:r>
              <w:rPr>
                <w:rFonts w:hint="eastAsia" w:eastAsia="仿宋_GB2312"/>
                <w:color w:val="auto"/>
                <w:sz w:val="28"/>
                <w:szCs w:val="28"/>
                <w:highlight w:val="none"/>
                <w:lang w:val="en-US" w:eastAsia="zh-CN"/>
              </w:rPr>
              <w:t>区市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15396" w:type="dxa"/>
            <w:gridSpan w:val="9"/>
            <w:tcBorders>
              <w:left w:val="single" w:color="auto" w:sz="4" w:space="0"/>
              <w:right w:val="single" w:color="auto" w:sz="4" w:space="0"/>
            </w:tcBorders>
            <w:vAlign w:val="center"/>
          </w:tcPr>
          <w:p>
            <w:pPr>
              <w:pStyle w:val="10"/>
              <w:keepNext w:val="0"/>
              <w:keepLines w:val="0"/>
              <w:pageBreakBefore w:val="0"/>
              <w:kinsoku/>
              <w:wordWrap/>
              <w:overflowPunct/>
              <w:topLinePunct w:val="0"/>
              <w:bidi w:val="0"/>
              <w:spacing w:line="320" w:lineRule="exact"/>
              <w:ind w:left="0" w:leftChars="0" w:firstLine="0" w:firstLineChars="0"/>
              <w:jc w:val="center"/>
              <w:rPr>
                <w:rFonts w:hint="eastAsia" w:eastAsia="黑体"/>
                <w:color w:val="auto"/>
                <w:sz w:val="28"/>
                <w:szCs w:val="28"/>
                <w:highlight w:val="none"/>
                <w:lang w:val="en-US" w:eastAsia="zh-CN"/>
              </w:rPr>
            </w:pPr>
            <w:r>
              <w:rPr>
                <w:rFonts w:hint="eastAsia" w:eastAsia="黑体"/>
                <w:color w:val="auto"/>
                <w:sz w:val="28"/>
                <w:szCs w:val="28"/>
                <w:highlight w:val="none"/>
                <w:lang w:eastAsia="zh-CN"/>
              </w:rPr>
              <w:t>五</w:t>
            </w:r>
            <w:r>
              <w:rPr>
                <w:rFonts w:hint="eastAsia" w:eastAsia="黑体"/>
                <w:color w:val="auto"/>
                <w:sz w:val="28"/>
                <w:szCs w:val="28"/>
                <w:highlight w:val="none"/>
              </w:rPr>
              <w:t>、</w:t>
            </w:r>
            <w:r>
              <w:rPr>
                <w:rFonts w:hint="eastAsia" w:eastAsia="黑体"/>
                <w:color w:val="auto"/>
                <w:sz w:val="28"/>
                <w:szCs w:val="28"/>
                <w:highlight w:val="none"/>
                <w:lang w:eastAsia="zh-CN"/>
              </w:rPr>
              <w:t>强化督查考核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7" w:hRule="atLeast"/>
          <w:jc w:val="center"/>
        </w:trPr>
        <w:tc>
          <w:tcPr>
            <w:tcW w:w="629"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lang w:val="en-US" w:eastAsia="zh-CN"/>
              </w:rPr>
            </w:pPr>
            <w:r>
              <w:rPr>
                <w:rFonts w:hint="eastAsia" w:ascii="仿宋_GB2312" w:eastAsia="仿宋_GB2312"/>
                <w:color w:val="auto"/>
                <w:sz w:val="28"/>
                <w:szCs w:val="28"/>
                <w:highlight w:val="none"/>
                <w:lang w:val="en-US" w:eastAsia="zh-CN"/>
              </w:rPr>
              <w:t>19</w:t>
            </w:r>
          </w:p>
        </w:tc>
        <w:tc>
          <w:tcPr>
            <w:tcW w:w="854" w:type="dxa"/>
            <w:tcBorders>
              <w:left w:val="single" w:color="auto" w:sz="4" w:space="0"/>
              <w:right w:val="single" w:color="auto" w:sz="4" w:space="0"/>
            </w:tcBorders>
            <w:vAlign w:val="center"/>
          </w:tcPr>
          <w:p>
            <w:pPr>
              <w:keepNext w:val="0"/>
              <w:keepLines w:val="0"/>
              <w:pageBreakBefore w:val="0"/>
              <w:kinsoku/>
              <w:wordWrap/>
              <w:overflowPunct/>
              <w:topLinePunct w:val="0"/>
              <w:bidi w:val="0"/>
              <w:adjustRightInd w:val="0"/>
              <w:snapToGrid w:val="0"/>
              <w:spacing w:line="320" w:lineRule="exact"/>
              <w:jc w:val="cente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eastAsia="zh-CN"/>
              </w:rPr>
              <w:t>强化督查考核</w:t>
            </w:r>
          </w:p>
        </w:tc>
        <w:tc>
          <w:tcPr>
            <w:tcW w:w="59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left"/>
              <w:rPr>
                <w:rFonts w:hint="eastAsia" w:eastAsia="仿宋_GB2312"/>
                <w:color w:val="auto"/>
                <w:sz w:val="28"/>
                <w:szCs w:val="28"/>
                <w:highlight w:val="none"/>
                <w:lang w:eastAsia="zh-CN"/>
              </w:rPr>
            </w:pPr>
            <w:r>
              <w:rPr>
                <w:rFonts w:hint="eastAsia"/>
                <w:i w:val="0"/>
                <w:iCs w:val="0"/>
                <w:color w:val="auto"/>
                <w:spacing w:val="-2"/>
                <w:sz w:val="28"/>
                <w:highlight w:val="none"/>
              </w:rPr>
              <w:t>加强督查检查，将2023年</w:t>
            </w:r>
            <w:r>
              <w:rPr>
                <w:rFonts w:hint="eastAsia"/>
                <w:i w:val="0"/>
                <w:iCs w:val="0"/>
                <w:color w:val="auto"/>
                <w:spacing w:val="-2"/>
                <w:sz w:val="28"/>
                <w:highlight w:val="none"/>
                <w:lang w:val="en-US" w:eastAsia="zh-CN"/>
              </w:rPr>
              <w:t>水</w:t>
            </w:r>
            <w:r>
              <w:rPr>
                <w:rFonts w:hint="eastAsia"/>
                <w:i w:val="0"/>
                <w:iCs w:val="0"/>
                <w:color w:val="auto"/>
                <w:spacing w:val="-2"/>
                <w:sz w:val="28"/>
                <w:highlight w:val="none"/>
              </w:rPr>
              <w:t>污染防治各项工作纳入全区党建统领综合考核评价体系，对各镇街（地区）、相关部门进行考核评价</w:t>
            </w:r>
            <w:r>
              <w:rPr>
                <w:rFonts w:hint="eastAsia" w:ascii="仿宋_GB2312" w:eastAsia="仿宋_GB2312" w:cs="仿宋_GB2312"/>
                <w:color w:val="auto"/>
                <w:sz w:val="28"/>
                <w:szCs w:val="28"/>
                <w:highlight w:val="none"/>
                <w:lang w:eastAsia="zh-CN"/>
              </w:rPr>
              <w:t>。</w:t>
            </w:r>
          </w:p>
        </w:tc>
        <w:tc>
          <w:tcPr>
            <w:tcW w:w="1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rPr>
            </w:pPr>
            <w:r>
              <w:rPr>
                <w:rFonts w:hint="eastAsia" w:ascii="仿宋_GB2312" w:eastAsia="仿宋_GB2312" w:cs="仿宋_GB2312"/>
                <w:color w:val="auto"/>
                <w:sz w:val="28"/>
                <w:szCs w:val="28"/>
                <w:highlight w:val="none"/>
              </w:rPr>
              <w:t>年底前</w:t>
            </w:r>
          </w:p>
        </w:tc>
        <w:tc>
          <w:tcPr>
            <w:tcW w:w="22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ascii="仿宋_GB2312" w:eastAsia="仿宋_GB2312" w:cs="仿宋_GB2312"/>
                <w:color w:val="auto"/>
                <w:sz w:val="28"/>
                <w:szCs w:val="28"/>
                <w:highlight w:val="none"/>
              </w:rPr>
              <w:t>区生态环境局</w:t>
            </w:r>
          </w:p>
        </w:tc>
        <w:tc>
          <w:tcPr>
            <w:tcW w:w="22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区生态环境局</w:t>
            </w:r>
          </w:p>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w:t>
            </w:r>
            <w:r>
              <w:rPr>
                <w:rFonts w:hint="eastAsia" w:ascii="仿宋_GB2312" w:eastAsia="仿宋_GB2312" w:cs="仿宋_GB2312"/>
                <w:color w:val="auto"/>
                <w:sz w:val="28"/>
                <w:szCs w:val="28"/>
                <w:highlight w:val="none"/>
                <w:lang w:val="en-US" w:eastAsia="zh-CN"/>
              </w:rPr>
              <w:t>委</w:t>
            </w:r>
            <w:r>
              <w:rPr>
                <w:rFonts w:hint="eastAsia" w:ascii="仿宋_GB2312" w:eastAsia="仿宋_GB2312" w:cs="仿宋_GB2312"/>
                <w:color w:val="auto"/>
                <w:sz w:val="28"/>
                <w:szCs w:val="28"/>
                <w:highlight w:val="none"/>
              </w:rPr>
              <w:t>办</w:t>
            </w:r>
          </w:p>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区政府办</w:t>
            </w:r>
          </w:p>
          <w:p>
            <w:pPr>
              <w:keepNext w:val="0"/>
              <w:keepLines w:val="0"/>
              <w:pageBreakBefore w:val="0"/>
              <w:kinsoku/>
              <w:wordWrap/>
              <w:overflowPunct/>
              <w:topLinePunct w:val="0"/>
              <w:bidi w:val="0"/>
              <w:spacing w:line="320" w:lineRule="exact"/>
              <w:jc w:val="center"/>
              <w:rPr>
                <w:rFonts w:hint="eastAsia" w:ascii="仿宋_GB2312" w:eastAsia="仿宋_GB2312" w:cs="仿宋_GB2312"/>
                <w:color w:val="auto"/>
                <w:sz w:val="28"/>
                <w:szCs w:val="28"/>
                <w:highlight w:val="none"/>
              </w:rPr>
            </w:pPr>
            <w:r>
              <w:rPr>
                <w:rFonts w:hint="eastAsia" w:ascii="仿宋_GB2312" w:eastAsia="仿宋_GB2312" w:cs="仿宋_GB2312"/>
                <w:color w:val="auto"/>
                <w:sz w:val="28"/>
                <w:szCs w:val="28"/>
                <w:highlight w:val="none"/>
              </w:rPr>
              <w:t>区发改委</w:t>
            </w:r>
          </w:p>
        </w:tc>
        <w:tc>
          <w:tcPr>
            <w:tcW w:w="234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320" w:lineRule="exact"/>
              <w:jc w:val="center"/>
              <w:rPr>
                <w:rFonts w:hint="eastAsia" w:eastAsia="仿宋_GB2312"/>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bl>
    <w:p>
      <w:pPr>
        <w:rPr>
          <w:rFonts w:hint="eastAsia"/>
          <w:color w:val="auto"/>
          <w:highlight w:val="none"/>
        </w:rPr>
      </w:pPr>
    </w:p>
    <w:p>
      <w:pPr>
        <w:pStyle w:val="5"/>
        <w:rPr>
          <w:rFonts w:hint="eastAsia"/>
          <w:color w:val="auto"/>
          <w:highlight w:val="none"/>
        </w:rPr>
      </w:pPr>
    </w:p>
    <w:p>
      <w:pPr>
        <w:pStyle w:val="5"/>
        <w:rPr>
          <w:rFonts w:hint="eastAsia" w:eastAsia="黑体"/>
          <w:color w:val="auto"/>
          <w:sz w:val="32"/>
          <w:szCs w:val="32"/>
          <w:highlight w:val="none"/>
          <w:lang w:val="en-US" w:eastAsia="zh-CN"/>
        </w:rPr>
      </w:pPr>
      <w:r>
        <w:rPr>
          <w:rFonts w:hint="eastAsia" w:ascii="黑体" w:hAnsi="黑体" w:eastAsia="黑体" w:cs="方正小标宋简体"/>
          <w:color w:val="auto"/>
          <w:sz w:val="32"/>
          <w:szCs w:val="32"/>
          <w:highlight w:val="none"/>
        </w:rPr>
        <w:t>附件</w:t>
      </w:r>
      <w:r>
        <w:rPr>
          <w:rFonts w:hint="eastAsia" w:ascii="黑体" w:hAnsi="黑体" w:eastAsia="黑体" w:cs="方正小标宋简体"/>
          <w:color w:val="auto"/>
          <w:sz w:val="32"/>
          <w:szCs w:val="32"/>
          <w:highlight w:val="none"/>
          <w:lang w:val="en-US" w:eastAsia="zh-CN"/>
        </w:rPr>
        <w:t>4</w:t>
      </w:r>
    </w:p>
    <w:p>
      <w:pPr>
        <w:jc w:val="center"/>
        <w:rPr>
          <w:rFonts w:hint="eastAsia" w:eastAsia="方正小标宋_GBK"/>
          <w:color w:val="auto"/>
          <w:sz w:val="32"/>
          <w:szCs w:val="32"/>
          <w:highlight w:val="none"/>
          <w:lang w:eastAsia="zh-CN"/>
        </w:rPr>
      </w:pPr>
      <w:r>
        <w:rPr>
          <w:rFonts w:hint="eastAsia" w:ascii="方正小标宋_GBK" w:hAnsi="方正小标宋_GBK" w:eastAsia="方正小标宋_GBK" w:cs="方正小标宋_GBK"/>
          <w:color w:val="auto"/>
          <w:sz w:val="44"/>
          <w:szCs w:val="44"/>
          <w:highlight w:val="none"/>
        </w:rPr>
        <w:t>北京市密云区土壤污染防治2023年行动计划</w:t>
      </w:r>
    </w:p>
    <w:tbl>
      <w:tblPr>
        <w:tblStyle w:val="14"/>
        <w:tblW w:w="15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
        <w:gridCol w:w="843"/>
        <w:gridCol w:w="6021"/>
        <w:gridCol w:w="1313"/>
        <w:gridCol w:w="2039"/>
        <w:gridCol w:w="2381"/>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10" w:hRule="atLeast"/>
          <w:tblHeader/>
          <w:jc w:val="center"/>
        </w:trPr>
        <w:tc>
          <w:tcPr>
            <w:tcW w:w="504"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序号</w:t>
            </w:r>
          </w:p>
        </w:tc>
        <w:tc>
          <w:tcPr>
            <w:tcW w:w="843" w:type="dxa"/>
            <w:vAlign w:val="center"/>
          </w:tcPr>
          <w:p>
            <w:pPr>
              <w:widowControl/>
              <w:spacing w:line="360" w:lineRule="exact"/>
              <w:ind w:left="-110" w:leftChars="-50" w:right="-110" w:rightChars="-5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重点</w:t>
            </w:r>
          </w:p>
          <w:p>
            <w:pPr>
              <w:widowControl/>
              <w:spacing w:line="360" w:lineRule="exact"/>
              <w:ind w:left="-110" w:leftChars="-50" w:right="-110" w:rightChars="-5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任务</w:t>
            </w:r>
          </w:p>
        </w:tc>
        <w:tc>
          <w:tcPr>
            <w:tcW w:w="6021"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工作措施</w:t>
            </w:r>
          </w:p>
        </w:tc>
        <w:tc>
          <w:tcPr>
            <w:tcW w:w="1313"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完成</w:t>
            </w:r>
          </w:p>
          <w:p>
            <w:pPr>
              <w:widowControl/>
              <w:spacing w:line="360" w:lineRule="exact"/>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时限</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牵头部门</w:t>
            </w:r>
          </w:p>
        </w:tc>
        <w:tc>
          <w:tcPr>
            <w:tcW w:w="2381" w:type="dxa"/>
            <w:vAlign w:val="center"/>
          </w:tcPr>
          <w:p>
            <w:pPr>
              <w:widowControl/>
              <w:autoSpaceDE w:val="0"/>
              <w:snapToGrid w:val="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主责单位</w:t>
            </w:r>
          </w:p>
        </w:tc>
        <w:tc>
          <w:tcPr>
            <w:tcW w:w="2295" w:type="dxa"/>
            <w:vAlign w:val="center"/>
          </w:tcPr>
          <w:p>
            <w:pPr>
              <w:widowControl/>
              <w:autoSpaceDE w:val="0"/>
              <w:snapToGrid w:val="0"/>
              <w:jc w:val="center"/>
              <w:rPr>
                <w:rFonts w:hint="eastAsia" w:ascii="黑体" w:hAnsi="黑体" w:eastAsia="黑体" w:cs="宋体"/>
                <w:color w:val="auto"/>
                <w:kern w:val="0"/>
                <w:sz w:val="28"/>
                <w:szCs w:val="28"/>
                <w:highlight w:val="none"/>
              </w:rPr>
            </w:pPr>
            <w:r>
              <w:rPr>
                <w:rFonts w:hint="eastAsia" w:ascii="黑体" w:hAnsi="黑体" w:eastAsia="黑体" w:cs="宋体"/>
                <w:color w:val="auto"/>
                <w:kern w:val="0"/>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5396" w:type="dxa"/>
            <w:gridSpan w:val="7"/>
            <w:vAlign w:val="center"/>
          </w:tcPr>
          <w:p>
            <w:pPr>
              <w:widowControl/>
              <w:autoSpaceDE w:val="0"/>
              <w:snapToGrid w:val="0"/>
              <w:ind w:left="-110" w:leftChars="-50" w:right="-110" w:rightChars="-5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一、土壤污染防治目标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31" w:hRule="atLeast"/>
          <w:jc w:val="center"/>
        </w:trPr>
        <w:tc>
          <w:tcPr>
            <w:tcW w:w="504" w:type="dxa"/>
            <w:vAlign w:val="center"/>
          </w:tcPr>
          <w:p>
            <w:pPr>
              <w:widowControl/>
              <w:spacing w:line="36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p>
        </w:tc>
        <w:tc>
          <w:tcPr>
            <w:tcW w:w="843" w:type="dxa"/>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目标</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任务</w:t>
            </w: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加强土壤污染源头防控，建设用地</w:t>
            </w:r>
            <w:r>
              <w:rPr>
                <w:rFonts w:hint="eastAsia" w:ascii="仿宋_GB2312" w:hAnsi="宋体" w:eastAsia="仿宋_GB2312" w:cs="宋体"/>
                <w:color w:val="auto"/>
                <w:kern w:val="0"/>
                <w:sz w:val="28"/>
                <w:szCs w:val="28"/>
                <w:highlight w:val="none"/>
                <w:lang w:val="en-US" w:eastAsia="zh-CN"/>
              </w:rPr>
              <w:t>和</w:t>
            </w:r>
            <w:r>
              <w:rPr>
                <w:rFonts w:hint="eastAsia" w:ascii="仿宋_GB2312" w:hAnsi="宋体" w:eastAsia="仿宋_GB2312" w:cs="宋体"/>
                <w:color w:val="auto"/>
                <w:kern w:val="0"/>
                <w:sz w:val="28"/>
                <w:szCs w:val="28"/>
                <w:highlight w:val="none"/>
              </w:rPr>
              <w:t>农用地土壤环境风险得到有效管控。土壤环境质量保持良好。</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lang w:val="en-US" w:eastAsia="zh-CN"/>
              </w:rPr>
              <w:t>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spacing w:val="-17"/>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spacing w:val="-17"/>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区应急局</w:t>
            </w:r>
          </w:p>
          <w:p>
            <w:pPr>
              <w:widowControl/>
              <w:autoSpaceDE w:val="0"/>
              <w:snapToGrid w:val="0"/>
              <w:jc w:val="center"/>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5396" w:type="dxa"/>
            <w:gridSpan w:val="7"/>
            <w:vAlign w:val="center"/>
          </w:tcPr>
          <w:p>
            <w:pPr>
              <w:widowControl/>
              <w:autoSpaceDE w:val="0"/>
              <w:snapToGrid w:val="0"/>
              <w:ind w:left="-110" w:leftChars="-50" w:right="-110" w:rightChars="-5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二、全面加强建设用地风险防控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04" w:type="dxa"/>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2</w:t>
            </w:r>
          </w:p>
        </w:tc>
        <w:tc>
          <w:tcPr>
            <w:tcW w:w="843" w:type="dxa"/>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保障</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建设</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环境</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安全</w:t>
            </w: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辖区</w:t>
            </w:r>
            <w:r>
              <w:rPr>
                <w:rFonts w:hint="eastAsia" w:ascii="仿宋_GB2312" w:hAnsi="宋体" w:eastAsia="仿宋_GB2312" w:cs="宋体"/>
                <w:color w:val="auto"/>
                <w:kern w:val="0"/>
                <w:sz w:val="28"/>
                <w:szCs w:val="28"/>
                <w:highlight w:val="none"/>
              </w:rPr>
              <w:t>重点建设用地安全利用得到有效保障，安全利用率达到100%，或者达到95%以上且依法处罚、整改到位。</w:t>
            </w:r>
          </w:p>
          <w:p>
            <w:pPr>
              <w:widowControl/>
              <w:spacing w:line="360" w:lineRule="exact"/>
              <w:jc w:val="left"/>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eastAsia="zh-CN"/>
              </w:rPr>
              <w:t>辖区</w:t>
            </w:r>
            <w:r>
              <w:rPr>
                <w:rFonts w:hint="eastAsia" w:ascii="仿宋_GB2312" w:hAnsi="宋体" w:eastAsia="仿宋_GB2312" w:cs="宋体"/>
                <w:color w:val="auto"/>
                <w:kern w:val="0"/>
                <w:sz w:val="28"/>
                <w:szCs w:val="28"/>
                <w:highlight w:val="none"/>
              </w:rPr>
              <w:t>污染地块安全利用率达到95%以上</w:t>
            </w:r>
            <w:r>
              <w:rPr>
                <w:rFonts w:hint="eastAsia" w:ascii="仿宋_GB2312" w:hAnsi="宋体" w:eastAsia="仿宋_GB2312" w:cs="宋体"/>
                <w:color w:val="auto"/>
                <w:kern w:val="0"/>
                <w:sz w:val="28"/>
                <w:szCs w:val="28"/>
                <w:highlight w:val="none"/>
                <w:lang w:eastAsia="zh-CN"/>
              </w:rPr>
              <w:t>。</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长期</w:t>
            </w:r>
          </w:p>
          <w:p>
            <w:pPr>
              <w:widowControl/>
              <w:spacing w:line="360" w:lineRule="exact"/>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实施</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r>
              <w:rPr>
                <w:rFonts w:hint="eastAsia" w:ascii="仿宋_GB2312" w:hAnsi="宋体" w:eastAsia="仿宋_GB2312" w:cs="宋体"/>
                <w:color w:val="auto"/>
                <w:kern w:val="0"/>
                <w:sz w:val="28"/>
                <w:szCs w:val="28"/>
                <w:highlight w:val="none"/>
                <w:lang w:val="en-US" w:eastAsia="zh-CN"/>
              </w:rPr>
              <w:br w:type="textWrapping"/>
            </w:r>
            <w:r>
              <w:rPr>
                <w:rFonts w:hint="eastAsia" w:ascii="仿宋_GB2312" w:hAnsi="宋体" w:eastAsia="仿宋_GB2312" w:cs="宋体"/>
                <w:color w:val="auto"/>
                <w:kern w:val="0"/>
                <w:sz w:val="28"/>
                <w:szCs w:val="28"/>
                <w:highlight w:val="none"/>
                <w:lang w:val="en-US" w:eastAsia="zh-CN"/>
              </w:rPr>
              <w:t>区规自分局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r>
              <w:rPr>
                <w:rFonts w:hint="eastAsia" w:ascii="仿宋_GB2312" w:hAnsi="宋体" w:eastAsia="仿宋_GB2312" w:cs="宋体"/>
                <w:color w:val="auto"/>
                <w:kern w:val="0"/>
                <w:sz w:val="28"/>
                <w:szCs w:val="28"/>
                <w:highlight w:val="none"/>
                <w:lang w:val="en-US" w:eastAsia="zh-CN"/>
              </w:rPr>
              <w:br w:type="textWrapping"/>
            </w: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5" w:hRule="atLeast"/>
          <w:jc w:val="center"/>
        </w:trPr>
        <w:tc>
          <w:tcPr>
            <w:tcW w:w="504" w:type="dxa"/>
            <w:vMerge w:val="restart"/>
            <w:vAlign w:val="center"/>
          </w:tcPr>
          <w:p>
            <w:pPr>
              <w:widowControl/>
              <w:jc w:val="center"/>
              <w:rPr>
                <w:rFonts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3</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工业</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tc>
        <w:tc>
          <w:tcPr>
            <w:tcW w:w="6021" w:type="dxa"/>
            <w:vAlign w:val="center"/>
          </w:tcPr>
          <w:p>
            <w:pPr>
              <w:widowControl/>
              <w:spacing w:line="360" w:lineRule="exact"/>
              <w:jc w:val="left"/>
              <w:rPr>
                <w:rFonts w:hint="eastAsia" w:ascii="黑体" w:hAnsi="黑体" w:eastAsia="黑体" w:cs="宋体"/>
                <w:color w:val="auto"/>
                <w:kern w:val="0"/>
                <w:sz w:val="28"/>
                <w:szCs w:val="28"/>
                <w:highlight w:val="none"/>
              </w:rPr>
            </w:pPr>
            <w:r>
              <w:rPr>
                <w:rFonts w:hint="eastAsia" w:ascii="仿宋_GB2312" w:hAnsi="宋体" w:eastAsia="仿宋_GB2312" w:cs="宋体"/>
                <w:color w:val="auto"/>
                <w:kern w:val="0"/>
                <w:sz w:val="28"/>
                <w:szCs w:val="28"/>
                <w:highlight w:val="none"/>
              </w:rPr>
              <w:t>加强工业园区土壤环境管理。开发区的管理机构合理规划建设环境保护基础设施，巡查检查、定期监测，并督促开发区内工业企业落实土壤污染防治措施。</w:t>
            </w:r>
          </w:p>
        </w:tc>
        <w:tc>
          <w:tcPr>
            <w:tcW w:w="1313" w:type="dxa"/>
            <w:vAlign w:val="center"/>
          </w:tcPr>
          <w:p>
            <w:pPr>
              <w:widowControl/>
              <w:spacing w:line="360" w:lineRule="exact"/>
              <w:jc w:val="center"/>
              <w:rPr>
                <w:rFonts w:hint="eastAsia" w:ascii="黑体" w:hAnsi="黑体" w:eastAsia="黑体" w:cs="宋体"/>
                <w:color w:val="auto"/>
                <w:kern w:val="0"/>
                <w:sz w:val="28"/>
                <w:szCs w:val="28"/>
                <w:highlight w:val="none"/>
              </w:rPr>
            </w:pPr>
            <w:r>
              <w:rPr>
                <w:rFonts w:hint="eastAsia" w:ascii="仿宋_GB2312" w:hAnsi="宋体" w:eastAsia="仿宋_GB2312" w:cs="宋体"/>
                <w:color w:val="auto"/>
                <w:kern w:val="0"/>
                <w:sz w:val="28"/>
                <w:szCs w:val="28"/>
                <w:highlight w:val="none"/>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黑体" w:hAnsi="黑体" w:eastAsia="黑体" w:cs="宋体"/>
                <w:b/>
                <w:bCs/>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区经信局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10"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ind w:left="-110" w:leftChars="-50" w:right="-110" w:rightChars="-50"/>
              <w:jc w:val="center"/>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预防新建工业企业土壤污染。新改扩建设项目，督促依照环境影响评价有关规定，开展土壤环境现状调查。新建涉及汽车整车制造、显示器制造、集成电路制造等行业的建设项目，督促在开工建设前完成土壤环境现状调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报告报区生态环境部门。</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0"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规范管理土壤重点监管单位。更新土壤污染重点监管单位名录，督促、指导、规范重点监管单位履行法定义务，开展隐患排查、自行监测、有毒有害物质排放年度报告，建立土壤和地下水污染防治制度。</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00"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防控涉重金属重点行业污染。持续推进涉镉等重金属行业企业排查整治，印发实施工作方案、更新排查整治清单，防止污染耕地；督促含电镀工序企业开展隐患排查，指导企业根据排查结果开展绿色化改造。</w:t>
            </w:r>
          </w:p>
        </w:tc>
        <w:tc>
          <w:tcPr>
            <w:tcW w:w="1313" w:type="dxa"/>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04" w:type="dxa"/>
            <w:vMerge w:val="restart"/>
            <w:vAlign w:val="center"/>
          </w:tcPr>
          <w:p>
            <w:pPr>
              <w:widowControl/>
              <w:jc w:val="center"/>
              <w:rPr>
                <w:rFonts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rPr>
              <w:t>3</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工业</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防控</w:t>
            </w:r>
          </w:p>
        </w:tc>
        <w:tc>
          <w:tcPr>
            <w:tcW w:w="6021" w:type="dxa"/>
            <w:vAlign w:val="center"/>
          </w:tcPr>
          <w:p>
            <w:pPr>
              <w:keepNext w:val="0"/>
              <w:keepLines w:val="0"/>
              <w:pageBreakBefore w:val="0"/>
              <w:widowControl/>
              <w:kinsoku/>
              <w:wordWrap/>
              <w:overflowPunct/>
              <w:topLinePunct w:val="0"/>
              <w:autoSpaceDE w:val="0"/>
              <w:autoSpaceDN w:val="0"/>
              <w:bidi w:val="0"/>
              <w:adjustRightInd/>
              <w:spacing w:line="340" w:lineRule="exact"/>
              <w:jc w:val="left"/>
              <w:textAlignment w:val="auto"/>
              <w:outlineLvl w:val="9"/>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潜在污染工业企业土壤环境管理。督促涉及汽车整车制造、显示器制造、集成电路制造行业的在产企业建立土壤污染防治制度，依法开展自行监测。督促加油站、储油库等具有储存、输送含有毒有害物质的埋地管道和设施的所有者和运营者采取防渗漏措施，督促埋地储罐的所有者或运营者及时报告埋地储罐基本信息并定期巡查、检修、监测。</w:t>
            </w:r>
          </w:p>
        </w:tc>
        <w:tc>
          <w:tcPr>
            <w:tcW w:w="1313" w:type="dxa"/>
            <w:vAlign w:val="center"/>
          </w:tcPr>
          <w:p>
            <w:pPr>
              <w:keepNext w:val="0"/>
              <w:keepLines w:val="0"/>
              <w:pageBreakBefore w:val="0"/>
              <w:widowControl/>
              <w:kinsoku/>
              <w:wordWrap/>
              <w:overflowPunct/>
              <w:topLinePunct w:val="0"/>
              <w:autoSpaceDE w:val="0"/>
              <w:autoSpaceDN w:val="0"/>
              <w:bidi w:val="0"/>
              <w:adjustRightInd/>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13"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lang w:val="en-US" w:eastAsia="zh-CN" w:bidi="ar-SA"/>
              </w:rPr>
            </w:pPr>
          </w:p>
        </w:tc>
        <w:tc>
          <w:tcPr>
            <w:tcW w:w="6021" w:type="dxa"/>
            <w:vAlign w:val="center"/>
          </w:tcPr>
          <w:p>
            <w:pPr>
              <w:keepNext w:val="0"/>
              <w:keepLines w:val="0"/>
              <w:pageBreakBefore w:val="0"/>
              <w:widowControl/>
              <w:kinsoku/>
              <w:wordWrap/>
              <w:overflowPunct/>
              <w:topLinePunct w:val="0"/>
              <w:autoSpaceDE w:val="0"/>
              <w:autoSpaceDN w:val="0"/>
              <w:bidi w:val="0"/>
              <w:adjustRightInd/>
              <w:spacing w:line="340" w:lineRule="exact"/>
              <w:jc w:val="left"/>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落实《北京市密云区“十四五”时期“无废城市”建设实施方案》</w:t>
            </w:r>
            <w:r>
              <w:rPr>
                <w:rFonts w:hint="eastAsia" w:ascii="仿宋_GB2312" w:hAnsi="宋体" w:eastAsia="仿宋_GB2312" w:cs="宋体"/>
                <w:color w:val="auto"/>
                <w:kern w:val="0"/>
                <w:sz w:val="28"/>
                <w:szCs w:val="28"/>
                <w:highlight w:val="none"/>
                <w:lang w:val="en-US" w:eastAsia="zh-CN"/>
              </w:rPr>
              <w:t>文件要求</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持续推进</w:t>
            </w:r>
            <w:r>
              <w:rPr>
                <w:rFonts w:hint="eastAsia" w:ascii="仿宋_GB2312" w:hAnsi="宋体" w:eastAsia="仿宋_GB2312" w:cs="宋体"/>
                <w:color w:val="auto"/>
                <w:kern w:val="0"/>
                <w:sz w:val="28"/>
                <w:szCs w:val="28"/>
                <w:highlight w:val="none"/>
              </w:rPr>
              <w:t>“无废城市”建设</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开展“无废园区”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无废工厂”等“无废城市细胞”建设；</w:t>
            </w:r>
            <w:r>
              <w:rPr>
                <w:rFonts w:hint="eastAsia" w:ascii="仿宋_GB2312" w:hAnsi="宋体" w:eastAsia="仿宋_GB2312" w:cs="宋体"/>
                <w:color w:val="auto"/>
                <w:kern w:val="0"/>
                <w:sz w:val="28"/>
                <w:szCs w:val="28"/>
                <w:highlight w:val="none"/>
              </w:rPr>
              <w:t>搭建集工业源、农业源、生活源等各类固体废物全覆盖的一体化监管平台,实现对固体废物全生命周期的跟踪管理</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开展工业固体废物精细化管理，制定《密云区工业固体废物管理办法》及《密云区工业固体废物分类管理目录》，全面提升我区</w:t>
            </w:r>
            <w:r>
              <w:rPr>
                <w:rFonts w:hint="default" w:ascii="仿宋_GB2312" w:hAnsi="宋体" w:eastAsia="仿宋_GB2312" w:cs="宋体"/>
                <w:color w:val="auto"/>
                <w:kern w:val="0"/>
                <w:sz w:val="28"/>
                <w:szCs w:val="28"/>
                <w:highlight w:val="none"/>
                <w:lang w:val="en-US" w:eastAsia="zh-CN"/>
              </w:rPr>
              <w:fldChar w:fldCharType="begin"/>
            </w:r>
            <w:r>
              <w:rPr>
                <w:rFonts w:hint="default" w:ascii="仿宋_GB2312" w:hAnsi="宋体" w:eastAsia="仿宋_GB2312" w:cs="宋体"/>
                <w:color w:val="auto"/>
                <w:kern w:val="0"/>
                <w:sz w:val="28"/>
                <w:szCs w:val="28"/>
                <w:highlight w:val="none"/>
                <w:lang w:val="en-US" w:eastAsia="zh-CN"/>
              </w:rPr>
              <w:instrText xml:space="preserve"> HYPERLINK "https://huanbao.bjx.com.cn/topics/gygtfwgl/" \t "https://huanbao.bjx.com.cn/news/20211230/_blank" </w:instrText>
            </w:r>
            <w:r>
              <w:rPr>
                <w:rFonts w:hint="default" w:ascii="仿宋_GB2312" w:hAnsi="宋体" w:eastAsia="仿宋_GB2312" w:cs="宋体"/>
                <w:color w:val="auto"/>
                <w:kern w:val="0"/>
                <w:sz w:val="28"/>
                <w:szCs w:val="28"/>
                <w:highlight w:val="none"/>
                <w:lang w:val="en-US" w:eastAsia="zh-CN"/>
              </w:rPr>
              <w:fldChar w:fldCharType="separate"/>
            </w:r>
            <w:r>
              <w:rPr>
                <w:rFonts w:hint="default" w:ascii="仿宋_GB2312" w:hAnsi="宋体" w:eastAsia="仿宋_GB2312" w:cs="宋体"/>
                <w:color w:val="auto"/>
                <w:kern w:val="0"/>
                <w:sz w:val="28"/>
                <w:szCs w:val="28"/>
                <w:highlight w:val="none"/>
                <w:lang w:val="en-US" w:eastAsia="zh-CN"/>
              </w:rPr>
              <w:t>工业固体废物</w:t>
            </w:r>
            <w:r>
              <w:rPr>
                <w:rFonts w:hint="eastAsia" w:ascii="仿宋_GB2312" w:hAnsi="宋体" w:eastAsia="仿宋_GB2312" w:cs="宋体"/>
                <w:color w:val="auto"/>
                <w:kern w:val="0"/>
                <w:sz w:val="28"/>
                <w:szCs w:val="28"/>
                <w:highlight w:val="none"/>
                <w:lang w:val="en-US" w:eastAsia="zh-CN"/>
              </w:rPr>
              <w:t>环境</w:t>
            </w:r>
            <w:r>
              <w:rPr>
                <w:rFonts w:hint="default" w:ascii="仿宋_GB2312" w:hAnsi="宋体" w:eastAsia="仿宋_GB2312" w:cs="宋体"/>
                <w:color w:val="auto"/>
                <w:kern w:val="0"/>
                <w:sz w:val="28"/>
                <w:szCs w:val="28"/>
                <w:highlight w:val="none"/>
                <w:lang w:val="en-US" w:eastAsia="zh-CN"/>
              </w:rPr>
              <w:t>管理</w:t>
            </w:r>
            <w:r>
              <w:rPr>
                <w:rFonts w:hint="default" w:ascii="仿宋_GB2312" w:hAnsi="宋体" w:eastAsia="仿宋_GB2312" w:cs="宋体"/>
                <w:color w:val="auto"/>
                <w:kern w:val="0"/>
                <w:sz w:val="28"/>
                <w:szCs w:val="28"/>
                <w:highlight w:val="none"/>
                <w:lang w:val="en-US" w:eastAsia="zh-CN"/>
              </w:rPr>
              <w:fldChar w:fldCharType="end"/>
            </w:r>
            <w:r>
              <w:rPr>
                <w:rFonts w:hint="eastAsia" w:ascii="仿宋_GB2312" w:hAnsi="宋体" w:eastAsia="仿宋_GB2312" w:cs="宋体"/>
                <w:color w:val="auto"/>
                <w:kern w:val="0"/>
                <w:sz w:val="28"/>
                <w:szCs w:val="28"/>
                <w:highlight w:val="none"/>
                <w:lang w:val="en-US" w:eastAsia="zh-CN"/>
              </w:rPr>
              <w:t>水平。</w:t>
            </w:r>
          </w:p>
        </w:tc>
        <w:tc>
          <w:tcPr>
            <w:tcW w:w="1313" w:type="dxa"/>
            <w:vAlign w:val="center"/>
          </w:tcPr>
          <w:p>
            <w:pPr>
              <w:keepNext w:val="0"/>
              <w:keepLines w:val="0"/>
              <w:pageBreakBefore w:val="0"/>
              <w:widowControl/>
              <w:kinsoku/>
              <w:wordWrap/>
              <w:overflowPunct/>
              <w:topLinePunct w:val="0"/>
              <w:autoSpaceDE w:val="0"/>
              <w:autoSpaceDN w:val="0"/>
              <w:bidi w:val="0"/>
              <w:adjustRightInd/>
              <w:spacing w:line="340" w:lineRule="exact"/>
              <w:jc w:val="center"/>
              <w:textAlignment w:val="auto"/>
              <w:outlineLvl w:val="9"/>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both"/>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区生态环境局</w:t>
            </w:r>
          </w:p>
        </w:tc>
        <w:tc>
          <w:tcPr>
            <w:tcW w:w="2381"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土壤污染综合防控工作小组成员单位</w:t>
            </w:r>
          </w:p>
        </w:tc>
        <w:tc>
          <w:tcPr>
            <w:tcW w:w="2295"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504" w:type="dxa"/>
            <w:vMerge w:val="continue"/>
            <w:vAlign w:val="center"/>
          </w:tcPr>
          <w:p>
            <w:pPr>
              <w:widowControl/>
              <w:jc w:val="center"/>
              <w:rPr>
                <w:rFonts w:ascii="仿宋_GB2312" w:hAnsi="宋体" w:eastAsia="仿宋_GB2312" w:cs="宋体"/>
                <w:color w:val="auto"/>
                <w:kern w:val="0"/>
                <w:sz w:val="28"/>
                <w:szCs w:val="28"/>
                <w:highlight w:val="none"/>
                <w:lang w:val="en-US" w:eastAsia="zh-CN" w:bidi="ar-SA"/>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lang w:val="en-US" w:eastAsia="zh-CN" w:bidi="ar-SA"/>
              </w:rPr>
            </w:pPr>
          </w:p>
        </w:tc>
        <w:tc>
          <w:tcPr>
            <w:tcW w:w="6021" w:type="dxa"/>
            <w:vAlign w:val="center"/>
          </w:tcPr>
          <w:p>
            <w:pPr>
              <w:keepNext w:val="0"/>
              <w:keepLines w:val="0"/>
              <w:pageBreakBefore w:val="0"/>
              <w:widowControl/>
              <w:kinsoku/>
              <w:wordWrap/>
              <w:overflowPunct/>
              <w:topLinePunct w:val="0"/>
              <w:autoSpaceDE w:val="0"/>
              <w:autoSpaceDN w:val="0"/>
              <w:bidi w:val="0"/>
              <w:adjustRightInd/>
              <w:spacing w:line="340" w:lineRule="exact"/>
              <w:ind w:left="0" w:leftChars="0" w:right="0" w:rightChars="0"/>
              <w:jc w:val="left"/>
              <w:textAlignment w:val="auto"/>
              <w:outlineLvl w:val="9"/>
              <w:rPr>
                <w:rFonts w:hint="eastAsia" w:ascii="仿宋_GB2312" w:hAnsi="宋体" w:eastAsia="仿宋_GB2312" w:cs="宋体"/>
                <w:color w:val="auto"/>
                <w:kern w:val="0"/>
                <w:sz w:val="28"/>
                <w:szCs w:val="28"/>
                <w:highlight w:val="none"/>
              </w:rPr>
            </w:pPr>
            <w:r>
              <w:rPr>
                <w:rFonts w:hint="eastAsia" w:hAnsi="宋体" w:cs="宋体"/>
                <w:color w:val="auto"/>
                <w:kern w:val="0"/>
                <w:sz w:val="28"/>
                <w:szCs w:val="28"/>
                <w:highlight w:val="none"/>
                <w:lang w:eastAsia="zh-CN"/>
              </w:rPr>
              <w:t>开展塑料污染治理规范化示范区创建</w:t>
            </w:r>
          </w:p>
        </w:tc>
        <w:tc>
          <w:tcPr>
            <w:tcW w:w="1313" w:type="dxa"/>
            <w:vAlign w:val="center"/>
          </w:tcPr>
          <w:p>
            <w:pPr>
              <w:keepNext w:val="0"/>
              <w:keepLines w:val="0"/>
              <w:pageBreakBefore w:val="0"/>
              <w:widowControl/>
              <w:kinsoku/>
              <w:wordWrap/>
              <w:overflowPunct/>
              <w:topLinePunct w:val="0"/>
              <w:autoSpaceDE w:val="0"/>
              <w:autoSpaceDN w:val="0"/>
              <w:bidi w:val="0"/>
              <w:adjustRightInd/>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jc w:val="center"/>
              <w:textAlignment w:val="auto"/>
              <w:outlineLvl w:val="9"/>
              <w:rPr>
                <w:rFonts w:hint="eastAsia" w:hAnsi="宋体" w:cs="宋体"/>
                <w:color w:val="auto"/>
                <w:kern w:val="0"/>
                <w:sz w:val="28"/>
                <w:szCs w:val="28"/>
                <w:highlight w:val="none"/>
                <w:lang w:eastAsia="zh-CN"/>
              </w:rPr>
            </w:pPr>
            <w:r>
              <w:rPr>
                <w:rFonts w:hint="eastAsia" w:hAnsi="宋体" w:cs="宋体"/>
                <w:color w:val="auto"/>
                <w:kern w:val="0"/>
                <w:sz w:val="28"/>
                <w:szCs w:val="28"/>
                <w:highlight w:val="none"/>
                <w:lang w:eastAsia="zh-CN"/>
              </w:rPr>
              <w:t>区发改委</w:t>
            </w:r>
          </w:p>
          <w:p>
            <w:pPr>
              <w:keepNext w:val="0"/>
              <w:keepLines w:val="0"/>
              <w:pageBreakBefore w:val="0"/>
              <w:widowControl/>
              <w:kinsoku/>
              <w:wordWrap/>
              <w:overflowPunct/>
              <w:topLinePunct w:val="0"/>
              <w:autoSpaceDE w:val="0"/>
              <w:autoSpaceDN w:val="0"/>
              <w:bidi w:val="0"/>
              <w:adjustRightInd/>
              <w:snapToGrid w:val="0"/>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eastAsia="zh-CN"/>
              </w:rPr>
              <w:t>区生态环境局</w:t>
            </w:r>
          </w:p>
        </w:tc>
        <w:tc>
          <w:tcPr>
            <w:tcW w:w="2381"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val="en-US" w:eastAsia="zh-CN"/>
              </w:rPr>
            </w:pPr>
            <w:r>
              <w:rPr>
                <w:rFonts w:hint="eastAsia" w:hAnsi="宋体" w:cs="宋体"/>
                <w:color w:val="auto"/>
                <w:kern w:val="0"/>
                <w:sz w:val="28"/>
                <w:szCs w:val="28"/>
                <w:highlight w:val="none"/>
                <w:lang w:val="en-US" w:eastAsia="zh-CN"/>
              </w:rPr>
              <w:t>创建</w:t>
            </w:r>
            <w:r>
              <w:rPr>
                <w:rFonts w:hint="eastAsia" w:hAnsi="宋体" w:cs="宋体"/>
                <w:color w:val="auto"/>
                <w:kern w:val="0"/>
                <w:sz w:val="28"/>
                <w:szCs w:val="28"/>
                <w:highlight w:val="none"/>
                <w:lang w:eastAsia="zh-CN"/>
              </w:rPr>
              <w:t>塑料污染治理规范化示范区工作领导小组成员单位</w:t>
            </w:r>
          </w:p>
        </w:tc>
        <w:tc>
          <w:tcPr>
            <w:tcW w:w="2295" w:type="dxa"/>
            <w:vAlign w:val="center"/>
          </w:tcPr>
          <w:p>
            <w:pPr>
              <w:keepNext w:val="0"/>
              <w:keepLines w:val="0"/>
              <w:pageBreakBefore w:val="0"/>
              <w:widowControl/>
              <w:kinsoku/>
              <w:wordWrap/>
              <w:overflowPunct/>
              <w:topLinePunct w:val="0"/>
              <w:autoSpaceDE w:val="0"/>
              <w:autoSpaceDN w:val="0"/>
              <w:bidi w:val="0"/>
              <w:adjustRightInd/>
              <w:snapToGrid w:val="0"/>
              <w:spacing w:line="340" w:lineRule="exact"/>
              <w:ind w:left="0" w:leftChars="0" w:right="0" w:rightChars="0"/>
              <w:jc w:val="center"/>
              <w:textAlignment w:val="auto"/>
              <w:outlineLvl w:val="9"/>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80" w:hRule="atLeast"/>
          <w:jc w:val="center"/>
        </w:trPr>
        <w:tc>
          <w:tcPr>
            <w:tcW w:w="504" w:type="dxa"/>
            <w:vMerge w:val="restart"/>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优化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建设</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风险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制度</w:t>
            </w:r>
          </w:p>
        </w:tc>
        <w:tc>
          <w:tcPr>
            <w:tcW w:w="6021" w:type="dxa"/>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督促依法调查。在土地使用权收回、转让前，督促依法完成土壤污染状况调查；不涉及土地使用权收回、转让的，在规划指标确定前完成；法规实施前已经收回土地使用权或其他情形，在供地前完成。加强建设用地土壤污染状况调查质量监督检查，逐步增加建设用地安全利用面积。</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4420" w:type="dxa"/>
            <w:gridSpan w:val="2"/>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6"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60" w:lineRule="exact"/>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开展风险筛查。筛查2022年度关停退出工业企业原址用地，筛选土壤污染风险较高的地块。完善筛查台账，更新地块现状、开发利用情况、土壤污染状况调查等信息。</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23" w:hRule="atLeast"/>
          <w:jc w:val="center"/>
        </w:trPr>
        <w:tc>
          <w:tcPr>
            <w:tcW w:w="504" w:type="dxa"/>
            <w:vMerge w:val="continue"/>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p>
        </w:tc>
        <w:tc>
          <w:tcPr>
            <w:tcW w:w="843" w:type="dxa"/>
            <w:vMerge w:val="continue"/>
            <w:vAlign w:val="center"/>
          </w:tcPr>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p>
        </w:tc>
        <w:tc>
          <w:tcPr>
            <w:tcW w:w="6021" w:type="dxa"/>
            <w:vAlign w:val="center"/>
          </w:tcPr>
          <w:p>
            <w:pPr>
              <w:widowControl/>
              <w:spacing w:line="320" w:lineRule="exact"/>
              <w:jc w:val="left"/>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防控超筛选值地块风险。污染物含量超过建设用地土壤污染风险管控标准筛选值的，督促采取防止污染扩散等风险防范措施。暂不开发利用受污染建设用地，督促编制风险管控方案并实施；拟开发利用受污染建设用地，督促制定风险管控、修复方案并实施。</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穆家峪镇</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3"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加强风险管控、修复过程监督管理。涉及基坑等危险性较大工程的，区生态环境部门加强土壤污染治理监督检查，区住房城乡建设部门加强施工安全监督检查。</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4420" w:type="dxa"/>
            <w:gridSpan w:val="2"/>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3" w:hRule="atLeast"/>
          <w:jc w:val="center"/>
        </w:trPr>
        <w:tc>
          <w:tcPr>
            <w:tcW w:w="504" w:type="dxa"/>
            <w:vMerge w:val="restart"/>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4</w:t>
            </w:r>
          </w:p>
        </w:tc>
        <w:tc>
          <w:tcPr>
            <w:tcW w:w="843" w:type="dxa"/>
            <w:vMerge w:val="restart"/>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优化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建设</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风险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制度</w:t>
            </w: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完善效果评估。涉及转运污染土壤的，督促按照承诺的时限和措施完成转运污染土壤处置、效果评估并备案。</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8" w:hRule="atLeast"/>
          <w:jc w:val="center"/>
        </w:trPr>
        <w:tc>
          <w:tcPr>
            <w:tcW w:w="504" w:type="dxa"/>
            <w:vMerge w:val="continue"/>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强化后期监管。对开展后期管理的地块，督促编制、备案并实施后期管理计划。</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7" w:hRule="atLeast"/>
          <w:jc w:val="center"/>
        </w:trPr>
        <w:tc>
          <w:tcPr>
            <w:tcW w:w="504" w:type="dxa"/>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5</w:t>
            </w:r>
          </w:p>
        </w:tc>
        <w:tc>
          <w:tcPr>
            <w:tcW w:w="843" w:type="dxa"/>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国土</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空间</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规划</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统筹</w:t>
            </w:r>
          </w:p>
        </w:tc>
        <w:tc>
          <w:tcPr>
            <w:tcW w:w="6021" w:type="dxa"/>
            <w:vAlign w:val="center"/>
          </w:tcPr>
          <w:p>
            <w:pPr>
              <w:widowControl/>
              <w:spacing w:line="32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强化规划统筹。</w:t>
            </w:r>
            <w:r>
              <w:rPr>
                <w:rFonts w:hint="eastAsia" w:ascii="仿宋_GB2312" w:eastAsia="仿宋_GB2312"/>
                <w:color w:val="auto"/>
                <w:sz w:val="28"/>
                <w:szCs w:val="28"/>
                <w:highlight w:val="none"/>
              </w:rPr>
              <w:t>将土壤环境质量作为编制、审查相关国土空间规划的依据，纳入自然资源统筹管理，做好国土空间用途管制。</w:t>
            </w:r>
            <w:r>
              <w:rPr>
                <w:rFonts w:hint="eastAsia" w:ascii="仿宋_GB2312" w:hAnsi="宋体" w:eastAsia="仿宋_GB2312" w:cs="宋体"/>
                <w:color w:val="auto"/>
                <w:kern w:val="0"/>
                <w:sz w:val="28"/>
                <w:szCs w:val="28"/>
                <w:highlight w:val="none"/>
              </w:rPr>
              <w:t>在编制国土空间规划前，对规划范围内涉及工业生产的地块进行筛查，筛选土壤污染风险较高的地块。未对土壤污染风险较高的地块进行土壤污染状况调查的，不宜规划为住宅用地、商业服务用地以及中小学、医疗卫生社会福利设施等公共管理与公共服务用地。</w:t>
            </w:r>
          </w:p>
        </w:tc>
        <w:tc>
          <w:tcPr>
            <w:tcW w:w="1313"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5396" w:type="dxa"/>
            <w:gridSpan w:val="7"/>
            <w:shd w:val="clear" w:color="auto" w:fill="FFFFFF"/>
            <w:vAlign w:val="center"/>
          </w:tcPr>
          <w:p>
            <w:pPr>
              <w:widowControl/>
              <w:autoSpaceDE w:val="0"/>
              <w:snapToGrid w:val="0"/>
              <w:ind w:left="-110" w:leftChars="-50" w:right="-110" w:rightChars="-50"/>
              <w:jc w:val="center"/>
              <w:rPr>
                <w:rFonts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三、持续推进农用地安全利用</w:t>
            </w:r>
            <w:r>
              <w:rPr>
                <w:rFonts w:hint="eastAsia" w:ascii="宋体" w:hAnsi="宋体"/>
                <w:color w:val="auto"/>
                <w:kern w:val="0"/>
                <w:sz w:val="28"/>
                <w:szCs w:val="2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5"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6</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保障</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农用地土壤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环境</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安全</w:t>
            </w:r>
          </w:p>
        </w:tc>
        <w:tc>
          <w:tcPr>
            <w:tcW w:w="6021" w:type="dxa"/>
            <w:shd w:val="clear" w:color="auto" w:fill="FFFFFF"/>
            <w:vAlign w:val="center"/>
          </w:tcPr>
          <w:p>
            <w:pPr>
              <w:pStyle w:val="5"/>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SA"/>
              </w:rPr>
              <w:t>辖区受污染耕地和园地全部采取安全利用措施，受污染耕地安全利用率达到95%以上。</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4"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7</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强</w:t>
            </w:r>
            <w:r>
              <w:rPr>
                <w:rFonts w:hint="eastAsia" w:ascii="仿宋_GB2312" w:hAnsi="宋体" w:eastAsia="仿宋_GB2312" w:cs="宋体"/>
                <w:color w:val="auto"/>
                <w:kern w:val="0"/>
                <w:sz w:val="28"/>
                <w:szCs w:val="28"/>
                <w:highlight w:val="none"/>
                <w:lang w:val="en-US" w:eastAsia="zh-CN"/>
              </w:rPr>
              <w:t>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种植业土壤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推进农业绿色防控。制定农药、化肥减量行动方案，主要农作物绿色防控及统防统治覆盖率分别达到75%和54%，主要农作物测土配方施肥技术覆盖率保持在98%以上，化肥利用率达到42%以上。调查监测农膜使用、回收情况以及农药包装废弃物回收处置率，建立健全农田地膜残留监测点。创建蔬菜病虫全程绿色防控试点示范基地，开展全生物可降解地膜试验与试点示范。</w:t>
            </w:r>
          </w:p>
          <w:p>
            <w:pPr>
              <w:widowControl/>
              <w:spacing w:line="360" w:lineRule="exact"/>
              <w:jc w:val="left"/>
              <w:rPr>
                <w:rFonts w:hint="eastAsia"/>
                <w:color w:val="auto"/>
                <w:sz w:val="28"/>
                <w:szCs w:val="28"/>
                <w:highlight w:val="none"/>
              </w:rPr>
            </w:pPr>
            <w:r>
              <w:rPr>
                <w:rFonts w:hint="eastAsia" w:ascii="仿宋_GB2312" w:hAnsi="宋体" w:eastAsia="仿宋_GB2312" w:cs="宋体"/>
                <w:color w:val="auto"/>
                <w:kern w:val="0"/>
                <w:sz w:val="28"/>
                <w:szCs w:val="28"/>
                <w:highlight w:val="none"/>
                <w:lang w:val="en-US" w:eastAsia="zh-CN" w:bidi="ar-SA"/>
              </w:rPr>
              <w:t>加强对农业投入品有关违法行为的监督执法检查。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color w:val="auto"/>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45"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推进果业林业等绿色防控。推进园林绿化用地农药、化肥用量控制，逐步开展农药、化肥使用核算。巩固绿色生态综合防控示范区成果，持续加大绿色防控面积和力度。督促林地养护等单位，建立农药、肥料和农用薄膜使用量以及农药包装废弃物、废旧农用薄膜产生量台账。</w:t>
            </w:r>
          </w:p>
          <w:p>
            <w:pPr>
              <w:widowControl/>
              <w:spacing w:line="360" w:lineRule="exact"/>
              <w:jc w:val="left"/>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SA"/>
              </w:rPr>
              <w:t>加强对农业投入品有关违法行为的监督执法检查。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0"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8</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养殖业土壤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源头</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tc>
        <w:tc>
          <w:tcPr>
            <w:tcW w:w="6021" w:type="dxa"/>
            <w:shd w:val="clear" w:color="auto" w:fill="FFFFFF"/>
            <w:vAlign w:val="center"/>
          </w:tcPr>
          <w:p>
            <w:pPr>
              <w:widowControl/>
              <w:spacing w:line="360" w:lineRule="exact"/>
              <w:jc w:val="left"/>
              <w:rPr>
                <w:rFonts w:hint="eastAsia" w:eastAsia="仿宋_GB2312"/>
                <w:color w:val="auto"/>
                <w:sz w:val="28"/>
                <w:szCs w:val="28"/>
                <w:highlight w:val="none"/>
              </w:rPr>
            </w:pPr>
            <w:r>
              <w:rPr>
                <w:rFonts w:hint="eastAsia" w:ascii="仿宋_GB2312" w:hAnsi="宋体" w:eastAsia="仿宋_GB2312" w:cs="宋体"/>
                <w:color w:val="auto"/>
                <w:kern w:val="0"/>
                <w:sz w:val="28"/>
                <w:szCs w:val="28"/>
                <w:highlight w:val="none"/>
              </w:rPr>
              <w:t>完善畜禽粪污还田利用管理机制。督促规模以上养殖场全部配套粪污处理设施，指导其加强畜禽粪污无害化处理，对有毒有害物质残留进行检测，畜禽粪污综合利用率保持在95%以上。</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15"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完善长效管理机制。推动养殖主体履行畜禽粪污利用和污染防治主体责任，</w:t>
            </w:r>
            <w:r>
              <w:rPr>
                <w:rFonts w:hint="eastAsia" w:ascii="仿宋_GB2312" w:eastAsia="仿宋_GB2312"/>
                <w:color w:val="auto"/>
                <w:sz w:val="28"/>
                <w:szCs w:val="28"/>
                <w:highlight w:val="none"/>
              </w:rPr>
              <w:t>加强污染防治设施升级改造，</w:t>
            </w:r>
            <w:r>
              <w:rPr>
                <w:rFonts w:hint="eastAsia" w:ascii="仿宋_GB2312" w:hAnsi="宋体" w:eastAsia="仿宋_GB2312" w:cs="宋体"/>
                <w:color w:val="auto"/>
                <w:kern w:val="0"/>
                <w:sz w:val="28"/>
                <w:szCs w:val="28"/>
                <w:highlight w:val="none"/>
              </w:rPr>
              <w:t>推进畜禽粪污高水平治理，长期稳定有效运行治理设施。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0" w:hRule="atLeast"/>
          <w:jc w:val="center"/>
        </w:trPr>
        <w:tc>
          <w:tcPr>
            <w:tcW w:w="504" w:type="dxa"/>
            <w:vMerge w:val="restart"/>
            <w:shd w:val="clear" w:color="auto" w:fill="FFFFFF"/>
            <w:vAlign w:val="center"/>
          </w:tcPr>
          <w:p>
            <w:pPr>
              <w:widowControl/>
              <w:spacing w:line="360" w:lineRule="exact"/>
              <w:jc w:val="center"/>
              <w:rPr>
                <w:rFonts w:hint="default"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9</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细化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农用地分类</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管理</w:t>
            </w:r>
          </w:p>
        </w:tc>
        <w:tc>
          <w:tcPr>
            <w:tcW w:w="6021" w:type="dxa"/>
            <w:shd w:val="clear" w:color="auto" w:fill="FFFFFF"/>
            <w:vAlign w:val="center"/>
          </w:tcPr>
          <w:p>
            <w:pPr>
              <w:pStyle w:val="5"/>
              <w:spacing w:line="360" w:lineRule="exact"/>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以“田长制”为抓手，加强耕地保护。落实新增耕地联合验收机制，制定并实施耕地分类管理年度工作计划，持续完善耕地分类管理工作制度，促进耕地土壤生态系统良性循环，保持耕地土壤环境质量稳定。</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61"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bCs/>
                <w:color w:val="auto"/>
                <w:kern w:val="0"/>
                <w:sz w:val="28"/>
                <w:szCs w:val="28"/>
                <w:highlight w:val="none"/>
              </w:rPr>
              <w:t>以“林长制”为抓手，</w:t>
            </w:r>
            <w:r>
              <w:rPr>
                <w:rFonts w:hint="eastAsia" w:ascii="仿宋_GB2312" w:hAnsi="宋体" w:eastAsia="仿宋_GB2312" w:cs="宋体"/>
                <w:color w:val="auto"/>
                <w:kern w:val="0"/>
                <w:sz w:val="28"/>
                <w:szCs w:val="28"/>
                <w:highlight w:val="none"/>
              </w:rPr>
              <w:t>保护园地、林地土壤资源，保障产出食用林产品质量。分类管理园地和种植食用林产品的林下经济林地，加强灌溉用水水质管理，制定并实施受污染园地安全利用工作方案，食用林产品“产出一季、检测一季”，超标的不再直接种植食用林产品。</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75" w:hRule="atLeast"/>
          <w:jc w:val="center"/>
        </w:trPr>
        <w:tc>
          <w:tcPr>
            <w:tcW w:w="504" w:type="dxa"/>
            <w:shd w:val="clear" w:color="auto" w:fill="auto"/>
            <w:vAlign w:val="center"/>
          </w:tcPr>
          <w:p>
            <w:pPr>
              <w:widowControl/>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val="en-US" w:eastAsia="zh-CN"/>
              </w:rPr>
              <w:t>9</w:t>
            </w:r>
          </w:p>
        </w:tc>
        <w:tc>
          <w:tcPr>
            <w:tcW w:w="843" w:type="dxa"/>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细化</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农用地分类</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管理</w:t>
            </w:r>
          </w:p>
        </w:tc>
        <w:tc>
          <w:tcPr>
            <w:tcW w:w="6021" w:type="dxa"/>
            <w:shd w:val="clear" w:color="auto" w:fill="FFFFFF"/>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rPr>
              <w:t>指导采用温室、大棚等设施种植食用农产品面积大于五十亩的农民专业合作社、农业企业，依法对农产品质量安全状况进行检测，发现可能因土壤原因导致农产品不符合质量安全标准时，对土壤环境质量开展监测。</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仿宋_GB2312" w:eastAsia="仿宋_GB2312" w:cs="仿宋_GB2312"/>
                <w:i w:val="0"/>
                <w:iCs w:val="0"/>
                <w:color w:val="auto"/>
                <w:spacing w:val="-22"/>
                <w:sz w:val="28"/>
                <w:szCs w:val="22"/>
                <w:highlight w:val="none"/>
                <w:lang w:val="en-US" w:eastAsia="zh-CN" w:bidi="ar-SA"/>
              </w:rPr>
              <w:t>区农业服务中心</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5396" w:type="dxa"/>
            <w:gridSpan w:val="7"/>
            <w:shd w:val="clear" w:color="auto" w:fill="FFFFFF"/>
            <w:vAlign w:val="center"/>
          </w:tcPr>
          <w:p>
            <w:pPr>
              <w:pStyle w:val="5"/>
              <w:autoSpaceDE w:val="0"/>
              <w:snapToGrid w:val="0"/>
              <w:ind w:left="-110" w:leftChars="-50" w:right="-110" w:rightChars="-50"/>
              <w:jc w:val="center"/>
              <w:rPr>
                <w:rFonts w:hint="eastAsia" w:ascii="仿宋_GB2312" w:eastAsia="仿宋_GB2312"/>
                <w:color w:val="auto"/>
                <w:kern w:val="0"/>
                <w:sz w:val="28"/>
                <w:szCs w:val="28"/>
                <w:highlight w:val="none"/>
                <w:lang w:val="en-US" w:eastAsia="zh-CN"/>
              </w:rPr>
            </w:pPr>
            <w:r>
              <w:rPr>
                <w:rFonts w:hint="eastAsia" w:ascii="黑体" w:hAnsi="黑体" w:eastAsia="黑体" w:cs="宋体"/>
                <w:color w:val="auto"/>
                <w:kern w:val="0"/>
                <w:sz w:val="28"/>
                <w:szCs w:val="28"/>
                <w:highlight w:val="none"/>
                <w:lang w:val="en-US" w:eastAsia="zh-CN"/>
              </w:rPr>
              <w:t>四、拓展强化未利用地保护</w:t>
            </w:r>
            <w:r>
              <w:rPr>
                <w:rFonts w:hint="eastAsia" w:hAnsi="宋体"/>
                <w:color w:val="auto"/>
                <w:kern w:val="0"/>
                <w:sz w:val="28"/>
                <w:szCs w:val="28"/>
                <w:highlight w:val="none"/>
                <w:lang w:val="en-US" w:eastAsia="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0"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10</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加强未利用地闭合</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管控</w:t>
            </w: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因地制宜探索整治复耕与生态修复方式，促进自然生态系统容量提升。</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各镇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05"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1</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未利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tc>
        <w:tc>
          <w:tcPr>
            <w:tcW w:w="6021" w:type="dxa"/>
            <w:shd w:val="clear" w:color="auto" w:fill="FFFFFF"/>
            <w:vAlign w:val="center"/>
          </w:tcPr>
          <w:p>
            <w:pPr>
              <w:pStyle w:val="5"/>
              <w:widowControl/>
              <w:spacing w:line="360" w:lineRule="exact"/>
              <w:jc w:val="left"/>
              <w:rPr>
                <w:rFonts w:hint="eastAsia"/>
                <w:color w:val="auto"/>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bidi="ar-SA"/>
              </w:rPr>
              <w:t>加强未利用地保护。组织对滩涂、沼泽等未利用地定期开展巡查，推进未利用地土壤环境监测。巡查检查、监测等发现土壤污染风险的，采取有效措施防控风险并控制开发利用。未利用地被污染的，督促土壤污染责任人清除污染、实施修复。</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68" w:hRule="atLeast"/>
          <w:jc w:val="center"/>
        </w:trPr>
        <w:tc>
          <w:tcPr>
            <w:tcW w:w="504" w:type="dxa"/>
            <w:vMerge w:val="continue"/>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rPr>
            </w:pPr>
          </w:p>
        </w:tc>
        <w:tc>
          <w:tcPr>
            <w:tcW w:w="843" w:type="dxa"/>
            <w:vMerge w:val="continue"/>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加强未利用地执法检查，查处倾倒垃圾、侵占使用等违法行为，并督促整改到位。</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持续</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推进</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19" w:hRule="atLeast"/>
          <w:jc w:val="center"/>
        </w:trPr>
        <w:tc>
          <w:tcPr>
            <w:tcW w:w="504" w:type="dxa"/>
            <w:vMerge w:val="restart"/>
            <w:shd w:val="clear" w:color="auto" w:fill="auto"/>
            <w:vAlign w:val="center"/>
          </w:tcPr>
          <w:p>
            <w:pPr>
              <w:widowControl/>
              <w:jc w:val="left"/>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1</w:t>
            </w:r>
          </w:p>
        </w:tc>
        <w:tc>
          <w:tcPr>
            <w:tcW w:w="843" w:type="dxa"/>
            <w:vMerge w:val="restart"/>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防控</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未利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用地</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土壤</w:t>
            </w:r>
          </w:p>
          <w:p>
            <w:pPr>
              <w:widowControl/>
              <w:spacing w:line="360" w:lineRule="exact"/>
              <w:ind w:left="-110" w:leftChars="-50" w:right="-110" w:rightChars="-50"/>
              <w:jc w:val="center"/>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污染</w:t>
            </w:r>
          </w:p>
        </w:tc>
        <w:tc>
          <w:tcPr>
            <w:tcW w:w="6021" w:type="dxa"/>
            <w:shd w:val="clear" w:color="auto" w:fill="FFFFFF"/>
            <w:vAlign w:val="center"/>
          </w:tcPr>
          <w:p>
            <w:pPr>
              <w:widowControl/>
              <w:spacing w:line="360" w:lineRule="exact"/>
              <w:jc w:val="left"/>
              <w:rPr>
                <w:rFonts w:hint="eastAsia"/>
                <w:color w:val="auto"/>
                <w:sz w:val="28"/>
                <w:szCs w:val="28"/>
                <w:highlight w:val="none"/>
              </w:rPr>
            </w:pPr>
            <w:r>
              <w:rPr>
                <w:rFonts w:hint="eastAsia" w:ascii="仿宋_GB2312" w:hAnsi="宋体" w:eastAsia="仿宋_GB2312" w:cs="宋体"/>
                <w:color w:val="auto"/>
                <w:kern w:val="0"/>
                <w:sz w:val="28"/>
                <w:szCs w:val="28"/>
                <w:highlight w:val="none"/>
              </w:rPr>
              <w:t>加强尾矿库安全管理。督促尾矿库运营、管理单位履行防治土壤污染的法定义务，按“一库一策”要求制定并落实有关安全管理措施，定期开展巡查和专项检查，汛期加密检查，防止发生溃坝、垮坝等可能污染土壤的事故。</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区应急局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区应急局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高岭镇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9"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严格预防尾矿库和尾矿砂堆周边土壤污染。督促运营、管理单位完成一轮土壤污染隐患排查，存在隐患的及时采取措施。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区国资委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高岭镇</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hAnsi="宋体" w:cs="宋体"/>
                <w:color w:val="auto"/>
                <w:spacing w:val="-11"/>
                <w:kern w:val="0"/>
                <w:sz w:val="28"/>
                <w:szCs w:val="28"/>
                <w:highlight w:val="none"/>
                <w:lang w:val="en-US" w:eastAsia="zh-CN"/>
              </w:rPr>
              <w:t>巨各庄镇等相关镇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15396" w:type="dxa"/>
            <w:gridSpan w:val="7"/>
            <w:shd w:val="clear" w:color="auto" w:fill="FFFFFF"/>
            <w:vAlign w:val="center"/>
          </w:tcPr>
          <w:p>
            <w:pPr>
              <w:widowControl/>
              <w:autoSpaceDE w:val="0"/>
              <w:snapToGrid w:val="0"/>
              <w:ind w:left="-110" w:leftChars="-50" w:right="-110" w:rightChars="-50"/>
              <w:jc w:val="center"/>
              <w:rPr>
                <w:rFonts w:hint="eastAsia" w:ascii="仿宋_GB2312" w:hAnsi="宋体" w:eastAsia="仿宋_GB2312" w:cs="宋体"/>
                <w:color w:val="auto"/>
                <w:kern w:val="0"/>
                <w:sz w:val="28"/>
                <w:szCs w:val="28"/>
                <w:highlight w:val="none"/>
              </w:rPr>
            </w:pPr>
            <w:r>
              <w:rPr>
                <w:rFonts w:hint="eastAsia" w:ascii="黑体" w:hAnsi="黑体" w:eastAsia="黑体" w:cs="宋体"/>
                <w:color w:val="auto"/>
                <w:kern w:val="0"/>
                <w:sz w:val="28"/>
                <w:szCs w:val="28"/>
                <w:highlight w:val="none"/>
              </w:rPr>
              <w:t>五、提升现代化治理能力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31"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2</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深入</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开展</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普法</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宣传</w:t>
            </w: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北京市土壤污染防治条例》普法宣传。生态环境、规划自然资源、农业农村、园林绿化等部门开展法规培训，提升土壤污染防治责任意识。开展面向工业企业的普法宣传，增强相关责任主体的土壤污染防治意识。加强面向公众的宣传，普及土壤生态环境保护知识，增强公众参与意识。</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长期</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实施</w:t>
            </w:r>
          </w:p>
        </w:tc>
        <w:tc>
          <w:tcPr>
            <w:tcW w:w="4420" w:type="dxa"/>
            <w:gridSpan w:val="2"/>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190"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3</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提升</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危险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废物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收运</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处置</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能力</w:t>
            </w: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落实疫情防控要求，及时组织清运</w:t>
            </w:r>
            <w:r>
              <w:rPr>
                <w:rFonts w:hint="eastAsia" w:hAnsi="宋体" w:cs="宋体"/>
                <w:color w:val="auto"/>
                <w:kern w:val="0"/>
                <w:sz w:val="28"/>
                <w:szCs w:val="28"/>
                <w:highlight w:val="none"/>
                <w:lang w:val="en-US" w:eastAsia="zh-CN" w:bidi="ar-SA"/>
              </w:rPr>
              <w:t>涉疫</w:t>
            </w:r>
            <w:r>
              <w:rPr>
                <w:rFonts w:hint="eastAsia" w:ascii="仿宋_GB2312" w:hAnsi="宋体" w:eastAsia="仿宋_GB2312" w:cs="宋体"/>
                <w:color w:val="auto"/>
                <w:kern w:val="0"/>
                <w:sz w:val="28"/>
                <w:szCs w:val="28"/>
                <w:highlight w:val="none"/>
                <w:lang w:val="en-US" w:eastAsia="zh-CN" w:bidi="ar-SA"/>
              </w:rPr>
              <w:t>垃圾。</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区卫健委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区交通局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73" w:hRule="atLeast"/>
          <w:jc w:val="center"/>
        </w:trPr>
        <w:tc>
          <w:tcPr>
            <w:tcW w:w="504" w:type="dxa"/>
            <w:vMerge w:val="restart"/>
            <w:shd w:val="clear" w:color="auto" w:fill="FFFFFF"/>
            <w:vAlign w:val="center"/>
          </w:tcPr>
          <w:p>
            <w:pPr>
              <w:widowControl/>
              <w:spacing w:line="360" w:lineRule="exact"/>
              <w:jc w:val="left"/>
              <w:rPr>
                <w:color w:val="auto"/>
                <w:sz w:val="28"/>
                <w:szCs w:val="28"/>
                <w:highlight w:val="none"/>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3</w:t>
            </w:r>
          </w:p>
        </w:tc>
        <w:tc>
          <w:tcPr>
            <w:tcW w:w="843" w:type="dxa"/>
            <w:vMerge w:val="restart"/>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提升</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危险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废物</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收运</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处置</w:t>
            </w:r>
          </w:p>
          <w:p>
            <w:pPr>
              <w:widowControl/>
              <w:spacing w:line="360" w:lineRule="exact"/>
              <w:jc w:val="center"/>
              <w:rPr>
                <w:color w:val="auto"/>
                <w:sz w:val="28"/>
                <w:szCs w:val="28"/>
                <w:highlight w:val="none"/>
              </w:rPr>
            </w:pPr>
            <w:r>
              <w:rPr>
                <w:rFonts w:hint="eastAsia" w:ascii="仿宋_GB2312" w:hAnsi="宋体" w:eastAsia="仿宋_GB2312" w:cs="宋体"/>
                <w:color w:val="auto"/>
                <w:kern w:val="0"/>
                <w:sz w:val="28"/>
                <w:szCs w:val="28"/>
                <w:highlight w:val="none"/>
              </w:rPr>
              <w:t>能力</w:t>
            </w: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完善“小箱进大箱”等工作机制，健全小微医疗机构医废收运体系。</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区卫健委</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区卫健委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区交通局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7" w:hRule="atLeast"/>
          <w:jc w:val="center"/>
        </w:trPr>
        <w:tc>
          <w:tcPr>
            <w:tcW w:w="504" w:type="dxa"/>
            <w:vMerge w:val="continue"/>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p>
        </w:tc>
        <w:tc>
          <w:tcPr>
            <w:tcW w:w="843" w:type="dxa"/>
            <w:vMerge w:val="continue"/>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rPr>
            </w:pPr>
          </w:p>
        </w:tc>
        <w:tc>
          <w:tcPr>
            <w:tcW w:w="6021" w:type="dxa"/>
            <w:shd w:val="clear" w:color="auto" w:fill="FFFFFF"/>
            <w:vAlign w:val="center"/>
          </w:tcPr>
          <w:p>
            <w:pPr>
              <w:widowControl/>
              <w:autoSpaceDE w:val="0"/>
              <w:snapToGrid w:val="0"/>
              <w:ind w:left="-110" w:leftChars="-50" w:right="-110" w:rightChars="-50"/>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鼓励依托工业园区等危废暂存设施，开展服务小微产废单位的危废收集转运试点。</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中关村密云园</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92" w:hRule="atLeast"/>
          <w:jc w:val="center"/>
        </w:trPr>
        <w:tc>
          <w:tcPr>
            <w:tcW w:w="504" w:type="dxa"/>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4</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实行</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信息</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共享</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制度</w:t>
            </w:r>
          </w:p>
        </w:tc>
        <w:tc>
          <w:tcPr>
            <w:tcW w:w="6021" w:type="dxa"/>
            <w:shd w:val="clear" w:color="auto" w:fill="FFFFFF"/>
            <w:vAlign w:val="center"/>
          </w:tcPr>
          <w:p>
            <w:pPr>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实行土壤污染防治相关信息共享制度。生态环境部门共享土壤污染重点监管单位情况、地块污染状况、风险管控和修复名录等；农业农村和园林绿化部门共享农用地分类管理、农业投入品使用及回收、土壤环境监测数据、综合防治效果调查等；规划资源部门共享建设用地用途变更信息、建设工程规划许可情况、年度供地计划、重点工业用地土地使用权收回及转让计划等</w:t>
            </w:r>
            <w:r>
              <w:rPr>
                <w:rFonts w:hint="eastAsia" w:hAnsi="宋体" w:cs="宋体"/>
                <w:color w:val="auto"/>
                <w:kern w:val="0"/>
                <w:sz w:val="28"/>
                <w:szCs w:val="28"/>
                <w:highlight w:val="none"/>
                <w:lang w:val="en-US" w:eastAsia="zh-CN" w:bidi="ar-SA"/>
              </w:rPr>
              <w:t>；</w:t>
            </w:r>
            <w:r>
              <w:rPr>
                <w:rFonts w:hint="eastAsia" w:ascii="仿宋_GB2312" w:hAnsi="宋体" w:eastAsia="仿宋_GB2312" w:cs="宋体"/>
                <w:color w:val="auto"/>
                <w:kern w:val="0"/>
                <w:sz w:val="28"/>
                <w:szCs w:val="28"/>
                <w:highlight w:val="none"/>
                <w:lang w:val="en-US" w:eastAsia="zh-CN" w:bidi="ar-SA"/>
              </w:rPr>
              <w:t>住房建设部门共享建筑工程施工许可情况等；经济和信息化部门共享关停退出企业情况等。</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4420" w:type="dxa"/>
            <w:gridSpan w:val="2"/>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2" w:hRule="atLeast"/>
          <w:jc w:val="center"/>
        </w:trPr>
        <w:tc>
          <w:tcPr>
            <w:tcW w:w="504" w:type="dxa"/>
            <w:vMerge w:val="restart"/>
            <w:shd w:val="clear" w:color="auto" w:fill="FFFFFF"/>
            <w:vAlign w:val="center"/>
          </w:tcPr>
          <w:p>
            <w:pPr>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5</w:t>
            </w:r>
          </w:p>
        </w:tc>
        <w:tc>
          <w:tcPr>
            <w:tcW w:w="843" w:type="dxa"/>
            <w:vMerge w:val="restart"/>
            <w:shd w:val="clear" w:color="auto" w:fill="FFFFFF"/>
            <w:vAlign w:val="center"/>
          </w:tcPr>
          <w:p>
            <w:pPr>
              <w:pStyle w:val="5"/>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提升监测监管能力</w:t>
            </w:r>
          </w:p>
        </w:tc>
        <w:tc>
          <w:tcPr>
            <w:tcW w:w="6021" w:type="dxa"/>
            <w:shd w:val="clear" w:color="auto" w:fill="FFFFFF"/>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工业污染源头监测。按计划开展重点监管单位和污水集中处理设施周边监测，对自行监测结果存在异常的工业企业周边土壤进行监测，存在污染迹象或特征污染物含量呈现上升趋势的，督促采取移除污染源、防止污染扩散等措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区经信局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区城管委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46" w:hRule="atLeast"/>
          <w:jc w:val="center"/>
        </w:trPr>
        <w:tc>
          <w:tcPr>
            <w:tcW w:w="504" w:type="dxa"/>
            <w:vMerge w:val="continue"/>
            <w:shd w:val="clear" w:color="auto" w:fill="auto"/>
            <w:vAlign w:val="center"/>
          </w:tcPr>
          <w:p>
            <w:pPr>
              <w:widowControl/>
              <w:jc w:val="left"/>
              <w:rPr>
                <w:rFonts w:ascii="仿宋_GB2312" w:hAnsi="宋体" w:eastAsia="仿宋_GB2312" w:cs="宋体"/>
                <w:color w:val="auto"/>
                <w:kern w:val="0"/>
                <w:sz w:val="28"/>
                <w:szCs w:val="28"/>
                <w:highlight w:val="none"/>
              </w:rPr>
            </w:pPr>
          </w:p>
        </w:tc>
        <w:tc>
          <w:tcPr>
            <w:tcW w:w="843" w:type="dxa"/>
            <w:vMerge w:val="continue"/>
            <w:shd w:val="clear" w:color="auto" w:fill="auto"/>
            <w:vAlign w:val="center"/>
          </w:tcPr>
          <w:p>
            <w:pPr>
              <w:widowControl/>
              <w:ind w:left="-110" w:leftChars="-50" w:right="-110" w:rightChars="-50"/>
              <w:jc w:val="left"/>
              <w:rPr>
                <w:rFonts w:ascii="仿宋_GB2312" w:hAnsi="宋体" w:eastAsia="仿宋_GB2312" w:cs="宋体"/>
                <w:color w:val="auto"/>
                <w:kern w:val="0"/>
                <w:sz w:val="28"/>
                <w:szCs w:val="28"/>
                <w:highlight w:val="none"/>
              </w:rPr>
            </w:pPr>
          </w:p>
        </w:tc>
        <w:tc>
          <w:tcPr>
            <w:tcW w:w="6021" w:type="dxa"/>
            <w:shd w:val="clear" w:color="auto" w:fill="FFFFFF"/>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加强农业面源监测。布设种植业环境质量监测点，加强种植环境监测。</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p>
            <w:pPr>
              <w:widowControl/>
              <w:autoSpaceDE w:val="0"/>
              <w:snapToGrid w:val="0"/>
              <w:jc w:val="center"/>
              <w:rPr>
                <w:rFonts w:hint="eastAsia" w:ascii="仿宋_GB2312" w:hAnsi="仿宋_GB2312" w:eastAsia="仿宋_GB2312" w:cs="仿宋_GB2312"/>
                <w:i w:val="0"/>
                <w:iCs w:val="0"/>
                <w:color w:val="auto"/>
                <w:spacing w:val="-22"/>
                <w:sz w:val="28"/>
                <w:szCs w:val="22"/>
                <w:highlight w:val="none"/>
                <w:lang w:val="en-US" w:eastAsia="zh-CN" w:bidi="ar-SA"/>
              </w:rPr>
            </w:pPr>
            <w:r>
              <w:rPr>
                <w:rFonts w:hint="eastAsia" w:ascii="仿宋_GB2312" w:hAnsi="仿宋_GB2312" w:eastAsia="仿宋_GB2312" w:cs="仿宋_GB2312"/>
                <w:i w:val="0"/>
                <w:iCs w:val="0"/>
                <w:color w:val="auto"/>
                <w:spacing w:val="-22"/>
                <w:sz w:val="28"/>
                <w:szCs w:val="22"/>
                <w:highlight w:val="none"/>
                <w:lang w:val="en-US" w:eastAsia="zh-CN" w:bidi="ar-SA"/>
              </w:rPr>
              <w:t>区农业服务中心</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3" w:hRule="atLeast"/>
          <w:jc w:val="center"/>
        </w:trPr>
        <w:tc>
          <w:tcPr>
            <w:tcW w:w="504" w:type="dxa"/>
            <w:vMerge w:val="continue"/>
            <w:shd w:val="clear" w:color="auto" w:fill="auto"/>
            <w:vAlign w:val="center"/>
          </w:tcPr>
          <w:p>
            <w:pPr>
              <w:pStyle w:val="5"/>
              <w:widowControl/>
              <w:spacing w:line="360" w:lineRule="exact"/>
              <w:jc w:val="left"/>
              <w:rPr>
                <w:color w:val="auto"/>
                <w:sz w:val="28"/>
                <w:szCs w:val="28"/>
                <w:highlight w:val="none"/>
              </w:rPr>
            </w:pPr>
          </w:p>
        </w:tc>
        <w:tc>
          <w:tcPr>
            <w:tcW w:w="843" w:type="dxa"/>
            <w:vMerge w:val="continue"/>
            <w:shd w:val="clear" w:color="auto" w:fill="auto"/>
            <w:vAlign w:val="center"/>
          </w:tcPr>
          <w:p>
            <w:pPr>
              <w:pStyle w:val="5"/>
              <w:widowControl/>
              <w:spacing w:line="360" w:lineRule="exact"/>
              <w:jc w:val="left"/>
              <w:rPr>
                <w:color w:val="auto"/>
                <w:sz w:val="28"/>
                <w:szCs w:val="28"/>
                <w:highlight w:val="none"/>
              </w:rPr>
            </w:pPr>
          </w:p>
        </w:tc>
        <w:tc>
          <w:tcPr>
            <w:tcW w:w="6021" w:type="dxa"/>
            <w:shd w:val="clear" w:color="auto" w:fill="FFFFFF"/>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排查畜禽养殖场生产废水排放口，加强污染排放监督性监测。开展规模化畜禽养殖粪污处理和资源化利用的专项执法检查。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504" w:type="dxa"/>
            <w:vMerge w:val="continue"/>
            <w:shd w:val="clear" w:color="auto" w:fill="auto"/>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p>
        </w:tc>
        <w:tc>
          <w:tcPr>
            <w:tcW w:w="843" w:type="dxa"/>
            <w:vMerge w:val="continue"/>
            <w:shd w:val="clear" w:color="auto" w:fill="auto"/>
            <w:vAlign w:val="center"/>
          </w:tcPr>
          <w:p>
            <w:pPr>
              <w:pStyle w:val="5"/>
              <w:widowControl/>
              <w:spacing w:line="360" w:lineRule="exact"/>
              <w:jc w:val="center"/>
              <w:rPr>
                <w:rFonts w:hint="eastAsia" w:ascii="仿宋_GB2312" w:hAnsi="宋体" w:eastAsia="仿宋_GB2312" w:cs="宋体"/>
                <w:color w:val="auto"/>
                <w:kern w:val="0"/>
                <w:sz w:val="28"/>
                <w:szCs w:val="28"/>
                <w:highlight w:val="none"/>
                <w:lang w:val="en-US" w:eastAsia="zh-CN" w:bidi="ar-SA"/>
              </w:rPr>
            </w:pPr>
          </w:p>
        </w:tc>
        <w:tc>
          <w:tcPr>
            <w:tcW w:w="6021" w:type="dxa"/>
            <w:shd w:val="clear" w:color="auto" w:fill="FFFFFF"/>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开展农田灌溉用水水质监测及监督检查，水质不达标的进行污染溯源并采取措施。</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vMerge w:val="restart"/>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7" w:hRule="atLeast"/>
          <w:jc w:val="center"/>
        </w:trPr>
        <w:tc>
          <w:tcPr>
            <w:tcW w:w="504" w:type="dxa"/>
            <w:vMerge w:val="continue"/>
            <w:shd w:val="clear" w:color="auto" w:fill="auto"/>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p>
        </w:tc>
        <w:tc>
          <w:tcPr>
            <w:tcW w:w="843" w:type="dxa"/>
            <w:vMerge w:val="continue"/>
            <w:shd w:val="clear" w:color="auto" w:fill="auto"/>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p>
        </w:tc>
        <w:tc>
          <w:tcPr>
            <w:tcW w:w="6021" w:type="dxa"/>
            <w:shd w:val="clear" w:color="auto" w:fill="FFFFFF"/>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布设监测点，开展农业面源污染监测评估。</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vMerge w:val="continue"/>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55" w:hRule="atLeast"/>
          <w:jc w:val="center"/>
        </w:trPr>
        <w:tc>
          <w:tcPr>
            <w:tcW w:w="504" w:type="dxa"/>
            <w:vMerge w:val="restart"/>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rPr>
              <w:t>1</w:t>
            </w:r>
            <w:r>
              <w:rPr>
                <w:rFonts w:hint="eastAsia" w:ascii="仿宋_GB2312" w:hAnsi="宋体" w:eastAsia="仿宋_GB2312" w:cs="宋体"/>
                <w:color w:val="auto"/>
                <w:kern w:val="0"/>
                <w:sz w:val="28"/>
                <w:szCs w:val="28"/>
                <w:highlight w:val="none"/>
                <w:lang w:val="en-US" w:eastAsia="zh-CN"/>
              </w:rPr>
              <w:t>5</w:t>
            </w:r>
          </w:p>
        </w:tc>
        <w:tc>
          <w:tcPr>
            <w:tcW w:w="843" w:type="dxa"/>
            <w:vMerge w:val="restart"/>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提升监测监管能力</w:t>
            </w:r>
          </w:p>
        </w:tc>
        <w:tc>
          <w:tcPr>
            <w:tcW w:w="6021" w:type="dxa"/>
            <w:shd w:val="clear" w:color="auto" w:fill="FFFFFF"/>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对土壤污染状况普查、详查表明有土壤污染风险的未利用地块和区级及以上水源保护区开展土壤环境质量调查。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00" w:hRule="atLeast"/>
          <w:jc w:val="center"/>
        </w:trPr>
        <w:tc>
          <w:tcPr>
            <w:tcW w:w="504" w:type="dxa"/>
            <w:vMerge w:val="continue"/>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p>
        </w:tc>
        <w:tc>
          <w:tcPr>
            <w:tcW w:w="843" w:type="dxa"/>
            <w:vMerge w:val="continue"/>
            <w:shd w:val="clear" w:color="auto" w:fill="auto"/>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p>
        </w:tc>
        <w:tc>
          <w:tcPr>
            <w:tcW w:w="6021" w:type="dxa"/>
            <w:shd w:val="clear" w:color="auto" w:fill="FFFFFF"/>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加强建设用地执法检查。对未完成土壤污染状况调查，或污染物含量超筛选值且尚未完成土壤污染风险评估，或未达到风险管控、修复目标的建设用地，加强违法开工建设执法检查。对土壤污染重点监管单位履行法定义务的时效及规范性、隐患排查问题整改情况等开展执法检查。</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相关镇街（地区）</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34" w:hRule="atLeast"/>
          <w:jc w:val="center"/>
        </w:trPr>
        <w:tc>
          <w:tcPr>
            <w:tcW w:w="504"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16</w:t>
            </w:r>
          </w:p>
        </w:tc>
        <w:tc>
          <w:tcPr>
            <w:tcW w:w="843" w:type="dxa"/>
            <w:shd w:val="clear" w:color="auto" w:fill="FFFFFF"/>
            <w:vAlign w:val="center"/>
          </w:tcPr>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开展</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规划</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中期</w:t>
            </w:r>
          </w:p>
          <w:p>
            <w:pPr>
              <w:widowControl/>
              <w:spacing w:line="360" w:lineRule="exact"/>
              <w:ind w:left="-110" w:leftChars="-50" w:right="-110" w:rightChars="-50"/>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评估</w:t>
            </w:r>
          </w:p>
        </w:tc>
        <w:tc>
          <w:tcPr>
            <w:tcW w:w="6021" w:type="dxa"/>
            <w:shd w:val="clear" w:color="auto" w:fill="FFFFFF"/>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配合市级相关部门开展《北京市“十四五”时期土壤污染防治规划》实施情况中期评估。</w:t>
            </w:r>
          </w:p>
        </w:tc>
        <w:tc>
          <w:tcPr>
            <w:tcW w:w="1313"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年底前</w:t>
            </w:r>
          </w:p>
        </w:tc>
        <w:tc>
          <w:tcPr>
            <w:tcW w:w="2039"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tc>
        <w:tc>
          <w:tcPr>
            <w:tcW w:w="2381"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区生态环境局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区规自分局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区住建委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区水务局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区农业农村局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区园林绿化局</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区农业服务中心</w:t>
            </w:r>
          </w:p>
        </w:tc>
        <w:tc>
          <w:tcPr>
            <w:tcW w:w="2295" w:type="dxa"/>
            <w:shd w:val="clear" w:color="auto" w:fill="FFFFFF"/>
            <w:vAlign w:val="center"/>
          </w:tcPr>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区发改委</w:t>
            </w:r>
          </w:p>
          <w:p>
            <w:pPr>
              <w:widowControl/>
              <w:autoSpaceDE w:val="0"/>
              <w:snapToGrid w:val="0"/>
              <w:jc w:val="center"/>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4" w:hRule="atLeast"/>
          <w:jc w:val="center"/>
        </w:trPr>
        <w:tc>
          <w:tcPr>
            <w:tcW w:w="504" w:type="dxa"/>
            <w:shd w:val="clear" w:color="auto" w:fill="FFFFFF"/>
            <w:vAlign w:val="center"/>
          </w:tcPr>
          <w:p>
            <w:pPr>
              <w:pStyle w:val="5"/>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17</w:t>
            </w:r>
          </w:p>
        </w:tc>
        <w:tc>
          <w:tcPr>
            <w:tcW w:w="843" w:type="dxa"/>
            <w:shd w:val="clear" w:color="auto" w:fill="FFFFFF"/>
            <w:vAlign w:val="center"/>
          </w:tcPr>
          <w:p>
            <w:pPr>
              <w:pStyle w:val="5"/>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强化督查考核</w:t>
            </w:r>
          </w:p>
        </w:tc>
        <w:tc>
          <w:tcPr>
            <w:tcW w:w="6021" w:type="dxa"/>
            <w:shd w:val="clear" w:color="auto" w:fill="FFFFFF"/>
            <w:vAlign w:val="center"/>
          </w:tcPr>
          <w:p>
            <w:pPr>
              <w:pStyle w:val="5"/>
              <w:widowControl/>
              <w:spacing w:line="360" w:lineRule="exact"/>
              <w:jc w:val="left"/>
              <w:rPr>
                <w:rFonts w:hint="eastAsia" w:ascii="仿宋_GB2312" w:hAnsi="宋体" w:eastAsia="仿宋_GB2312" w:cs="宋体"/>
                <w:color w:val="auto"/>
                <w:kern w:val="0"/>
                <w:sz w:val="28"/>
                <w:szCs w:val="28"/>
                <w:highlight w:val="none"/>
                <w:lang w:val="en-US" w:eastAsia="zh-CN" w:bidi="ar-SA"/>
              </w:rPr>
            </w:pPr>
            <w:r>
              <w:rPr>
                <w:rFonts w:hint="eastAsia"/>
                <w:i w:val="0"/>
                <w:iCs w:val="0"/>
                <w:color w:val="auto"/>
                <w:spacing w:val="-2"/>
                <w:sz w:val="28"/>
                <w:highlight w:val="none"/>
              </w:rPr>
              <w:t>加强督查检查，将</w:t>
            </w:r>
            <w:r>
              <w:rPr>
                <w:rFonts w:hint="eastAsia" w:ascii="仿宋_GB2312" w:hAnsi="仿宋_GB2312" w:eastAsia="仿宋_GB2312" w:cs="仿宋_GB2312"/>
                <w:i w:val="0"/>
                <w:iCs w:val="0"/>
                <w:color w:val="auto"/>
                <w:spacing w:val="-2"/>
                <w:sz w:val="28"/>
                <w:highlight w:val="none"/>
              </w:rPr>
              <w:t>2023</w:t>
            </w:r>
            <w:r>
              <w:rPr>
                <w:rFonts w:hint="eastAsia"/>
                <w:i w:val="0"/>
                <w:iCs w:val="0"/>
                <w:color w:val="auto"/>
                <w:spacing w:val="-2"/>
                <w:sz w:val="28"/>
                <w:highlight w:val="none"/>
              </w:rPr>
              <w:t>年</w:t>
            </w:r>
            <w:r>
              <w:rPr>
                <w:rFonts w:hint="eastAsia"/>
                <w:i w:val="0"/>
                <w:iCs w:val="0"/>
                <w:color w:val="auto"/>
                <w:spacing w:val="-2"/>
                <w:sz w:val="28"/>
                <w:highlight w:val="none"/>
                <w:lang w:val="en-US" w:eastAsia="zh-CN"/>
              </w:rPr>
              <w:t>土壤</w:t>
            </w:r>
            <w:r>
              <w:rPr>
                <w:rFonts w:hint="eastAsia"/>
                <w:i w:val="0"/>
                <w:iCs w:val="0"/>
                <w:color w:val="auto"/>
                <w:spacing w:val="-2"/>
                <w:sz w:val="28"/>
                <w:highlight w:val="none"/>
              </w:rPr>
              <w:t>污染防治各项工作纳入全区党建统领综合考核评价体系，对各镇街（地区）、相关部门进行考核评价。</w:t>
            </w:r>
          </w:p>
        </w:tc>
        <w:tc>
          <w:tcPr>
            <w:tcW w:w="1313" w:type="dxa"/>
            <w:shd w:val="clear" w:color="auto" w:fill="FFFFFF"/>
            <w:vAlign w:val="center"/>
          </w:tcPr>
          <w:p>
            <w:pPr>
              <w:pStyle w:val="5"/>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年底前</w:t>
            </w:r>
          </w:p>
        </w:tc>
        <w:tc>
          <w:tcPr>
            <w:tcW w:w="2039" w:type="dxa"/>
            <w:shd w:val="clear" w:color="auto" w:fill="FFFFFF"/>
            <w:vAlign w:val="center"/>
          </w:tcPr>
          <w:p>
            <w:pPr>
              <w:pStyle w:val="5"/>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区生态环境局</w:t>
            </w:r>
          </w:p>
        </w:tc>
        <w:tc>
          <w:tcPr>
            <w:tcW w:w="2381" w:type="dxa"/>
            <w:shd w:val="clear" w:color="auto" w:fill="FFFFFF"/>
            <w:vAlign w:val="center"/>
          </w:tcPr>
          <w:p>
            <w:pPr>
              <w:pStyle w:val="5"/>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区生态环境局</w:t>
            </w:r>
          </w:p>
          <w:p>
            <w:pPr>
              <w:pStyle w:val="5"/>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区委办</w:t>
            </w:r>
          </w:p>
          <w:p>
            <w:pPr>
              <w:pStyle w:val="5"/>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区政府办</w:t>
            </w:r>
          </w:p>
          <w:p>
            <w:pPr>
              <w:pStyle w:val="5"/>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区发改委</w:t>
            </w:r>
          </w:p>
        </w:tc>
        <w:tc>
          <w:tcPr>
            <w:tcW w:w="2295" w:type="dxa"/>
            <w:shd w:val="clear" w:color="auto" w:fill="FFFFFF"/>
            <w:vAlign w:val="center"/>
          </w:tcPr>
          <w:p>
            <w:pPr>
              <w:pStyle w:val="5"/>
              <w:widowControl/>
              <w:spacing w:line="360" w:lineRule="exact"/>
              <w:jc w:val="center"/>
              <w:rPr>
                <w:rFonts w:hint="eastAsia" w:ascii="仿宋_GB2312" w:hAnsi="宋体" w:eastAsia="仿宋_GB2312" w:cs="宋体"/>
                <w:color w:val="auto"/>
                <w:kern w:val="0"/>
                <w:sz w:val="28"/>
                <w:szCs w:val="28"/>
                <w:highlight w:val="none"/>
                <w:lang w:val="en-US" w:eastAsia="zh-CN" w:bidi="ar-SA"/>
              </w:rPr>
            </w:pPr>
            <w:r>
              <w:rPr>
                <w:rFonts w:hint="eastAsia" w:ascii="仿宋_GB2312" w:hAnsi="宋体" w:eastAsia="仿宋_GB2312" w:cs="宋体"/>
                <w:color w:val="auto"/>
                <w:kern w:val="0"/>
                <w:sz w:val="28"/>
                <w:szCs w:val="28"/>
                <w:highlight w:val="none"/>
                <w:lang w:val="en-US" w:eastAsia="zh-CN" w:bidi="ar-SA"/>
              </w:rPr>
              <w:t>——</w:t>
            </w:r>
          </w:p>
        </w:tc>
      </w:tr>
    </w:tbl>
    <w:p>
      <w:pPr>
        <w:pStyle w:val="5"/>
        <w:rPr>
          <w:rFonts w:hint="eastAsia"/>
          <w:color w:val="auto"/>
          <w:highlight w:val="none"/>
          <w:lang w:val="en-US" w:eastAsia="zh-CN"/>
        </w:rPr>
      </w:pPr>
    </w:p>
    <w:p>
      <w:pPr>
        <w:pStyle w:val="5"/>
        <w:rPr>
          <w:rFonts w:hint="eastAsia" w:eastAsia="仿宋_GB2312"/>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附件5</w:t>
      </w:r>
    </w:p>
    <w:p>
      <w:pPr>
        <w:jc w:val="center"/>
        <w:rPr>
          <w:rFonts w:hint="eastAsia" w:eastAsia="方正小标宋_GBK"/>
          <w:color w:val="auto"/>
          <w:sz w:val="32"/>
          <w:szCs w:val="32"/>
          <w:highlight w:val="none"/>
          <w:lang w:val="en-US" w:eastAsia="zh-CN"/>
        </w:rPr>
      </w:pPr>
      <w:r>
        <w:rPr>
          <w:rFonts w:hint="eastAsia" w:ascii="方正小标宋_GBK" w:hAnsi="方正小标宋_GBK" w:eastAsia="方正小标宋_GBK" w:cs="方正小标宋_GBK"/>
          <w:color w:val="auto"/>
          <w:sz w:val="44"/>
          <w:szCs w:val="44"/>
          <w:highlight w:val="none"/>
        </w:rPr>
        <w:t>北京市密云区生态保护202</w:t>
      </w:r>
      <w:r>
        <w:rPr>
          <w:rFonts w:hint="eastAsia" w:ascii="方正小标宋_GBK" w:hAnsi="方正小标宋_GBK" w:eastAsia="方正小标宋_GBK" w:cs="方正小标宋_GBK"/>
          <w:color w:val="auto"/>
          <w:sz w:val="44"/>
          <w:szCs w:val="44"/>
          <w:highlight w:val="none"/>
          <w:lang w:val="en-US" w:eastAsia="zh-CN"/>
        </w:rPr>
        <w:t>3</w:t>
      </w:r>
      <w:r>
        <w:rPr>
          <w:rFonts w:hint="eastAsia" w:ascii="方正小标宋_GBK" w:hAnsi="方正小标宋_GBK" w:eastAsia="方正小标宋_GBK" w:cs="方正小标宋_GBK"/>
          <w:color w:val="auto"/>
          <w:sz w:val="44"/>
          <w:szCs w:val="44"/>
          <w:highlight w:val="none"/>
        </w:rPr>
        <w:t>年行动计划</w:t>
      </w:r>
    </w:p>
    <w:tbl>
      <w:tblPr>
        <w:tblStyle w:val="14"/>
        <w:tblW w:w="153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9"/>
        <w:gridCol w:w="814"/>
        <w:gridCol w:w="5986"/>
        <w:gridCol w:w="1334"/>
        <w:gridCol w:w="2040"/>
        <w:gridCol w:w="2346"/>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blHeader/>
          <w:jc w:val="center"/>
        </w:trPr>
        <w:tc>
          <w:tcPr>
            <w:tcW w:w="549"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序号</w:t>
            </w:r>
          </w:p>
        </w:tc>
        <w:tc>
          <w:tcPr>
            <w:tcW w:w="814"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重点任务</w:t>
            </w:r>
          </w:p>
        </w:tc>
        <w:tc>
          <w:tcPr>
            <w:tcW w:w="5986"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工作措施</w:t>
            </w:r>
          </w:p>
        </w:tc>
        <w:tc>
          <w:tcPr>
            <w:tcW w:w="1334"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完成</w:t>
            </w:r>
          </w:p>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时限</w:t>
            </w:r>
          </w:p>
        </w:tc>
        <w:tc>
          <w:tcPr>
            <w:tcW w:w="2040"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牵头部门</w:t>
            </w:r>
          </w:p>
        </w:tc>
        <w:tc>
          <w:tcPr>
            <w:tcW w:w="2346"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主责单位</w:t>
            </w:r>
          </w:p>
        </w:tc>
        <w:tc>
          <w:tcPr>
            <w:tcW w:w="2327" w:type="dxa"/>
            <w:vAlign w:val="center"/>
          </w:tcPr>
          <w:p>
            <w:pPr>
              <w:adjustRightInd w:val="0"/>
              <w:snapToGrid w:val="0"/>
              <w:jc w:val="center"/>
              <w:rPr>
                <w:rFonts w:eastAsia="黑体"/>
                <w:color w:val="auto"/>
                <w:sz w:val="28"/>
                <w:szCs w:val="28"/>
                <w:highlight w:val="none"/>
              </w:rPr>
            </w:pPr>
            <w:r>
              <w:rPr>
                <w:rFonts w:hint="eastAsia" w:ascii="黑体" w:hAnsi="黑体" w:eastAsia="黑体"/>
                <w:color w:val="auto"/>
                <w:sz w:val="28"/>
                <w:szCs w:val="28"/>
                <w:highlight w:val="none"/>
              </w:rPr>
              <w:t>协办单位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15396" w:type="dxa"/>
            <w:gridSpan w:val="7"/>
            <w:vAlign w:val="center"/>
          </w:tcPr>
          <w:p>
            <w:pPr>
              <w:adjustRightInd w:val="0"/>
              <w:snapToGrid w:val="0"/>
              <w:jc w:val="center"/>
              <w:rPr>
                <w:rFonts w:eastAsia="黑体"/>
                <w:color w:val="auto"/>
                <w:sz w:val="28"/>
                <w:szCs w:val="28"/>
                <w:highlight w:val="none"/>
                <w:lang w:eastAsia="zh-CN"/>
              </w:rPr>
            </w:pPr>
            <w:r>
              <w:rPr>
                <w:rFonts w:hint="eastAsia" w:ascii="黑体" w:hAnsi="黑体" w:eastAsia="黑体"/>
                <w:color w:val="auto"/>
                <w:sz w:val="28"/>
                <w:szCs w:val="28"/>
                <w:highlight w:val="none"/>
                <w:lang w:eastAsia="zh-CN"/>
              </w:rPr>
              <w:t>一、生态环境质量状况目标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85"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w:t>
            </w:r>
          </w:p>
        </w:tc>
        <w:tc>
          <w:tcPr>
            <w:tcW w:w="814"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color w:val="auto"/>
                <w:sz w:val="28"/>
                <w:szCs w:val="28"/>
                <w:highlight w:val="none"/>
              </w:rPr>
            </w:pPr>
            <w:r>
              <w:rPr>
                <w:rFonts w:hint="eastAsia"/>
                <w:color w:val="auto"/>
                <w:sz w:val="28"/>
                <w:szCs w:val="28"/>
                <w:highlight w:val="none"/>
              </w:rPr>
              <w:t>目标任务</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生态环境质量指数（EI）力争稳</w:t>
            </w:r>
            <w:r>
              <w:rPr>
                <w:rFonts w:hint="eastAsia"/>
                <w:color w:val="auto"/>
                <w:sz w:val="28"/>
                <w:szCs w:val="28"/>
                <w:highlight w:val="none"/>
                <w:lang w:val="en-US" w:eastAsia="zh-CN"/>
              </w:rPr>
              <w:t>中</w:t>
            </w:r>
            <w:r>
              <w:rPr>
                <w:rFonts w:hint="eastAsia"/>
                <w:color w:val="auto"/>
                <w:sz w:val="28"/>
                <w:szCs w:val="28"/>
                <w:highlight w:val="none"/>
                <w:lang w:eastAsia="zh-CN"/>
              </w:rPr>
              <w:t>向好。</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lang w:eastAsia="zh-CN"/>
              </w:rPr>
            </w:pPr>
            <w:r>
              <w:rPr>
                <w:rFonts w:hint="eastAsia" w:hAnsi="Times New Roman" w:cs="Times New Roman"/>
                <w:color w:val="auto"/>
                <w:spacing w:val="-11"/>
                <w:kern w:val="2"/>
                <w:sz w:val="28"/>
                <w:szCs w:val="28"/>
                <w:highlight w:val="none"/>
                <w:lang w:eastAsia="zh-CN"/>
              </w:rPr>
              <w:t>区委生态文明委办公室</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区委生态文明委成员单位</w:t>
            </w:r>
          </w:p>
        </w:tc>
        <w:tc>
          <w:tcPr>
            <w:tcW w:w="2327" w:type="dxa"/>
            <w:vAlign w:val="center"/>
          </w:tcPr>
          <w:p>
            <w:pPr>
              <w:adjustRightInd w:val="0"/>
              <w:snapToGrid w:val="0"/>
              <w:jc w:val="center"/>
              <w:rPr>
                <w:color w:val="auto"/>
                <w:sz w:val="28"/>
                <w:szCs w:val="28"/>
                <w:highlight w:val="none"/>
                <w:lang w:eastAsia="zh-CN"/>
              </w:rPr>
            </w:pPr>
            <w:r>
              <w:rPr>
                <w:rFonts w:hint="eastAsia" w:hAnsi="Times New Roman" w:cs="Times New Roman"/>
                <w:color w:val="auto"/>
                <w:kern w:val="2"/>
                <w:sz w:val="28"/>
                <w:szCs w:val="28"/>
                <w:highlight w:val="none"/>
                <w:lang w:eastAsia="zh-CN"/>
              </w:rPr>
              <w:t>各镇街（地区）</w:t>
            </w:r>
            <w:r>
              <w:rPr>
                <w:rFonts w:hint="eastAsia" w:hAnsi="Times New Roman" w:cs="Times New Roman"/>
                <w:color w:val="auto"/>
                <w:kern w:val="2"/>
                <w:sz w:val="28"/>
                <w:szCs w:val="28"/>
                <w:highlight w:val="none"/>
                <w:lang w:eastAsia="zh-CN"/>
              </w:rPr>
              <w:br w:type="textWrapping"/>
            </w:r>
            <w:r>
              <w:rPr>
                <w:rFonts w:hint="eastAsia" w:hAnsi="Times New Roman" w:cs="Times New Roman"/>
                <w:color w:val="auto"/>
                <w:kern w:val="2"/>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15396" w:type="dxa"/>
            <w:gridSpan w:val="7"/>
            <w:vAlign w:val="center"/>
          </w:tcPr>
          <w:p>
            <w:pPr>
              <w:adjustRightInd w:val="0"/>
              <w:snapToGrid w:val="0"/>
              <w:jc w:val="center"/>
              <w:rPr>
                <w:rFonts w:ascii="黑体" w:hAnsi="黑体" w:eastAsia="黑体"/>
                <w:color w:val="auto"/>
                <w:sz w:val="28"/>
                <w:szCs w:val="28"/>
                <w:highlight w:val="none"/>
                <w:lang w:eastAsia="zh-CN"/>
              </w:rPr>
            </w:pPr>
            <w:r>
              <w:rPr>
                <w:rFonts w:hint="eastAsia" w:ascii="黑体" w:hAnsi="黑体" w:eastAsia="黑体"/>
                <w:color w:val="auto"/>
                <w:sz w:val="28"/>
                <w:szCs w:val="28"/>
                <w:highlight w:val="none"/>
                <w:lang w:eastAsia="zh-CN"/>
              </w:rPr>
              <w:t>二、强化生物多样性保护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19"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2</w:t>
            </w:r>
          </w:p>
        </w:tc>
        <w:tc>
          <w:tcPr>
            <w:tcW w:w="814" w:type="dxa"/>
            <w:vAlign w:val="center"/>
          </w:tcPr>
          <w:p>
            <w:pPr>
              <w:adjustRightInd w:val="0"/>
              <w:snapToGrid w:val="0"/>
              <w:spacing w:line="360" w:lineRule="exact"/>
              <w:rPr>
                <w:color w:val="auto"/>
                <w:sz w:val="28"/>
                <w:szCs w:val="28"/>
                <w:highlight w:val="none"/>
              </w:rPr>
            </w:pPr>
            <w:r>
              <w:rPr>
                <w:rFonts w:hint="eastAsia"/>
                <w:color w:val="auto"/>
                <w:sz w:val="28"/>
                <w:szCs w:val="28"/>
                <w:highlight w:val="none"/>
              </w:rPr>
              <w:t>建立工作机制</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按市级部门要求建立落实生物多样性保护规划的部门会商、进展报送、专家咨询和信息共享机制。</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rPr>
            </w:pPr>
            <w:r>
              <w:rPr>
                <w:rFonts w:hint="eastAsia" w:hAnsi="Times New Roman" w:cs="Times New Roman"/>
                <w:color w:val="auto"/>
                <w:kern w:val="2"/>
                <w:sz w:val="28"/>
                <w:szCs w:val="28"/>
                <w:highlight w:val="none"/>
              </w:rPr>
              <w:t>区生态环境局</w:t>
            </w:r>
          </w:p>
        </w:tc>
        <w:tc>
          <w:tcPr>
            <w:tcW w:w="2346" w:type="dxa"/>
            <w:vAlign w:val="center"/>
          </w:tcPr>
          <w:p>
            <w:pPr>
              <w:adjustRightInd w:val="0"/>
              <w:snapToGrid w:val="0"/>
              <w:jc w:val="center"/>
              <w:rPr>
                <w:color w:val="auto"/>
                <w:sz w:val="28"/>
                <w:szCs w:val="28"/>
                <w:highlight w:val="none"/>
                <w:lang w:eastAsia="zh-CN"/>
              </w:rPr>
            </w:pP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区规自分局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区水务局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tc>
        <w:tc>
          <w:tcPr>
            <w:tcW w:w="2327" w:type="dxa"/>
            <w:vAlign w:val="center"/>
          </w:tcPr>
          <w:p>
            <w:pPr>
              <w:spacing w:line="400" w:lineRule="exact"/>
              <w:jc w:val="center"/>
              <w:rPr>
                <w:color w:val="auto"/>
                <w:sz w:val="28"/>
                <w:szCs w:val="28"/>
                <w:highlight w:val="none"/>
                <w:lang w:eastAsia="zh-CN"/>
              </w:rPr>
            </w:pPr>
            <w:r>
              <w:rPr>
                <w:rFonts w:hint="eastAsia"/>
                <w:color w:val="auto"/>
                <w:sz w:val="28"/>
                <w:szCs w:val="28"/>
                <w:highlight w:val="none"/>
                <w:lang w:eastAsia="zh-CN"/>
              </w:rPr>
              <w:t>各镇街（地区）</w:t>
            </w:r>
            <w:r>
              <w:rPr>
                <w:rFonts w:hint="eastAsia"/>
                <w:color w:val="auto"/>
                <w:sz w:val="28"/>
                <w:szCs w:val="28"/>
                <w:highlight w:val="none"/>
                <w:lang w:eastAsia="zh-CN"/>
              </w:rPr>
              <w:br w:type="textWrapping"/>
            </w: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9" w:hRule="atLeast"/>
          <w:jc w:val="center"/>
        </w:trPr>
        <w:tc>
          <w:tcPr>
            <w:tcW w:w="549" w:type="dxa"/>
            <w:vMerge w:val="restart"/>
            <w:vAlign w:val="center"/>
          </w:tcPr>
          <w:p>
            <w:pPr>
              <w:adjustRightInd w:val="0"/>
              <w:snapToGrid w:val="0"/>
              <w:jc w:val="center"/>
              <w:rPr>
                <w:color w:val="auto"/>
                <w:sz w:val="28"/>
                <w:szCs w:val="28"/>
                <w:highlight w:val="none"/>
              </w:rPr>
            </w:pPr>
            <w:r>
              <w:rPr>
                <w:rFonts w:hint="eastAsia"/>
                <w:color w:val="auto"/>
                <w:sz w:val="28"/>
                <w:szCs w:val="28"/>
                <w:highlight w:val="none"/>
              </w:rPr>
              <w:t>3</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加大生物多样性保护力度</w:t>
            </w: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编制密云区生物多样性保护规划。</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snapToGrid w:val="0"/>
              <w:spacing w:line="320" w:lineRule="exact"/>
              <w:jc w:val="center"/>
              <w:rPr>
                <w:color w:val="auto"/>
                <w:sz w:val="28"/>
                <w:szCs w:val="28"/>
                <w:highlight w:val="none"/>
              </w:rPr>
            </w:pPr>
            <w:r>
              <w:rPr>
                <w:rFonts w:hint="eastAsia" w:ascii="仿宋_GB2312" w:hAnsi="宋体" w:eastAsia="仿宋_GB2312" w:cs="宋体"/>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构建生态廊道，连通物种栖息地。加快生态林断带织补，完成市级下达的工作任务。</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adjustRightInd w:val="0"/>
              <w:snapToGrid w:val="0"/>
              <w:spacing w:line="320" w:lineRule="exact"/>
              <w:jc w:val="center"/>
              <w:rPr>
                <w:color w:val="auto"/>
                <w:sz w:val="28"/>
                <w:szCs w:val="28"/>
                <w:highlight w:val="none"/>
                <w:lang w:eastAsia="zh-CN"/>
              </w:rPr>
            </w:pPr>
            <w:r>
              <w:rPr>
                <w:rFonts w:hint="eastAsia"/>
                <w:color w:val="auto"/>
                <w:sz w:val="28"/>
                <w:szCs w:val="28"/>
                <w:highlight w:val="none"/>
                <w:lang w:eastAsia="zh-CN"/>
              </w:rPr>
              <w:t>区规自分局</w:t>
            </w:r>
          </w:p>
          <w:p>
            <w:pPr>
              <w:adjustRightInd w:val="0"/>
              <w:snapToGrid w:val="0"/>
              <w:spacing w:line="320" w:lineRule="exact"/>
              <w:jc w:val="center"/>
              <w:rPr>
                <w:color w:val="auto"/>
                <w:sz w:val="28"/>
                <w:szCs w:val="28"/>
                <w:highlight w:val="none"/>
                <w:lang w:eastAsia="zh-CN"/>
              </w:rPr>
            </w:pPr>
            <w:r>
              <w:rPr>
                <w:rFonts w:hint="eastAsia"/>
                <w:color w:val="auto"/>
                <w:sz w:val="28"/>
                <w:szCs w:val="28"/>
                <w:highlight w:val="none"/>
                <w:lang w:eastAsia="zh-CN" w:bidi="ar"/>
              </w:rPr>
              <w:t>各镇街（地区）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结合实际，依法依规报废拆除河流中阻断连通性的塘坝等设施；确需保留的闸、坝，完善生物连通设施，构建水、陆生态廊道。严控新建塘坝等设施。</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区水务局</w:t>
            </w:r>
          </w:p>
        </w:tc>
        <w:tc>
          <w:tcPr>
            <w:tcW w:w="2346"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区水务局</w:t>
            </w:r>
          </w:p>
          <w:p>
            <w:pPr>
              <w:adjustRightInd w:val="0"/>
              <w:snapToGrid w:val="0"/>
              <w:spacing w:line="320" w:lineRule="exact"/>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按市级部门要求在有条件的地区改造硬质护岸，恢复河湖库自然岸线，提升河流横向连通性，保持现有自然岸线总体格局不变，确保自然岸线保有率不降低。</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区水务局</w:t>
            </w:r>
          </w:p>
        </w:tc>
        <w:tc>
          <w:tcPr>
            <w:tcW w:w="2346"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区水务局</w:t>
            </w:r>
          </w:p>
          <w:p>
            <w:pPr>
              <w:adjustRightInd w:val="0"/>
              <w:snapToGrid w:val="0"/>
              <w:spacing w:line="320" w:lineRule="exact"/>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区发改委</w:t>
            </w:r>
          </w:p>
          <w:p>
            <w:pPr>
              <w:adjustRightInd w:val="0"/>
              <w:snapToGrid w:val="0"/>
              <w:spacing w:line="320" w:lineRule="exact"/>
              <w:jc w:val="center"/>
              <w:rPr>
                <w:color w:val="auto"/>
                <w:sz w:val="28"/>
                <w:szCs w:val="28"/>
                <w:highlight w:val="none"/>
              </w:rPr>
            </w:pPr>
            <w:r>
              <w:rPr>
                <w:rFonts w:hint="eastAsia"/>
                <w:color w:val="auto"/>
                <w:sz w:val="28"/>
                <w:szCs w:val="28"/>
                <w:highlight w:val="none"/>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按市级部门要求统筹生态补水流量过程，结合实际，分时段、分河段、分流量开展阶段性生态补水，协同做好生物多样性保护。</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区水务局</w:t>
            </w:r>
          </w:p>
        </w:tc>
        <w:tc>
          <w:tcPr>
            <w:tcW w:w="2327"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lang w:bidi="ar"/>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按市级部门要求基于河流生态系统特征，加强信息沟通协调，科学开展增殖放流并做好记录。</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rPr>
              <w:t>区农业农村局</w:t>
            </w:r>
          </w:p>
          <w:p>
            <w:pPr>
              <w:adjustRightInd w:val="0"/>
              <w:snapToGrid w:val="0"/>
              <w:spacing w:line="320" w:lineRule="exact"/>
              <w:ind w:right="-110" w:rightChars="-50"/>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snapToGrid w:val="0"/>
              <w:spacing w:line="320" w:lineRule="exact"/>
              <w:jc w:val="center"/>
              <w:rPr>
                <w:color w:val="auto"/>
                <w:sz w:val="28"/>
                <w:szCs w:val="28"/>
                <w:highlight w:val="none"/>
              </w:rPr>
            </w:pPr>
            <w:r>
              <w:rPr>
                <w:rFonts w:hint="eastAsia"/>
                <w:color w:val="auto"/>
                <w:sz w:val="28"/>
                <w:szCs w:val="28"/>
                <w:highlight w:val="none"/>
              </w:rPr>
              <w:t>区水务局</w:t>
            </w:r>
          </w:p>
          <w:p>
            <w:pPr>
              <w:snapToGrid w:val="0"/>
              <w:spacing w:line="320" w:lineRule="exact"/>
              <w:jc w:val="center"/>
              <w:rPr>
                <w:color w:val="auto"/>
                <w:sz w:val="28"/>
                <w:szCs w:val="28"/>
                <w:highlight w:val="none"/>
              </w:rPr>
            </w:pPr>
            <w:r>
              <w:rPr>
                <w:rFonts w:hint="eastAsia"/>
                <w:color w:val="auto"/>
                <w:sz w:val="28"/>
                <w:szCs w:val="28"/>
                <w:highlight w:val="none"/>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0"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20" w:lineRule="exact"/>
              <w:rPr>
                <w:color w:val="auto"/>
                <w:sz w:val="28"/>
                <w:szCs w:val="28"/>
                <w:highlight w:val="none"/>
                <w:lang w:eastAsia="zh-CN"/>
              </w:rPr>
            </w:pPr>
            <w:r>
              <w:rPr>
                <w:rFonts w:hint="eastAsia"/>
                <w:color w:val="auto"/>
                <w:sz w:val="28"/>
                <w:szCs w:val="28"/>
                <w:highlight w:val="none"/>
                <w:lang w:eastAsia="zh-CN"/>
              </w:rPr>
              <w:t>按市级部门要求开展鸟类等野生动物联合保护行动，协同防控美国白蛾、松材线虫等有害生物。</w:t>
            </w:r>
          </w:p>
        </w:tc>
        <w:tc>
          <w:tcPr>
            <w:tcW w:w="1334" w:type="dxa"/>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spacing w:line="320" w:lineRule="exact"/>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snapToGrid w:val="0"/>
              <w:spacing w:line="320" w:lineRule="exact"/>
              <w:jc w:val="center"/>
              <w:rPr>
                <w:color w:val="auto"/>
                <w:sz w:val="28"/>
                <w:szCs w:val="28"/>
                <w:highlight w:val="none"/>
                <w:lang w:eastAsia="zh-CN"/>
              </w:rPr>
            </w:pPr>
            <w:r>
              <w:rPr>
                <w:rFonts w:hint="eastAsia"/>
                <w:color w:val="auto"/>
                <w:sz w:val="28"/>
                <w:szCs w:val="28"/>
                <w:highlight w:val="none"/>
                <w:lang w:eastAsia="zh-CN"/>
              </w:rPr>
              <w:t>区农业农村局</w:t>
            </w:r>
          </w:p>
          <w:p>
            <w:pPr>
              <w:snapToGrid w:val="0"/>
              <w:spacing w:line="320" w:lineRule="exact"/>
              <w:jc w:val="center"/>
              <w:rPr>
                <w:color w:val="auto"/>
                <w:sz w:val="28"/>
                <w:szCs w:val="28"/>
                <w:highlight w:val="none"/>
                <w:lang w:eastAsia="zh-CN"/>
              </w:rPr>
            </w:pPr>
            <w:r>
              <w:rPr>
                <w:rFonts w:hint="eastAsia"/>
                <w:color w:val="auto"/>
                <w:sz w:val="28"/>
                <w:szCs w:val="28"/>
                <w:highlight w:val="none"/>
                <w:lang w:eastAsia="zh-CN" w:bidi="ar"/>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5" w:hRule="atLeast"/>
          <w:jc w:val="center"/>
        </w:trPr>
        <w:tc>
          <w:tcPr>
            <w:tcW w:w="549" w:type="dxa"/>
            <w:vMerge w:val="restart"/>
            <w:vAlign w:val="center"/>
          </w:tcPr>
          <w:p>
            <w:pPr>
              <w:adjustRightInd w:val="0"/>
              <w:snapToGrid w:val="0"/>
              <w:jc w:val="center"/>
              <w:rPr>
                <w:color w:val="auto"/>
                <w:sz w:val="28"/>
                <w:szCs w:val="28"/>
                <w:highlight w:val="none"/>
              </w:rPr>
            </w:pPr>
            <w:r>
              <w:rPr>
                <w:rFonts w:hint="eastAsia"/>
                <w:color w:val="auto"/>
                <w:sz w:val="28"/>
                <w:szCs w:val="28"/>
                <w:highlight w:val="none"/>
              </w:rPr>
              <w:t>4</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强化外来入侵物种防控</w:t>
            </w:r>
          </w:p>
        </w:tc>
        <w:tc>
          <w:tcPr>
            <w:tcW w:w="5986" w:type="dxa"/>
            <w:vAlign w:val="center"/>
          </w:tcPr>
          <w:p>
            <w:pPr>
              <w:adjustRightInd w:val="0"/>
              <w:snapToGrid w:val="0"/>
              <w:spacing w:line="360" w:lineRule="exact"/>
              <w:rPr>
                <w:color w:val="auto"/>
                <w:sz w:val="28"/>
                <w:szCs w:val="28"/>
                <w:highlight w:val="none"/>
              </w:rPr>
            </w:pPr>
            <w:r>
              <w:rPr>
                <w:rFonts w:hint="eastAsia"/>
                <w:color w:val="auto"/>
                <w:sz w:val="28"/>
                <w:szCs w:val="28"/>
                <w:highlight w:val="none"/>
                <w:lang w:eastAsia="zh-CN"/>
              </w:rPr>
              <w:t>按市级部门要求完成年度外来入侵物种普查任务，进一步掌握外来入侵物种数量、分布范围、危害程度等情况。制定重点外来入侵物种管控策略。</w:t>
            </w:r>
            <w:r>
              <w:rPr>
                <w:rFonts w:hint="eastAsia"/>
                <w:color w:val="auto"/>
                <w:sz w:val="28"/>
                <w:szCs w:val="28"/>
                <w:highlight w:val="none"/>
              </w:rPr>
              <w:t>完成年度防控总结。</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snapToGrid w:val="0"/>
              <w:rPr>
                <w:color w:val="auto"/>
                <w:sz w:val="28"/>
                <w:szCs w:val="28"/>
                <w:highlight w:val="none"/>
                <w:lang w:eastAsia="zh-CN"/>
              </w:rPr>
            </w:pPr>
            <w:r>
              <w:rPr>
                <w:rFonts w:hint="eastAsia"/>
                <w:color w:val="auto"/>
                <w:sz w:val="28"/>
                <w:szCs w:val="28"/>
                <w:highlight w:val="none"/>
                <w:lang w:eastAsia="zh-CN"/>
              </w:rPr>
              <w:t xml:space="preserve">   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依法严格外来物种引入审批，强化引入后使用管控。</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按市级部门要求强化农田、渔业水域等领域等重点区域外来入侵物种治理。重点做好苹果蠹蛾、草地贪夜蛾、福寿螺等外来入侵物种的监测与综合治理。</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区农业农村局</w:t>
            </w: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snapToGrid w:val="0"/>
              <w:jc w:val="center"/>
              <w:rPr>
                <w:color w:val="auto"/>
                <w:sz w:val="28"/>
                <w:szCs w:val="28"/>
                <w:highlight w:val="none"/>
                <w:lang w:eastAsia="zh-CN"/>
              </w:rPr>
            </w:pPr>
            <w:r>
              <w:rPr>
                <w:rFonts w:hint="eastAsia"/>
                <w:color w:val="auto"/>
                <w:sz w:val="28"/>
                <w:szCs w:val="28"/>
                <w:highlight w:val="none"/>
                <w:lang w:eastAsia="zh-CN"/>
              </w:rPr>
              <w:t>区园林绿化局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35"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color w:val="auto"/>
                <w:sz w:val="28"/>
                <w:szCs w:val="28"/>
                <w:highlight w:val="none"/>
              </w:rPr>
            </w:pPr>
            <w:r>
              <w:rPr>
                <w:rFonts w:hint="eastAsia"/>
                <w:color w:val="auto"/>
                <w:sz w:val="28"/>
                <w:szCs w:val="28"/>
                <w:highlight w:val="none"/>
                <w:lang w:eastAsia="zh-CN"/>
              </w:rPr>
              <w:t>按市级部门要求强化森林、草地、湿地、河流、水库等重点区域外来入侵物种治理。重点做好松材线虫、美国白蛾、牛蛙等外来入侵物种的监测与综合治理。</w:t>
            </w:r>
            <w:r>
              <w:rPr>
                <w:rFonts w:hint="eastAsia"/>
                <w:color w:val="auto"/>
                <w:sz w:val="28"/>
                <w:szCs w:val="28"/>
                <w:highlight w:val="none"/>
              </w:rPr>
              <w:t>完成年度监测治理报告。</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区水务局</w:t>
            </w:r>
          </w:p>
          <w:p>
            <w:pPr>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snapToGrid w:val="0"/>
              <w:rPr>
                <w:color w:val="auto"/>
                <w:sz w:val="28"/>
                <w:szCs w:val="28"/>
                <w:highlight w:val="none"/>
              </w:rPr>
            </w:pPr>
            <w:r>
              <w:rPr>
                <w:rFonts w:hint="eastAsia"/>
                <w:color w:val="auto"/>
                <w:sz w:val="28"/>
                <w:szCs w:val="28"/>
                <w:highlight w:val="none"/>
                <w:lang w:eastAsia="zh-CN"/>
              </w:rPr>
              <w:t xml:space="preserve">   </w:t>
            </w:r>
            <w:r>
              <w:rPr>
                <w:rFonts w:hint="eastAsia"/>
                <w:color w:val="auto"/>
                <w:sz w:val="28"/>
                <w:szCs w:val="28"/>
                <w:highlight w:val="none"/>
              </w:rPr>
              <w:t>区规自分局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87"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5</w:t>
            </w:r>
          </w:p>
        </w:tc>
        <w:tc>
          <w:tcPr>
            <w:tcW w:w="814"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保护重点生物遗传资源</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配合市级</w:t>
            </w:r>
            <w:r>
              <w:rPr>
                <w:rFonts w:hint="eastAsia"/>
                <w:color w:val="auto"/>
                <w:sz w:val="28"/>
                <w:szCs w:val="28"/>
                <w:highlight w:val="none"/>
                <w:lang w:val="en-US" w:eastAsia="zh-CN"/>
              </w:rPr>
              <w:t>部门</w:t>
            </w:r>
            <w:r>
              <w:rPr>
                <w:rFonts w:hint="eastAsia"/>
                <w:color w:val="auto"/>
                <w:sz w:val="28"/>
                <w:szCs w:val="28"/>
                <w:highlight w:val="none"/>
                <w:lang w:eastAsia="zh-CN"/>
              </w:rPr>
              <w:t>建设市级种质资源保护单位、市级林木良种基地、采种基地；新建或扩建林草种质资源异地保存库、菌种资源库，完成市级下达的工作任务。完成种质资源保护年度报告。全面完成全国第三次畜禽遗传资源和全国第一次水产养殖种质资源普查年度任务，编写完成畜禽遗传资源保护状况报告，以及水产养殖种质资源状况报告。</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ind w:right="-110" w:rightChars="-5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tc>
        <w:tc>
          <w:tcPr>
            <w:tcW w:w="2327" w:type="dxa"/>
            <w:vAlign w:val="center"/>
          </w:tcPr>
          <w:p>
            <w:pPr>
              <w:adjustRightInd w:val="0"/>
              <w:snapToGrid w:val="0"/>
              <w:jc w:val="center"/>
              <w:rPr>
                <w:color w:val="auto"/>
                <w:sz w:val="28"/>
                <w:szCs w:val="28"/>
                <w:highlight w:val="none"/>
              </w:rPr>
            </w:pPr>
            <w:r>
              <w:rPr>
                <w:rFonts w:hint="eastAsia"/>
                <w:color w:val="auto"/>
                <w:sz w:val="28"/>
                <w:szCs w:val="28"/>
                <w:highlight w:val="none"/>
                <w:lang w:bidi="ar"/>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549" w:type="dxa"/>
            <w:vMerge w:val="restart"/>
            <w:vAlign w:val="center"/>
          </w:tcPr>
          <w:p>
            <w:pPr>
              <w:widowControl/>
              <w:jc w:val="center"/>
              <w:rPr>
                <w:color w:val="auto"/>
                <w:sz w:val="28"/>
                <w:szCs w:val="28"/>
                <w:highlight w:val="none"/>
              </w:rPr>
            </w:pPr>
            <w:r>
              <w:rPr>
                <w:rFonts w:hint="eastAsia"/>
                <w:color w:val="auto"/>
                <w:sz w:val="28"/>
                <w:szCs w:val="28"/>
                <w:highlight w:val="none"/>
              </w:rPr>
              <w:t>6</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加强监测评估和执法检查</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开展生物多样性本底调查，进行鸟类、鱼类、大型真菌等生物多样性调查。</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both"/>
              <w:rPr>
                <w:color w:val="auto"/>
                <w:sz w:val="28"/>
                <w:szCs w:val="28"/>
                <w:highlight w:val="none"/>
              </w:rPr>
            </w:pPr>
            <w:r>
              <w:rPr>
                <w:rFonts w:hint="eastAsia"/>
                <w:color w:val="auto"/>
                <w:sz w:val="28"/>
                <w:szCs w:val="28"/>
                <w:highlight w:val="none"/>
                <w:lang w:bidi="ar"/>
              </w:rPr>
              <w:t>区生态环境局</w:t>
            </w:r>
          </w:p>
        </w:tc>
        <w:tc>
          <w:tcPr>
            <w:tcW w:w="2346" w:type="dxa"/>
            <w:vAlign w:val="center"/>
          </w:tcPr>
          <w:p>
            <w:pPr>
              <w:adjustRightInd w:val="0"/>
              <w:snapToGrid w:val="0"/>
              <w:jc w:val="center"/>
              <w:rPr>
                <w:rStyle w:val="17"/>
                <w:rFonts w:hint="default" w:ascii="仿宋_GB2312" w:hAnsi="仿宋_GB2312" w:eastAsia="仿宋_GB2312" w:cs="仿宋_GB2312"/>
                <w:color w:val="auto"/>
                <w:sz w:val="28"/>
                <w:szCs w:val="28"/>
                <w:highlight w:val="none"/>
                <w:lang w:eastAsia="zh-CN" w:bidi="ar"/>
              </w:rPr>
            </w:pPr>
            <w:r>
              <w:rPr>
                <w:rStyle w:val="17"/>
                <w:rFonts w:hint="default" w:ascii="仿宋_GB2312" w:hAnsi="仿宋_GB2312" w:eastAsia="仿宋_GB2312" w:cs="仿宋_GB2312"/>
                <w:color w:val="auto"/>
                <w:sz w:val="28"/>
                <w:szCs w:val="28"/>
                <w:highlight w:val="none"/>
                <w:lang w:eastAsia="zh-CN" w:bidi="ar"/>
              </w:rPr>
              <w:t>区生态环境局</w:t>
            </w:r>
          </w:p>
          <w:p>
            <w:pPr>
              <w:adjustRightInd w:val="0"/>
              <w:snapToGrid w:val="0"/>
              <w:jc w:val="center"/>
              <w:rPr>
                <w:color w:val="auto"/>
                <w:sz w:val="28"/>
                <w:szCs w:val="28"/>
                <w:highlight w:val="none"/>
                <w:lang w:eastAsia="zh-CN"/>
              </w:rPr>
            </w:pPr>
            <w:r>
              <w:rPr>
                <w:rStyle w:val="17"/>
                <w:rFonts w:hint="default" w:ascii="仿宋_GB2312" w:hAnsi="仿宋_GB2312" w:eastAsia="仿宋_GB2312" w:cs="仿宋_GB2312"/>
                <w:color w:val="auto"/>
                <w:sz w:val="28"/>
                <w:szCs w:val="28"/>
                <w:highlight w:val="none"/>
                <w:lang w:eastAsia="zh-CN" w:bidi="ar"/>
              </w:rPr>
              <w:t>区园林绿化局</w:t>
            </w:r>
            <w:r>
              <w:rPr>
                <w:rStyle w:val="17"/>
                <w:rFonts w:hint="default" w:ascii="仿宋_GB2312" w:hAnsi="仿宋_GB2312" w:eastAsia="仿宋_GB2312" w:cs="仿宋_GB2312"/>
                <w:color w:val="auto"/>
                <w:sz w:val="28"/>
                <w:szCs w:val="28"/>
                <w:highlight w:val="none"/>
                <w:lang w:eastAsia="zh-CN" w:bidi="ar"/>
              </w:rPr>
              <w:br w:type="textWrapping"/>
            </w:r>
            <w:r>
              <w:rPr>
                <w:rStyle w:val="17"/>
                <w:rFonts w:hint="default" w:ascii="仿宋_GB2312" w:hAnsi="仿宋_GB2312" w:eastAsia="仿宋_GB2312" w:cs="仿宋_GB2312"/>
                <w:color w:val="auto"/>
                <w:sz w:val="28"/>
                <w:szCs w:val="28"/>
                <w:highlight w:val="none"/>
                <w:lang w:eastAsia="zh-CN" w:bidi="ar"/>
              </w:rPr>
              <w:t>区农业农村局</w:t>
            </w:r>
            <w:r>
              <w:rPr>
                <w:rStyle w:val="17"/>
                <w:rFonts w:hint="default" w:ascii="仿宋_GB2312" w:hAnsi="仿宋_GB2312" w:eastAsia="仿宋_GB2312" w:cs="仿宋_GB2312"/>
                <w:color w:val="auto"/>
                <w:sz w:val="28"/>
                <w:szCs w:val="28"/>
                <w:highlight w:val="none"/>
                <w:lang w:eastAsia="zh-CN" w:bidi="ar"/>
              </w:rPr>
              <w:br w:type="textWrapping"/>
            </w:r>
            <w:r>
              <w:rPr>
                <w:rStyle w:val="17"/>
                <w:rFonts w:hint="default" w:ascii="仿宋_GB2312" w:hAnsi="仿宋_GB2312" w:eastAsia="仿宋_GB2312" w:cs="仿宋_GB2312"/>
                <w:color w:val="auto"/>
                <w:sz w:val="28"/>
                <w:szCs w:val="28"/>
                <w:highlight w:val="none"/>
                <w:lang w:eastAsia="zh-CN" w:bidi="ar"/>
              </w:rPr>
              <w:t>区农业服务中心</w:t>
            </w:r>
          </w:p>
        </w:tc>
        <w:tc>
          <w:tcPr>
            <w:tcW w:w="2327" w:type="dxa"/>
            <w:vAlign w:val="center"/>
          </w:tcPr>
          <w:p>
            <w:pPr>
              <w:adjustRightInd w:val="0"/>
              <w:snapToGrid w:val="0"/>
              <w:jc w:val="center"/>
              <w:rPr>
                <w:rFonts w:ascii="宋体" w:hAnsi="宋体"/>
                <w:color w:val="auto"/>
                <w:sz w:val="28"/>
                <w:szCs w:val="28"/>
                <w:highlight w:val="none"/>
                <w:lang w:eastAsia="zh-CN"/>
              </w:rPr>
            </w:pPr>
            <w:r>
              <w:rPr>
                <w:rFonts w:hint="eastAsia"/>
                <w:color w:val="auto"/>
                <w:sz w:val="28"/>
                <w:szCs w:val="28"/>
                <w:highlight w:val="none"/>
                <w:lang w:eastAsia="zh-CN" w:bidi="ar"/>
              </w:rPr>
              <w:t>区水务局</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密云水库综合</w:t>
            </w:r>
            <w:r>
              <w:rPr>
                <w:rFonts w:hint="eastAsia"/>
                <w:color w:val="auto"/>
                <w:sz w:val="28"/>
                <w:szCs w:val="28"/>
                <w:highlight w:val="none"/>
                <w:lang w:eastAsia="zh-CN" w:bidi="ar"/>
              </w:rPr>
              <w:br w:type="textWrapping"/>
            </w:r>
            <w:r>
              <w:rPr>
                <w:rFonts w:hint="eastAsia"/>
                <w:color w:val="auto"/>
                <w:sz w:val="28"/>
                <w:szCs w:val="28"/>
                <w:highlight w:val="none"/>
                <w:lang w:eastAsia="zh-CN" w:bidi="ar"/>
              </w:rPr>
              <w:t>执法大队</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各镇街（地区）</w:t>
            </w:r>
            <w:r>
              <w:rPr>
                <w:rFonts w:hint="eastAsia"/>
                <w:color w:val="auto"/>
                <w:sz w:val="28"/>
                <w:szCs w:val="28"/>
                <w:highlight w:val="none"/>
                <w:lang w:eastAsia="zh-CN" w:bidi="ar"/>
              </w:rPr>
              <w:br w:type="textWrapping"/>
            </w:r>
            <w:r>
              <w:rPr>
                <w:rFonts w:hint="eastAsia"/>
                <w:color w:val="auto"/>
                <w:sz w:val="28"/>
                <w:szCs w:val="28"/>
                <w:highlight w:val="none"/>
                <w:lang w:eastAsia="zh-CN" w:bidi="ar"/>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widowControl/>
              <w:spacing w:line="400" w:lineRule="exact"/>
              <w:rPr>
                <w:color w:val="auto"/>
                <w:sz w:val="28"/>
                <w:szCs w:val="28"/>
                <w:highlight w:val="none"/>
                <w:lang w:eastAsia="zh-CN"/>
              </w:rPr>
            </w:pPr>
            <w:r>
              <w:rPr>
                <w:rFonts w:hint="eastAsia"/>
                <w:color w:val="auto"/>
                <w:sz w:val="28"/>
                <w:szCs w:val="28"/>
                <w:highlight w:val="none"/>
                <w:lang w:eastAsia="zh-CN"/>
              </w:rPr>
              <w:t>依法查处破坏陆生野生动植物资源及栖息地、侵占和破坏林木种质资源等违法行为。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jc w:val="center"/>
              <w:rPr>
                <w:color w:val="auto"/>
                <w:sz w:val="28"/>
                <w:szCs w:val="28"/>
                <w:highlight w:val="none"/>
              </w:rPr>
            </w:pPr>
            <w:r>
              <w:rPr>
                <w:rFonts w:hint="eastAsia"/>
                <w:color w:val="auto"/>
                <w:sz w:val="28"/>
                <w:szCs w:val="28"/>
                <w:highlight w:val="none"/>
              </w:rPr>
              <w:t>区园林绿化局</w:t>
            </w:r>
          </w:p>
        </w:tc>
        <w:tc>
          <w:tcPr>
            <w:tcW w:w="2327" w:type="dxa"/>
            <w:vAlign w:val="center"/>
          </w:tcPr>
          <w:p>
            <w:pPr>
              <w:widowControl/>
              <w:spacing w:line="340" w:lineRule="exact"/>
              <w:jc w:val="center"/>
              <w:textAlignment w:val="center"/>
              <w:rPr>
                <w:color w:val="auto"/>
                <w:sz w:val="28"/>
                <w:szCs w:val="28"/>
                <w:highlight w:val="none"/>
                <w:lang w:eastAsia="zh-CN" w:bidi="ar"/>
              </w:rPr>
            </w:pPr>
            <w:r>
              <w:rPr>
                <w:rFonts w:hint="eastAsia"/>
                <w:color w:val="auto"/>
                <w:sz w:val="28"/>
                <w:szCs w:val="28"/>
                <w:highlight w:val="none"/>
                <w:lang w:eastAsia="zh-CN" w:bidi="ar"/>
              </w:rPr>
              <w:t>密云水库综合</w:t>
            </w:r>
          </w:p>
          <w:p>
            <w:pPr>
              <w:widowControl/>
              <w:spacing w:line="340" w:lineRule="exact"/>
              <w:jc w:val="center"/>
              <w:textAlignment w:val="center"/>
              <w:rPr>
                <w:color w:val="auto"/>
                <w:sz w:val="28"/>
                <w:szCs w:val="28"/>
                <w:highlight w:val="none"/>
                <w:lang w:eastAsia="zh-CN" w:bidi="ar"/>
              </w:rPr>
            </w:pPr>
            <w:r>
              <w:rPr>
                <w:rFonts w:hint="eastAsia"/>
                <w:color w:val="auto"/>
                <w:sz w:val="28"/>
                <w:szCs w:val="28"/>
                <w:highlight w:val="none"/>
                <w:lang w:eastAsia="zh-CN" w:bidi="ar"/>
              </w:rPr>
              <w:t>执法大队</w:t>
            </w:r>
          </w:p>
          <w:p>
            <w:pPr>
              <w:widowControl/>
              <w:spacing w:line="340" w:lineRule="exact"/>
              <w:jc w:val="center"/>
              <w:textAlignment w:val="center"/>
              <w:rPr>
                <w:color w:val="auto"/>
                <w:sz w:val="28"/>
                <w:szCs w:val="28"/>
                <w:highlight w:val="none"/>
                <w:lang w:eastAsia="zh-CN" w:bidi="ar"/>
              </w:rPr>
            </w:pPr>
            <w:r>
              <w:rPr>
                <w:rFonts w:hint="eastAsia"/>
                <w:color w:val="auto"/>
                <w:sz w:val="28"/>
                <w:szCs w:val="28"/>
                <w:highlight w:val="none"/>
                <w:lang w:eastAsia="zh-CN" w:bidi="ar"/>
              </w:rPr>
              <w:t>区公安分局</w:t>
            </w:r>
          </w:p>
          <w:p>
            <w:pPr>
              <w:snapToGrid w:val="0"/>
              <w:jc w:val="center"/>
              <w:rPr>
                <w:color w:val="auto"/>
                <w:sz w:val="28"/>
                <w:szCs w:val="28"/>
                <w:highlight w:val="none"/>
                <w:lang w:bidi="ar"/>
              </w:rPr>
            </w:pPr>
            <w:r>
              <w:rPr>
                <w:rFonts w:hint="eastAsia"/>
                <w:color w:val="auto"/>
                <w:sz w:val="28"/>
                <w:szCs w:val="28"/>
                <w:highlight w:val="none"/>
              </w:rPr>
              <w:t>区市场监管局</w:t>
            </w:r>
          </w:p>
          <w:p>
            <w:pPr>
              <w:snapToGrid w:val="0"/>
              <w:jc w:val="center"/>
              <w:rPr>
                <w:color w:val="auto"/>
                <w:sz w:val="28"/>
                <w:szCs w:val="28"/>
                <w:highlight w:val="none"/>
              </w:rPr>
            </w:pPr>
            <w:r>
              <w:rPr>
                <w:rFonts w:hint="eastAsia"/>
                <w:color w:val="auto"/>
                <w:sz w:val="28"/>
                <w:szCs w:val="28"/>
                <w:highlight w:val="none"/>
                <w:lang w:bidi="ar"/>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依法查处违反破坏水生野生动植物资源及栖息地、侵占和破坏农作物种质资源以及擅自引进、释放、丢弃外来物种等违法行为。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rPr>
            </w:pPr>
            <w:r>
              <w:rPr>
                <w:rFonts w:hint="eastAsia"/>
                <w:color w:val="auto"/>
                <w:sz w:val="28"/>
                <w:szCs w:val="28"/>
                <w:highlight w:val="none"/>
              </w:rPr>
              <w:t>区农业农村局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Style w:val="17"/>
                <w:rFonts w:hint="default" w:ascii="仿宋_GB2312" w:hAnsi="仿宋_GB2312" w:eastAsia="仿宋_GB2312" w:cs="仿宋_GB2312"/>
                <w:color w:val="auto"/>
                <w:sz w:val="28"/>
                <w:szCs w:val="28"/>
                <w:highlight w:val="none"/>
                <w:lang w:eastAsia="zh-CN" w:bidi="ar"/>
              </w:rPr>
              <w:t>区农业服务中心</w:t>
            </w:r>
          </w:p>
        </w:tc>
        <w:tc>
          <w:tcPr>
            <w:tcW w:w="2327" w:type="dxa"/>
            <w:vAlign w:val="center"/>
          </w:tcPr>
          <w:p>
            <w:pPr>
              <w:snapToGrid w:val="0"/>
              <w:jc w:val="center"/>
              <w:rPr>
                <w:color w:val="auto"/>
                <w:sz w:val="28"/>
                <w:szCs w:val="28"/>
                <w:highlight w:val="none"/>
                <w:lang w:eastAsia="zh-CN" w:bidi="ar"/>
              </w:rPr>
            </w:pPr>
            <w:r>
              <w:rPr>
                <w:rFonts w:hint="eastAsia"/>
                <w:color w:val="auto"/>
                <w:sz w:val="28"/>
                <w:szCs w:val="28"/>
                <w:highlight w:val="none"/>
                <w:lang w:eastAsia="zh-CN" w:bidi="ar"/>
              </w:rPr>
              <w:t>区水务局</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密云水库综合</w:t>
            </w:r>
            <w:r>
              <w:rPr>
                <w:rFonts w:hint="eastAsia"/>
                <w:color w:val="auto"/>
                <w:sz w:val="28"/>
                <w:szCs w:val="28"/>
                <w:highlight w:val="none"/>
                <w:lang w:eastAsia="zh-CN" w:bidi="ar"/>
              </w:rPr>
              <w:br w:type="textWrapping"/>
            </w:r>
            <w:r>
              <w:rPr>
                <w:rFonts w:hint="eastAsia"/>
                <w:color w:val="auto"/>
                <w:sz w:val="28"/>
                <w:szCs w:val="28"/>
                <w:highlight w:val="none"/>
                <w:lang w:eastAsia="zh-CN" w:bidi="ar"/>
              </w:rPr>
              <w:t>执法大队</w:t>
            </w:r>
            <w:r>
              <w:rPr>
                <w:rFonts w:hint="eastAsia"/>
                <w:color w:val="auto"/>
                <w:sz w:val="28"/>
                <w:szCs w:val="28"/>
                <w:highlight w:val="none"/>
                <w:lang w:eastAsia="zh-CN" w:bidi="ar"/>
              </w:rPr>
              <w:br w:type="textWrapping"/>
            </w:r>
            <w:r>
              <w:rPr>
                <w:rFonts w:hint="eastAsia"/>
                <w:color w:val="auto"/>
                <w:sz w:val="28"/>
                <w:szCs w:val="28"/>
                <w:highlight w:val="none"/>
                <w:lang w:eastAsia="zh-CN" w:bidi="ar"/>
              </w:rPr>
              <w:t>区公安分局</w:t>
            </w:r>
            <w:r>
              <w:rPr>
                <w:rFonts w:hint="eastAsia"/>
                <w:color w:val="auto"/>
                <w:sz w:val="28"/>
                <w:szCs w:val="28"/>
                <w:highlight w:val="none"/>
                <w:lang w:eastAsia="zh-CN" w:bidi="ar"/>
              </w:rPr>
              <w:br w:type="textWrapping"/>
            </w:r>
            <w:r>
              <w:rPr>
                <w:rFonts w:hint="eastAsia"/>
                <w:color w:val="auto"/>
                <w:sz w:val="28"/>
                <w:szCs w:val="28"/>
                <w:highlight w:val="none"/>
                <w:lang w:eastAsia="zh-CN"/>
              </w:rPr>
              <w:t>区市场监管局</w:t>
            </w:r>
          </w:p>
          <w:p>
            <w:pPr>
              <w:snapToGrid w:val="0"/>
              <w:jc w:val="center"/>
              <w:rPr>
                <w:color w:val="auto"/>
                <w:sz w:val="28"/>
                <w:szCs w:val="28"/>
                <w:highlight w:val="none"/>
              </w:rPr>
            </w:pPr>
            <w:r>
              <w:rPr>
                <w:rFonts w:hint="eastAsia"/>
                <w:color w:val="auto"/>
                <w:sz w:val="28"/>
                <w:szCs w:val="28"/>
                <w:highlight w:val="none"/>
                <w:lang w:bidi="ar"/>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8"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依法查处出售、收购、运输、携带国家或者地方重点保护野生动物或者其产品等违法行为。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jc w:val="center"/>
              <w:rPr>
                <w:color w:val="auto"/>
                <w:sz w:val="28"/>
                <w:szCs w:val="28"/>
                <w:highlight w:val="none"/>
              </w:rPr>
            </w:pPr>
            <w:r>
              <w:rPr>
                <w:rFonts w:hint="eastAsia"/>
                <w:color w:val="auto"/>
                <w:sz w:val="28"/>
                <w:szCs w:val="28"/>
                <w:highlight w:val="none"/>
              </w:rPr>
              <w:t>区市场监管局</w:t>
            </w:r>
          </w:p>
        </w:tc>
        <w:tc>
          <w:tcPr>
            <w:tcW w:w="2346"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区市场监管局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tc>
        <w:tc>
          <w:tcPr>
            <w:tcW w:w="2327" w:type="dxa"/>
            <w:vAlign w:val="center"/>
          </w:tcPr>
          <w:p>
            <w:pPr>
              <w:snapToGrid w:val="0"/>
              <w:jc w:val="center"/>
              <w:rPr>
                <w:color w:val="auto"/>
                <w:spacing w:val="-26"/>
                <w:sz w:val="28"/>
                <w:szCs w:val="28"/>
                <w:highlight w:val="none"/>
              </w:rPr>
            </w:pPr>
            <w:r>
              <w:rPr>
                <w:rFonts w:hint="eastAsia"/>
                <w:color w:val="auto"/>
                <w:sz w:val="28"/>
                <w:szCs w:val="28"/>
                <w:highlight w:val="none"/>
                <w:lang w:bidi="ar"/>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7" w:hRule="atLeast"/>
          <w:jc w:val="center"/>
        </w:trPr>
        <w:tc>
          <w:tcPr>
            <w:tcW w:w="15396" w:type="dxa"/>
            <w:gridSpan w:val="7"/>
            <w:vAlign w:val="center"/>
          </w:tcPr>
          <w:p>
            <w:pPr>
              <w:adjustRightInd w:val="0"/>
              <w:snapToGrid w:val="0"/>
              <w:jc w:val="center"/>
              <w:rPr>
                <w:rFonts w:ascii="黑体" w:hAnsi="黑体" w:eastAsia="黑体"/>
                <w:color w:val="auto"/>
                <w:spacing w:val="-26"/>
                <w:sz w:val="28"/>
                <w:szCs w:val="28"/>
                <w:highlight w:val="none"/>
                <w:lang w:eastAsia="zh-CN"/>
              </w:rPr>
            </w:pPr>
            <w:r>
              <w:rPr>
                <w:rFonts w:hint="eastAsia" w:ascii="黑体" w:hAnsi="黑体" w:eastAsia="黑体"/>
                <w:color w:val="auto"/>
                <w:sz w:val="28"/>
                <w:szCs w:val="28"/>
                <w:highlight w:val="none"/>
                <w:lang w:eastAsia="zh-CN"/>
              </w:rPr>
              <w:t>三、维护生态空间格局稳定性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549"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7</w:t>
            </w:r>
          </w:p>
        </w:tc>
        <w:tc>
          <w:tcPr>
            <w:tcW w:w="814"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深化生态保护红线划定成果应用</w:t>
            </w: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根据“三区三线”中生态保护红线划定成果，组织完成分区规划涉及生态保护红线相关内容的修改，完成市级下达工作任务。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rPr>
              <w:t>区规自分局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rPr>
              <w:t>区规自分局</w:t>
            </w:r>
          </w:p>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lang w:bidi="ar"/>
              </w:rPr>
              <w:t>相关镇</w:t>
            </w:r>
          </w:p>
        </w:tc>
        <w:tc>
          <w:tcPr>
            <w:tcW w:w="2327" w:type="dxa"/>
            <w:vAlign w:val="center"/>
          </w:tcPr>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kinsoku/>
              <w:wordWrap/>
              <w:overflowPunct/>
              <w:topLinePunct w:val="0"/>
              <w:autoSpaceDE w:val="0"/>
              <w:autoSpaceDN w:val="0"/>
              <w:bidi w:val="0"/>
              <w:snapToGrid w:val="0"/>
              <w:spacing w:line="340" w:lineRule="exact"/>
              <w:ind w:firstLine="280" w:firstLineChars="100"/>
              <w:textAlignment w:val="auto"/>
              <w:outlineLvl w:val="9"/>
              <w:rPr>
                <w:color w:val="auto"/>
                <w:sz w:val="28"/>
                <w:szCs w:val="28"/>
                <w:highlight w:val="none"/>
                <w:lang w:eastAsia="zh-CN"/>
              </w:rPr>
            </w:pPr>
            <w:r>
              <w:rPr>
                <w:rFonts w:hint="eastAsia"/>
                <w:color w:val="auto"/>
                <w:sz w:val="28"/>
                <w:szCs w:val="28"/>
                <w:highlight w:val="none"/>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8" w:hRule="atLeast"/>
          <w:jc w:val="center"/>
        </w:trPr>
        <w:tc>
          <w:tcPr>
            <w:tcW w:w="549"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814"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rFonts w:ascii="宋体" w:hAnsi="宋体"/>
                <w:color w:val="auto"/>
                <w:sz w:val="28"/>
                <w:szCs w:val="28"/>
                <w:highlight w:val="none"/>
                <w:lang w:eastAsia="zh-CN"/>
              </w:rPr>
            </w:pPr>
            <w:r>
              <w:rPr>
                <w:rFonts w:hint="eastAsia"/>
                <w:color w:val="auto"/>
                <w:sz w:val="28"/>
                <w:szCs w:val="28"/>
                <w:highlight w:val="none"/>
                <w:lang w:eastAsia="zh-CN"/>
              </w:rPr>
              <w:t>严格实施国土空间用途管制，严控新增建设用地。落实属地职责，加强辖区重要生态空间人为活动管控。</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rPr>
            </w:pPr>
            <w:r>
              <w:rPr>
                <w:rFonts w:hint="eastAsia"/>
                <w:color w:val="auto"/>
                <w:sz w:val="28"/>
                <w:szCs w:val="28"/>
                <w:highlight w:val="none"/>
              </w:rPr>
              <w:t>区规自分局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lang w:eastAsia="zh-CN"/>
              </w:rPr>
            </w:pPr>
            <w:r>
              <w:rPr>
                <w:rFonts w:hint="eastAsia"/>
                <w:color w:val="auto"/>
                <w:sz w:val="28"/>
                <w:szCs w:val="28"/>
                <w:highlight w:val="none"/>
                <w:lang w:eastAsia="zh-CN" w:bidi="ar"/>
              </w:rPr>
              <w:t>各镇街（地区）</w:t>
            </w:r>
          </w:p>
        </w:tc>
        <w:tc>
          <w:tcPr>
            <w:tcW w:w="2327" w:type="dxa"/>
            <w:vAlign w:val="center"/>
          </w:tcPr>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rPr>
            </w:pPr>
            <w:r>
              <w:rPr>
                <w:rFonts w:hint="eastAsia" w:ascii="仿宋_GB2312" w:hAnsi="宋体" w:eastAsia="仿宋_GB2312" w:cs="宋体"/>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549"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8</w:t>
            </w:r>
          </w:p>
        </w:tc>
        <w:tc>
          <w:tcPr>
            <w:tcW w:w="814" w:type="dxa"/>
            <w:vMerge w:val="restart"/>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提升自然保护地监督管理水平</w:t>
            </w: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按照市级部门要求，推进我区风景名胜区整合优化，完善自然保护地体系。</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rPr>
            </w:pPr>
            <w:r>
              <w:rPr>
                <w:rFonts w:hint="eastAsia"/>
                <w:color w:val="auto"/>
                <w:sz w:val="28"/>
                <w:szCs w:val="28"/>
                <w:highlight w:val="none"/>
              </w:rPr>
              <w:t>持续</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推进</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区园林绿化局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ind w:right="-110" w:rightChars="-50"/>
              <w:jc w:val="center"/>
              <w:textAlignment w:val="auto"/>
              <w:outlineLvl w:val="9"/>
              <w:rPr>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55" w:hRule="atLeast"/>
          <w:jc w:val="center"/>
        </w:trPr>
        <w:tc>
          <w:tcPr>
            <w:tcW w:w="549"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814"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lang w:eastAsia="zh-CN"/>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配合市级</w:t>
            </w:r>
            <w:r>
              <w:rPr>
                <w:rFonts w:hint="eastAsia"/>
                <w:color w:val="auto"/>
                <w:sz w:val="28"/>
                <w:szCs w:val="28"/>
                <w:highlight w:val="none"/>
                <w:lang w:val="en-US" w:eastAsia="zh-CN"/>
              </w:rPr>
              <w:t>部门</w:t>
            </w:r>
            <w:r>
              <w:rPr>
                <w:rFonts w:hint="eastAsia"/>
                <w:color w:val="auto"/>
                <w:sz w:val="28"/>
                <w:szCs w:val="28"/>
                <w:highlight w:val="none"/>
                <w:lang w:eastAsia="zh-CN"/>
              </w:rPr>
              <w:t>开展年度重点自然保护地管理和保护成效评估，提高自然保护地管理效能。加强自然保护地监督管理，保护重要生态空间，完成市级下达工作任务。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w:t>
            </w:r>
            <w:r>
              <w:rPr>
                <w:rFonts w:hint="eastAsia"/>
                <w:color w:val="auto"/>
                <w:sz w:val="28"/>
                <w:szCs w:val="28"/>
                <w:highlight w:val="none"/>
                <w:lang w:val="en-US" w:eastAsia="zh-CN"/>
              </w:rPr>
              <w:t>化</w:t>
            </w:r>
            <w:r>
              <w:rPr>
                <w:rFonts w:hint="eastAsia"/>
                <w:color w:val="auto"/>
                <w:sz w:val="28"/>
                <w:szCs w:val="28"/>
                <w:highlight w:val="none"/>
                <w:lang w:eastAsia="zh-CN"/>
              </w:rPr>
              <w:t>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w:t>
            </w:r>
            <w:r>
              <w:rPr>
                <w:rFonts w:hint="eastAsia"/>
                <w:color w:val="auto"/>
                <w:sz w:val="28"/>
                <w:szCs w:val="28"/>
                <w:highlight w:val="none"/>
                <w:lang w:val="en-US" w:eastAsia="zh-CN"/>
              </w:rPr>
              <w:t>化</w:t>
            </w:r>
            <w:r>
              <w:rPr>
                <w:rFonts w:hint="eastAsia"/>
                <w:color w:val="auto"/>
                <w:sz w:val="28"/>
                <w:szCs w:val="28"/>
                <w:highlight w:val="none"/>
                <w:lang w:eastAsia="zh-CN"/>
              </w:rPr>
              <w:t>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区规自分局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10" w:hRule="atLeast"/>
          <w:jc w:val="center"/>
        </w:trPr>
        <w:tc>
          <w:tcPr>
            <w:tcW w:w="549" w:type="dxa"/>
            <w:vMerge w:val="continue"/>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p>
        </w:tc>
        <w:tc>
          <w:tcPr>
            <w:tcW w:w="814" w:type="dxa"/>
            <w:vMerge w:val="continue"/>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按照市级部门统一部署，开展自然保护地生态环境监督工作，落实整改销号要求。</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区农业农村局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区公路分局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区文旅局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91" w:hRule="atLeast"/>
          <w:jc w:val="center"/>
        </w:trPr>
        <w:tc>
          <w:tcPr>
            <w:tcW w:w="549"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rPr>
            </w:pPr>
          </w:p>
        </w:tc>
        <w:tc>
          <w:tcPr>
            <w:tcW w:w="814" w:type="dxa"/>
            <w:vMerge w:val="continue"/>
            <w:vAlign w:val="center"/>
          </w:tcPr>
          <w:p>
            <w:pPr>
              <w:keepNext w:val="0"/>
              <w:keepLines w:val="0"/>
              <w:pageBreakBefore w:val="0"/>
              <w:widowControl/>
              <w:kinsoku/>
              <w:wordWrap/>
              <w:overflowPunct/>
              <w:topLinePunct w:val="0"/>
              <w:autoSpaceDE w:val="0"/>
              <w:autoSpaceDN w:val="0"/>
              <w:bidi w:val="0"/>
              <w:spacing w:line="340" w:lineRule="exact"/>
              <w:textAlignment w:val="auto"/>
              <w:outlineLvl w:val="9"/>
              <w:rPr>
                <w:color w:val="auto"/>
                <w:sz w:val="28"/>
                <w:szCs w:val="28"/>
                <w:highlight w:val="none"/>
              </w:rPr>
            </w:pPr>
          </w:p>
        </w:tc>
        <w:tc>
          <w:tcPr>
            <w:tcW w:w="5986" w:type="dxa"/>
            <w:vAlign w:val="center"/>
          </w:tcPr>
          <w:p>
            <w:pPr>
              <w:keepNext w:val="0"/>
              <w:keepLines w:val="0"/>
              <w:pageBreakBefore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做好自然保护区日常管理和例行巡查，遏制新增问题，推动历史遗留问题解决。</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4386" w:type="dxa"/>
            <w:gridSpan w:val="2"/>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区生态环境局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区文旅局</w:t>
            </w:r>
          </w:p>
        </w:tc>
        <w:tc>
          <w:tcPr>
            <w:tcW w:w="2327" w:type="dxa"/>
            <w:vAlign w:val="center"/>
          </w:tcPr>
          <w:p>
            <w:pPr>
              <w:keepNext w:val="0"/>
              <w:keepLines w:val="0"/>
              <w:pageBreakBefore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区公路分局</w:t>
            </w:r>
          </w:p>
          <w:p>
            <w:pPr>
              <w:keepNext w:val="0"/>
              <w:keepLines w:val="0"/>
              <w:pageBreakBefore w:val="0"/>
              <w:kinsoku/>
              <w:wordWrap/>
              <w:overflowPunct/>
              <w:topLinePunct w:val="0"/>
              <w:autoSpaceDE w:val="0"/>
              <w:autoSpaceDN w:val="0"/>
              <w:bidi w:val="0"/>
              <w:snapToGrid w:val="0"/>
              <w:spacing w:line="340" w:lineRule="exact"/>
              <w:jc w:val="center"/>
              <w:textAlignment w:val="auto"/>
              <w:outlineLvl w:val="9"/>
              <w:rPr>
                <w:color w:val="auto"/>
                <w:sz w:val="28"/>
                <w:szCs w:val="28"/>
                <w:highlight w:val="none"/>
              </w:rPr>
            </w:pPr>
            <w:r>
              <w:rPr>
                <w:rFonts w:hint="eastAsia" w:hAnsi="Times New Roman" w:cs="Times New Roman"/>
                <w:color w:val="auto"/>
                <w:sz w:val="28"/>
                <w:szCs w:val="28"/>
                <w:highlight w:val="none"/>
              </w:rPr>
              <w:t>相关镇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9"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9</w:t>
            </w:r>
          </w:p>
        </w:tc>
        <w:tc>
          <w:tcPr>
            <w:tcW w:w="814"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加强资源开发利用活动监督</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开展对生态环境有影响的矿产等自然资源开发利用活动线索的遥感监测，严格查处违法违规开采行为。</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年底前</w:t>
            </w:r>
          </w:p>
        </w:tc>
        <w:tc>
          <w:tcPr>
            <w:tcW w:w="4386" w:type="dxa"/>
            <w:gridSpan w:val="2"/>
            <w:vAlign w:val="center"/>
          </w:tcPr>
          <w:p>
            <w:pPr>
              <w:adjustRightInd w:val="0"/>
              <w:snapToGrid w:val="0"/>
              <w:ind w:right="-110" w:rightChars="-50"/>
              <w:jc w:val="center"/>
              <w:rPr>
                <w:color w:val="auto"/>
                <w:sz w:val="28"/>
                <w:szCs w:val="28"/>
                <w:highlight w:val="none"/>
              </w:rPr>
            </w:pPr>
            <w:r>
              <w:rPr>
                <w:rFonts w:hint="eastAsia"/>
                <w:color w:val="auto"/>
                <w:sz w:val="28"/>
                <w:szCs w:val="28"/>
                <w:highlight w:val="none"/>
              </w:rPr>
              <w:t>区规自分局</w:t>
            </w:r>
          </w:p>
        </w:tc>
        <w:tc>
          <w:tcPr>
            <w:tcW w:w="2327" w:type="dxa"/>
            <w:vAlign w:val="center"/>
          </w:tcPr>
          <w:p>
            <w:pPr>
              <w:adjustRightInd w:val="0"/>
              <w:snapToGrid w:val="0"/>
              <w:jc w:val="center"/>
              <w:rPr>
                <w:color w:val="auto"/>
                <w:sz w:val="28"/>
                <w:szCs w:val="28"/>
                <w:highlight w:val="none"/>
              </w:rPr>
            </w:pPr>
            <w:r>
              <w:rPr>
                <w:rFonts w:hint="eastAsia"/>
                <w:color w:val="auto"/>
                <w:sz w:val="28"/>
                <w:szCs w:val="28"/>
                <w:highlight w:val="none"/>
              </w:rPr>
              <w:t>区生态环境局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45" w:hRule="atLeast"/>
          <w:jc w:val="center"/>
        </w:trPr>
        <w:tc>
          <w:tcPr>
            <w:tcW w:w="549" w:type="dxa"/>
            <w:vMerge w:val="restart"/>
            <w:vAlign w:val="center"/>
          </w:tcPr>
          <w:p>
            <w:pPr>
              <w:adjustRightInd w:val="0"/>
              <w:snapToGrid w:val="0"/>
              <w:jc w:val="center"/>
              <w:rPr>
                <w:color w:val="auto"/>
                <w:sz w:val="28"/>
                <w:szCs w:val="28"/>
                <w:highlight w:val="none"/>
              </w:rPr>
            </w:pPr>
            <w:r>
              <w:rPr>
                <w:rFonts w:hint="eastAsia"/>
                <w:color w:val="auto"/>
                <w:sz w:val="28"/>
                <w:szCs w:val="28"/>
                <w:highlight w:val="none"/>
              </w:rPr>
              <w:t>10</w:t>
            </w:r>
          </w:p>
        </w:tc>
        <w:tc>
          <w:tcPr>
            <w:tcW w:w="814" w:type="dxa"/>
            <w:vMerge w:val="restart"/>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统筹推进实施生态保护修复</w:t>
            </w:r>
          </w:p>
        </w:tc>
        <w:tc>
          <w:tcPr>
            <w:tcW w:w="5986"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编制完成区级国土空间生态修复规划。</w:t>
            </w:r>
          </w:p>
        </w:tc>
        <w:tc>
          <w:tcPr>
            <w:tcW w:w="1334" w:type="dxa"/>
            <w:vAlign w:val="center"/>
          </w:tcPr>
          <w:p>
            <w:pPr>
              <w:adjustRightInd w:val="0"/>
              <w:snapToGrid w:val="0"/>
              <w:spacing w:line="360" w:lineRule="exact"/>
              <w:jc w:val="center"/>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snapToGrid w:val="0"/>
              <w:jc w:val="center"/>
              <w:rPr>
                <w:color w:val="auto"/>
                <w:sz w:val="28"/>
                <w:szCs w:val="28"/>
                <w:highlight w:val="none"/>
              </w:rPr>
            </w:pPr>
            <w:r>
              <w:rPr>
                <w:rFonts w:hint="eastAsia"/>
                <w:color w:val="auto"/>
                <w:sz w:val="28"/>
                <w:szCs w:val="28"/>
                <w:highlight w:val="none"/>
              </w:rPr>
              <w:t>区规自分局</w:t>
            </w:r>
          </w:p>
        </w:tc>
        <w:tc>
          <w:tcPr>
            <w:tcW w:w="2346" w:type="dxa"/>
            <w:vAlign w:val="center"/>
          </w:tcPr>
          <w:p>
            <w:pPr>
              <w:snapToGrid w:val="0"/>
              <w:jc w:val="center"/>
              <w:rPr>
                <w:color w:val="auto"/>
                <w:sz w:val="28"/>
                <w:szCs w:val="28"/>
                <w:highlight w:val="none"/>
              </w:rPr>
            </w:pPr>
            <w:r>
              <w:rPr>
                <w:rFonts w:hint="eastAsia"/>
                <w:color w:val="auto"/>
                <w:sz w:val="28"/>
                <w:szCs w:val="28"/>
                <w:highlight w:val="none"/>
              </w:rPr>
              <w:t>区规自分局</w:t>
            </w:r>
          </w:p>
          <w:p>
            <w:pPr>
              <w:snapToGrid w:val="0"/>
              <w:jc w:val="center"/>
              <w:rPr>
                <w:color w:val="auto"/>
                <w:sz w:val="28"/>
                <w:szCs w:val="28"/>
                <w:highlight w:val="none"/>
              </w:rPr>
            </w:pPr>
            <w:r>
              <w:rPr>
                <w:rFonts w:hint="eastAsia" w:hAnsi="Times New Roman" w:cs="Times New Roman"/>
                <w:color w:val="auto"/>
                <w:sz w:val="28"/>
                <w:szCs w:val="28"/>
                <w:highlight w:val="none"/>
              </w:rPr>
              <w:t>相关镇</w:t>
            </w:r>
          </w:p>
        </w:tc>
        <w:tc>
          <w:tcPr>
            <w:tcW w:w="2327" w:type="dxa"/>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区水务局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区发改委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9" w:hRule="atLeast"/>
          <w:jc w:val="center"/>
        </w:trPr>
        <w:tc>
          <w:tcPr>
            <w:tcW w:w="549" w:type="dxa"/>
            <w:vMerge w:val="continue"/>
            <w:vAlign w:val="center"/>
          </w:tcPr>
          <w:p>
            <w:pPr>
              <w:widowControl/>
              <w:rPr>
                <w:color w:val="auto"/>
                <w:sz w:val="28"/>
                <w:szCs w:val="28"/>
                <w:highlight w:val="none"/>
                <w:lang w:eastAsia="zh-CN"/>
              </w:rPr>
            </w:pPr>
          </w:p>
        </w:tc>
        <w:tc>
          <w:tcPr>
            <w:tcW w:w="814" w:type="dxa"/>
            <w:vMerge w:val="continue"/>
            <w:vAlign w:val="center"/>
          </w:tcPr>
          <w:p>
            <w:pPr>
              <w:widowControl/>
              <w:rPr>
                <w:color w:val="auto"/>
                <w:sz w:val="28"/>
                <w:szCs w:val="28"/>
                <w:highlight w:val="none"/>
                <w:lang w:eastAsia="zh-CN"/>
              </w:rPr>
            </w:pPr>
          </w:p>
        </w:tc>
        <w:tc>
          <w:tcPr>
            <w:tcW w:w="5986" w:type="dxa"/>
            <w:vAlign w:val="center"/>
          </w:tcPr>
          <w:p>
            <w:pPr>
              <w:adjustRightInd w:val="0"/>
              <w:snapToGrid w:val="0"/>
              <w:spacing w:line="360" w:lineRule="exact"/>
              <w:rPr>
                <w:strike/>
                <w:color w:val="auto"/>
                <w:sz w:val="28"/>
                <w:szCs w:val="28"/>
                <w:highlight w:val="none"/>
                <w:lang w:eastAsia="zh-CN"/>
              </w:rPr>
            </w:pPr>
            <w:r>
              <w:rPr>
                <w:rFonts w:hint="eastAsia"/>
                <w:color w:val="auto"/>
                <w:sz w:val="28"/>
                <w:szCs w:val="28"/>
                <w:highlight w:val="none"/>
                <w:lang w:eastAsia="zh-CN"/>
              </w:rPr>
              <w:t>按照本市矿山生态修复“十四五”规划要求，持续推进废弃矿山生态修复治理工作，关注已完成治理的矿山生态修复项目绿化效果。</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z w:val="28"/>
                <w:szCs w:val="28"/>
                <w:highlight w:val="none"/>
              </w:rPr>
              <w:t>持续</w:t>
            </w:r>
          </w:p>
          <w:p>
            <w:pPr>
              <w:adjustRightInd w:val="0"/>
              <w:snapToGrid w:val="0"/>
              <w:spacing w:line="360" w:lineRule="exact"/>
              <w:ind w:firstLine="280" w:firstLineChars="100"/>
              <w:rPr>
                <w:color w:val="auto"/>
                <w:sz w:val="28"/>
                <w:szCs w:val="28"/>
                <w:highlight w:val="none"/>
              </w:rPr>
            </w:pPr>
            <w:r>
              <w:rPr>
                <w:rFonts w:hint="eastAsia"/>
                <w:color w:val="auto"/>
                <w:sz w:val="28"/>
                <w:szCs w:val="28"/>
                <w:highlight w:val="none"/>
              </w:rPr>
              <w:t>推进</w:t>
            </w:r>
          </w:p>
        </w:tc>
        <w:tc>
          <w:tcPr>
            <w:tcW w:w="2040" w:type="dxa"/>
            <w:vAlign w:val="center"/>
          </w:tcPr>
          <w:p>
            <w:pPr>
              <w:snapToGrid w:val="0"/>
              <w:jc w:val="center"/>
              <w:rPr>
                <w:color w:val="auto"/>
                <w:sz w:val="28"/>
                <w:szCs w:val="28"/>
                <w:highlight w:val="none"/>
              </w:rPr>
            </w:pPr>
            <w:r>
              <w:rPr>
                <w:rFonts w:hint="eastAsia" w:hAnsi="Times New Roman" w:cs="Times New Roman"/>
                <w:color w:val="auto"/>
                <w:sz w:val="28"/>
                <w:szCs w:val="28"/>
                <w:highlight w:val="none"/>
              </w:rPr>
              <w:t>区规自分局</w:t>
            </w:r>
            <w:r>
              <w:rPr>
                <w:rFonts w:hint="eastAsia" w:hAnsi="Times New Roman" w:cs="Times New Roman"/>
                <w:color w:val="auto"/>
                <w:sz w:val="28"/>
                <w:szCs w:val="28"/>
                <w:highlight w:val="none"/>
              </w:rPr>
              <w:br w:type="textWrapping"/>
            </w:r>
            <w:r>
              <w:rPr>
                <w:rFonts w:hint="eastAsia" w:hAnsi="Times New Roman" w:cs="Times New Roman"/>
                <w:color w:val="auto"/>
                <w:sz w:val="28"/>
                <w:szCs w:val="28"/>
                <w:highlight w:val="none"/>
              </w:rPr>
              <w:t>区国资委</w:t>
            </w:r>
          </w:p>
        </w:tc>
        <w:tc>
          <w:tcPr>
            <w:tcW w:w="2346" w:type="dxa"/>
            <w:vAlign w:val="center"/>
          </w:tcPr>
          <w:p>
            <w:pPr>
              <w:snapToGrid w:val="0"/>
              <w:jc w:val="center"/>
              <w:rPr>
                <w:color w:val="auto"/>
                <w:sz w:val="28"/>
                <w:szCs w:val="28"/>
                <w:highlight w:val="none"/>
                <w:lang w:eastAsia="zh-CN"/>
              </w:rPr>
            </w:pPr>
            <w:r>
              <w:rPr>
                <w:rFonts w:hint="eastAsia" w:hAnsi="Times New Roman" w:cs="Times New Roman"/>
                <w:color w:val="auto"/>
                <w:sz w:val="28"/>
                <w:szCs w:val="28"/>
                <w:highlight w:val="none"/>
                <w:lang w:eastAsia="zh-CN"/>
              </w:rPr>
              <w:t>区规自分局</w:t>
            </w:r>
            <w:r>
              <w:rPr>
                <w:rFonts w:hint="eastAsia" w:hAnsi="Times New Roman" w:cs="Times New Roman"/>
                <w:color w:val="auto"/>
                <w:sz w:val="28"/>
                <w:szCs w:val="28"/>
                <w:highlight w:val="none"/>
                <w:lang w:eastAsia="zh-CN"/>
              </w:rPr>
              <w:br w:type="textWrapping"/>
            </w:r>
            <w:r>
              <w:rPr>
                <w:rFonts w:hint="eastAsia" w:hAnsi="Times New Roman" w:cs="Times New Roman"/>
                <w:color w:val="auto"/>
                <w:sz w:val="28"/>
                <w:szCs w:val="28"/>
                <w:highlight w:val="none"/>
                <w:lang w:eastAsia="zh-CN"/>
              </w:rPr>
              <w:t>区国资委</w:t>
            </w:r>
            <w:r>
              <w:rPr>
                <w:rFonts w:hint="eastAsia" w:hAnsi="Times New Roman" w:cs="Times New Roman"/>
                <w:color w:val="auto"/>
                <w:sz w:val="28"/>
                <w:szCs w:val="28"/>
                <w:highlight w:val="none"/>
                <w:lang w:eastAsia="zh-CN"/>
              </w:rPr>
              <w:br w:type="textWrapping"/>
            </w:r>
            <w:r>
              <w:rPr>
                <w:rFonts w:hint="eastAsia"/>
                <w:color w:val="auto"/>
                <w:sz w:val="28"/>
                <w:szCs w:val="28"/>
                <w:highlight w:val="none"/>
                <w:lang w:eastAsia="zh-CN"/>
              </w:rPr>
              <w:t>相关镇</w:t>
            </w:r>
          </w:p>
        </w:tc>
        <w:tc>
          <w:tcPr>
            <w:tcW w:w="2327" w:type="dxa"/>
            <w:vAlign w:val="center"/>
          </w:tcPr>
          <w:p>
            <w:pPr>
              <w:snapToGrid w:val="0"/>
              <w:jc w:val="center"/>
              <w:rPr>
                <w:color w:val="auto"/>
                <w:sz w:val="28"/>
                <w:szCs w:val="28"/>
                <w:highlight w:val="none"/>
                <w:lang w:eastAsia="zh-CN"/>
              </w:rPr>
            </w:pPr>
            <w:r>
              <w:rPr>
                <w:rFonts w:hint="eastAsia"/>
                <w:color w:val="auto"/>
                <w:sz w:val="28"/>
                <w:szCs w:val="28"/>
                <w:highlight w:val="none"/>
                <w:lang w:eastAsia="zh-CN"/>
              </w:rPr>
              <w:t>区财政局</w:t>
            </w:r>
          </w:p>
          <w:p>
            <w:pPr>
              <w:snapToGrid w:val="0"/>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49" w:hRule="atLeast"/>
          <w:jc w:val="center"/>
        </w:trPr>
        <w:tc>
          <w:tcPr>
            <w:tcW w:w="549" w:type="dxa"/>
            <w:vMerge w:val="restart"/>
            <w:vAlign w:val="center"/>
          </w:tcPr>
          <w:p>
            <w:pPr>
              <w:keepNext w:val="0"/>
              <w:keepLines w:val="0"/>
              <w:pageBreakBefore w:val="0"/>
              <w:widowControl/>
              <w:kinsoku/>
              <w:wordWrap/>
              <w:overflowPunct/>
              <w:topLinePunct w:val="0"/>
              <w:autoSpaceDE w:val="0"/>
              <w:autoSpaceDN w:val="0"/>
              <w:bidi w:val="0"/>
              <w:spacing w:line="400" w:lineRule="exact"/>
              <w:textAlignment w:val="auto"/>
              <w:outlineLvl w:val="9"/>
              <w:rPr>
                <w:color w:val="auto"/>
                <w:sz w:val="28"/>
                <w:szCs w:val="28"/>
                <w:highlight w:val="none"/>
                <w:lang w:eastAsia="zh-CN"/>
              </w:rPr>
            </w:pPr>
            <w:r>
              <w:rPr>
                <w:rFonts w:hint="eastAsia"/>
                <w:color w:val="auto"/>
                <w:sz w:val="28"/>
                <w:szCs w:val="28"/>
                <w:highlight w:val="none"/>
                <w:lang w:eastAsia="zh-CN"/>
              </w:rPr>
              <w:t>10</w:t>
            </w:r>
          </w:p>
        </w:tc>
        <w:tc>
          <w:tcPr>
            <w:tcW w:w="814" w:type="dxa"/>
            <w:vMerge w:val="restart"/>
            <w:vAlign w:val="center"/>
          </w:tcPr>
          <w:p>
            <w:pPr>
              <w:keepNext w:val="0"/>
              <w:keepLines w:val="0"/>
              <w:pageBreakBefore w:val="0"/>
              <w:widowControl/>
              <w:kinsoku/>
              <w:wordWrap/>
              <w:overflowPunct/>
              <w:topLinePunct w:val="0"/>
              <w:autoSpaceDE w:val="0"/>
              <w:autoSpaceDN w:val="0"/>
              <w:bidi w:val="0"/>
              <w:spacing w:line="400" w:lineRule="exact"/>
              <w:textAlignment w:val="auto"/>
              <w:outlineLvl w:val="9"/>
              <w:rPr>
                <w:color w:val="auto"/>
                <w:sz w:val="28"/>
                <w:szCs w:val="28"/>
                <w:highlight w:val="none"/>
                <w:lang w:eastAsia="zh-CN"/>
              </w:rPr>
            </w:pPr>
            <w:r>
              <w:rPr>
                <w:rFonts w:hint="eastAsia"/>
                <w:color w:val="auto"/>
                <w:sz w:val="28"/>
                <w:szCs w:val="28"/>
                <w:highlight w:val="none"/>
                <w:lang w:eastAsia="zh-CN"/>
              </w:rPr>
              <w:t>统筹推进实施生态保护修复</w:t>
            </w:r>
          </w:p>
        </w:tc>
        <w:tc>
          <w:tcPr>
            <w:tcW w:w="5986" w:type="dxa"/>
            <w:vAlign w:val="center"/>
          </w:tcPr>
          <w:p>
            <w:pPr>
              <w:keepNext w:val="0"/>
              <w:keepLines w:val="0"/>
              <w:pageBreakBefore w:val="0"/>
              <w:kinsoku/>
              <w:wordWrap/>
              <w:overflowPunct/>
              <w:topLinePunct w:val="0"/>
              <w:autoSpaceDE w:val="0"/>
              <w:autoSpaceDN w:val="0"/>
              <w:bidi w:val="0"/>
              <w:spacing w:line="400" w:lineRule="exact"/>
              <w:textAlignment w:val="auto"/>
              <w:outlineLvl w:val="9"/>
              <w:rPr>
                <w:color w:val="auto"/>
                <w:highlight w:val="none"/>
              </w:rPr>
            </w:pPr>
            <w:r>
              <w:rPr>
                <w:rFonts w:hint="eastAsia"/>
                <w:color w:val="auto"/>
                <w:sz w:val="28"/>
                <w:szCs w:val="28"/>
                <w:highlight w:val="none"/>
                <w:lang w:eastAsia="zh-CN"/>
              </w:rPr>
              <w:t>按照市级部门要求，推进园林绿化“增绿提质”。统筹管理两轮百万亩造林、五河十路和绿隔地区生态林，实施分级分类管护经营。优化林分结构、树种组成及分布格局，推动建立可持续的近自然森林经营与管理模式。</w:t>
            </w:r>
          </w:p>
          <w:p>
            <w:pPr>
              <w:keepNext w:val="0"/>
              <w:keepLines w:val="0"/>
              <w:pageBreakBefore w:val="0"/>
              <w:kinsoku/>
              <w:wordWrap/>
              <w:overflowPunct/>
              <w:topLinePunct w:val="0"/>
              <w:autoSpaceDE w:val="0"/>
              <w:autoSpaceDN w:val="0"/>
              <w:bidi w:val="0"/>
              <w:spacing w:line="400" w:lineRule="exact"/>
              <w:textAlignment w:val="auto"/>
              <w:outlineLvl w:val="9"/>
              <w:rPr>
                <w:color w:val="auto"/>
                <w:sz w:val="28"/>
                <w:szCs w:val="28"/>
                <w:highlight w:val="none"/>
                <w:lang w:eastAsia="zh-CN"/>
              </w:rPr>
            </w:pPr>
            <w:r>
              <w:rPr>
                <w:rFonts w:hint="eastAsia"/>
                <w:color w:val="auto"/>
                <w:sz w:val="28"/>
                <w:szCs w:val="28"/>
                <w:highlight w:val="none"/>
                <w:lang w:eastAsia="zh-CN"/>
              </w:rPr>
              <w:t>开展生态保育小区建设，推进平原生态林养护经营示范区建设，建立自然带营造和管理示范点。完成市级下达任务。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adjustRightInd w:val="0"/>
              <w:snapToGrid w:val="0"/>
              <w:spacing w:line="400" w:lineRule="exact"/>
              <w:ind w:left="-110" w:leftChars="-50" w:right="-110" w:rightChars="-50"/>
              <w:jc w:val="center"/>
              <w:textAlignment w:val="auto"/>
              <w:outlineLvl w:val="9"/>
              <w:rPr>
                <w:color w:val="auto"/>
                <w:sz w:val="28"/>
                <w:szCs w:val="28"/>
                <w:highlight w:val="none"/>
              </w:rPr>
            </w:pPr>
            <w:r>
              <w:rPr>
                <w:rFonts w:hint="eastAsia"/>
                <w:color w:val="auto"/>
                <w:sz w:val="28"/>
                <w:szCs w:val="28"/>
                <w:highlight w:val="none"/>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pacing w:val="-22"/>
                <w:sz w:val="28"/>
                <w:szCs w:val="28"/>
                <w:highlight w:val="none"/>
                <w:lang w:eastAsia="zh-CN"/>
              </w:rPr>
            </w:pPr>
            <w:r>
              <w:rPr>
                <w:rFonts w:hint="eastAsia"/>
                <w:color w:val="auto"/>
                <w:sz w:val="28"/>
                <w:szCs w:val="28"/>
                <w:highlight w:val="none"/>
                <w:lang w:eastAsia="zh-CN" w:bidi="ar"/>
              </w:rPr>
              <w:t>各镇街（地区）</w:t>
            </w:r>
            <w:r>
              <w:rPr>
                <w:rFonts w:hint="eastAsia"/>
                <w:color w:val="auto"/>
                <w:sz w:val="28"/>
                <w:szCs w:val="28"/>
                <w:highlight w:val="none"/>
                <w:lang w:eastAsia="zh-CN" w:bidi="ar"/>
              </w:rPr>
              <w:br w:type="textWrapping"/>
            </w:r>
            <w:r>
              <w:rPr>
                <w:rFonts w:hint="eastAsia"/>
                <w:color w:val="auto"/>
                <w:sz w:val="28"/>
                <w:szCs w:val="28"/>
                <w:highlight w:val="none"/>
                <w:lang w:eastAsia="zh-CN" w:bidi="ar"/>
              </w:rPr>
              <w:t>中关村密云园</w:t>
            </w:r>
          </w:p>
        </w:tc>
        <w:tc>
          <w:tcPr>
            <w:tcW w:w="2327" w:type="dxa"/>
            <w:vAlign w:val="center"/>
          </w:tcPr>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pacing w:val="-26"/>
                <w:sz w:val="28"/>
                <w:szCs w:val="28"/>
                <w:highlight w:val="none"/>
              </w:rPr>
            </w:pPr>
            <w:r>
              <w:rPr>
                <w:rFonts w:hint="eastAsia" w:ascii="仿宋_GB2312" w:hAnsi="宋体" w:eastAsia="仿宋_GB2312" w:cs="宋体"/>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4" w:hRule="atLeast"/>
          <w:jc w:val="center"/>
        </w:trPr>
        <w:tc>
          <w:tcPr>
            <w:tcW w:w="549" w:type="dxa"/>
            <w:vMerge w:val="continue"/>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rPr>
            </w:pPr>
          </w:p>
        </w:tc>
        <w:tc>
          <w:tcPr>
            <w:tcW w:w="814" w:type="dxa"/>
            <w:vMerge w:val="continue"/>
            <w:vAlign w:val="center"/>
          </w:tcPr>
          <w:p>
            <w:pPr>
              <w:keepNext w:val="0"/>
              <w:keepLines w:val="0"/>
              <w:pageBreakBefore w:val="0"/>
              <w:kinsoku/>
              <w:wordWrap/>
              <w:overflowPunct/>
              <w:topLinePunct w:val="0"/>
              <w:autoSpaceDE w:val="0"/>
              <w:autoSpaceDN w:val="0"/>
              <w:bidi w:val="0"/>
              <w:adjustRightInd w:val="0"/>
              <w:snapToGrid w:val="0"/>
              <w:spacing w:line="400" w:lineRule="exact"/>
              <w:textAlignment w:val="auto"/>
              <w:outlineLvl w:val="9"/>
              <w:rPr>
                <w:color w:val="auto"/>
                <w:sz w:val="28"/>
                <w:szCs w:val="28"/>
                <w:highlight w:val="none"/>
              </w:rPr>
            </w:pPr>
          </w:p>
        </w:tc>
        <w:tc>
          <w:tcPr>
            <w:tcW w:w="5986" w:type="dxa"/>
            <w:vAlign w:val="center"/>
          </w:tcPr>
          <w:p>
            <w:pPr>
              <w:pStyle w:val="11"/>
              <w:keepNext w:val="0"/>
              <w:keepLines w:val="0"/>
              <w:pageBreakBefore w:val="0"/>
              <w:kinsoku/>
              <w:wordWrap/>
              <w:overflowPunct/>
              <w:topLinePunct w:val="0"/>
              <w:autoSpaceDE w:val="0"/>
              <w:autoSpaceDN w:val="0"/>
              <w:bidi w:val="0"/>
              <w:spacing w:line="400" w:lineRule="exact"/>
              <w:textAlignment w:val="auto"/>
              <w:outlineLvl w:val="9"/>
              <w:rPr>
                <w:rFonts w:ascii="仿宋_GB2312" w:cs="宋体"/>
                <w:strike/>
                <w:color w:val="auto"/>
                <w:sz w:val="28"/>
                <w:szCs w:val="28"/>
                <w:highlight w:val="none"/>
                <w:lang w:eastAsia="zh-CN"/>
              </w:rPr>
            </w:pPr>
            <w:r>
              <w:rPr>
                <w:rFonts w:hint="eastAsia" w:ascii="仿宋_GB2312"/>
                <w:color w:val="auto"/>
                <w:sz w:val="28"/>
                <w:szCs w:val="28"/>
                <w:highlight w:val="none"/>
                <w:lang w:eastAsia="zh-CN"/>
              </w:rPr>
              <w:t>加强绿地建设，建设休闲公园、口袋公园及小微绿地等，完成市级下达任务。</w:t>
            </w:r>
          </w:p>
        </w:tc>
        <w:tc>
          <w:tcPr>
            <w:tcW w:w="1334"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pacing w:val="-6"/>
                <w:sz w:val="28"/>
                <w:szCs w:val="28"/>
                <w:highlight w:val="none"/>
              </w:rPr>
            </w:pPr>
            <w:r>
              <w:rPr>
                <w:rFonts w:hint="eastAsia"/>
                <w:color w:val="auto"/>
                <w:sz w:val="28"/>
                <w:szCs w:val="28"/>
                <w:highlight w:val="none"/>
              </w:rPr>
              <w:t>年底前</w:t>
            </w:r>
          </w:p>
        </w:tc>
        <w:tc>
          <w:tcPr>
            <w:tcW w:w="2040" w:type="dxa"/>
            <w:vAlign w:val="center"/>
          </w:tcPr>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z w:val="28"/>
                <w:szCs w:val="28"/>
                <w:highlight w:val="none"/>
              </w:rPr>
            </w:pPr>
            <w:r>
              <w:rPr>
                <w:rFonts w:hint="eastAsia"/>
                <w:color w:val="auto"/>
                <w:sz w:val="28"/>
                <w:szCs w:val="28"/>
                <w:highlight w:val="none"/>
              </w:rPr>
              <w:t>区园林绿化局</w:t>
            </w:r>
          </w:p>
        </w:tc>
        <w:tc>
          <w:tcPr>
            <w:tcW w:w="2346" w:type="dxa"/>
            <w:vAlign w:val="center"/>
          </w:tcPr>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kinsoku/>
              <w:wordWrap/>
              <w:overflowPunct/>
              <w:topLinePunct w:val="0"/>
              <w:autoSpaceDE w:val="0"/>
              <w:autoSpaceDN w:val="0"/>
              <w:bidi w:val="0"/>
              <w:adjustRightInd w:val="0"/>
              <w:snapToGrid w:val="0"/>
              <w:spacing w:line="400" w:lineRule="exact"/>
              <w:jc w:val="center"/>
              <w:textAlignment w:val="auto"/>
              <w:outlineLvl w:val="9"/>
              <w:rPr>
                <w:color w:val="auto"/>
                <w:sz w:val="28"/>
                <w:szCs w:val="28"/>
                <w:highlight w:val="none"/>
                <w:lang w:eastAsia="zh-CN" w:bidi="ar"/>
              </w:rPr>
            </w:pPr>
            <w:r>
              <w:rPr>
                <w:rFonts w:hint="eastAsia"/>
                <w:color w:val="auto"/>
                <w:sz w:val="28"/>
                <w:szCs w:val="28"/>
                <w:highlight w:val="none"/>
                <w:lang w:eastAsia="zh-CN" w:bidi="ar"/>
              </w:rPr>
              <w:t>相关镇</w:t>
            </w:r>
          </w:p>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bidi="ar"/>
              </w:rPr>
              <w:t>中关村密云园</w:t>
            </w:r>
          </w:p>
        </w:tc>
        <w:tc>
          <w:tcPr>
            <w:tcW w:w="2327" w:type="dxa"/>
            <w:vAlign w:val="center"/>
          </w:tcPr>
          <w:p>
            <w:pPr>
              <w:keepNext w:val="0"/>
              <w:keepLines w:val="0"/>
              <w:pageBreakBefore w:val="0"/>
              <w:kinsoku/>
              <w:wordWrap/>
              <w:overflowPunct/>
              <w:topLinePunct w:val="0"/>
              <w:autoSpaceDE w:val="0"/>
              <w:autoSpaceDN w:val="0"/>
              <w:bidi w:val="0"/>
              <w:snapToGrid w:val="0"/>
              <w:spacing w:line="400" w:lineRule="exact"/>
              <w:jc w:val="center"/>
              <w:textAlignment w:val="auto"/>
              <w:outlineLvl w:val="9"/>
              <w:rPr>
                <w:color w:val="auto"/>
                <w:sz w:val="28"/>
                <w:szCs w:val="28"/>
                <w:highlight w:val="none"/>
              </w:rPr>
            </w:pPr>
            <w:r>
              <w:rPr>
                <w:rFonts w:hint="eastAsia" w:ascii="仿宋_GB2312" w:hAnsi="宋体" w:eastAsia="仿宋_GB2312" w:cs="宋体"/>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3" w:hRule="atLeast"/>
          <w:jc w:val="center"/>
        </w:trPr>
        <w:tc>
          <w:tcPr>
            <w:tcW w:w="549" w:type="dxa"/>
            <w:vMerge w:val="continue"/>
            <w:vAlign w:val="center"/>
          </w:tcPr>
          <w:p>
            <w:pPr>
              <w:widowControl/>
              <w:rPr>
                <w:color w:val="auto"/>
                <w:sz w:val="28"/>
                <w:szCs w:val="28"/>
                <w:highlight w:val="none"/>
              </w:rPr>
            </w:pPr>
          </w:p>
        </w:tc>
        <w:tc>
          <w:tcPr>
            <w:tcW w:w="814" w:type="dxa"/>
            <w:vMerge w:val="continue"/>
            <w:vAlign w:val="center"/>
          </w:tcPr>
          <w:p>
            <w:pPr>
              <w:widowControl/>
              <w:rPr>
                <w:color w:val="auto"/>
                <w:sz w:val="28"/>
                <w:szCs w:val="28"/>
                <w:highlight w:val="none"/>
              </w:rPr>
            </w:pPr>
          </w:p>
        </w:tc>
        <w:tc>
          <w:tcPr>
            <w:tcW w:w="5986" w:type="dxa"/>
            <w:vAlign w:val="center"/>
          </w:tcPr>
          <w:p>
            <w:pPr>
              <w:adjustRightInd w:val="0"/>
              <w:snapToGrid w:val="0"/>
              <w:spacing w:line="340" w:lineRule="exact"/>
              <w:rPr>
                <w:strike/>
                <w:color w:val="auto"/>
                <w:sz w:val="28"/>
                <w:szCs w:val="28"/>
                <w:highlight w:val="none"/>
                <w:lang w:eastAsia="zh-CN"/>
              </w:rPr>
            </w:pPr>
            <w:r>
              <w:rPr>
                <w:rFonts w:hint="eastAsia" w:hAnsi="Calibri"/>
                <w:color w:val="auto"/>
                <w:sz w:val="28"/>
                <w:szCs w:val="28"/>
                <w:highlight w:val="none"/>
                <w:lang w:eastAsia="zh-CN"/>
              </w:rPr>
              <w:t>因地制宜开展湿地修复，提升湿地生态质量。</w:t>
            </w:r>
          </w:p>
        </w:tc>
        <w:tc>
          <w:tcPr>
            <w:tcW w:w="1334" w:type="dxa"/>
            <w:vAlign w:val="center"/>
          </w:tcPr>
          <w:p>
            <w:pPr>
              <w:adjustRightInd w:val="0"/>
              <w:snapToGrid w:val="0"/>
              <w:spacing w:line="340" w:lineRule="exact"/>
              <w:jc w:val="center"/>
              <w:rPr>
                <w:color w:val="auto"/>
                <w:sz w:val="28"/>
                <w:szCs w:val="28"/>
                <w:highlight w:val="none"/>
              </w:rPr>
            </w:pPr>
            <w:r>
              <w:rPr>
                <w:rFonts w:hint="eastAsia"/>
                <w:color w:val="auto"/>
                <w:sz w:val="28"/>
                <w:szCs w:val="28"/>
                <w:highlight w:val="none"/>
              </w:rPr>
              <w:t>年底前</w:t>
            </w:r>
          </w:p>
        </w:tc>
        <w:tc>
          <w:tcPr>
            <w:tcW w:w="2040" w:type="dxa"/>
            <w:vAlign w:val="center"/>
          </w:tcPr>
          <w:p>
            <w:pPr>
              <w:adjustRightInd w:val="0"/>
              <w:snapToGrid w:val="0"/>
              <w:spacing w:line="340" w:lineRule="exact"/>
              <w:ind w:right="-110" w:rightChars="-50"/>
              <w:jc w:val="center"/>
              <w:rPr>
                <w:color w:val="auto"/>
                <w:sz w:val="28"/>
                <w:szCs w:val="28"/>
                <w:highlight w:val="none"/>
              </w:rPr>
            </w:pPr>
            <w:r>
              <w:rPr>
                <w:rFonts w:hint="eastAsia"/>
                <w:color w:val="auto"/>
                <w:sz w:val="28"/>
                <w:szCs w:val="28"/>
                <w:highlight w:val="none"/>
              </w:rPr>
              <w:t>区园林绿化局</w:t>
            </w:r>
          </w:p>
        </w:tc>
        <w:tc>
          <w:tcPr>
            <w:tcW w:w="2346" w:type="dxa"/>
            <w:vAlign w:val="center"/>
          </w:tcPr>
          <w:p>
            <w:pPr>
              <w:adjustRightInd w:val="0"/>
              <w:snapToGrid w:val="0"/>
              <w:spacing w:line="340" w:lineRule="exact"/>
              <w:jc w:val="center"/>
              <w:rPr>
                <w:color w:val="auto"/>
                <w:sz w:val="28"/>
                <w:szCs w:val="28"/>
                <w:highlight w:val="none"/>
                <w:lang w:eastAsia="zh-CN"/>
              </w:rPr>
            </w:pPr>
            <w:r>
              <w:rPr>
                <w:rFonts w:hint="eastAsia"/>
                <w:color w:val="auto"/>
                <w:sz w:val="28"/>
                <w:szCs w:val="28"/>
                <w:highlight w:val="none"/>
                <w:lang w:eastAsia="zh-CN"/>
              </w:rPr>
              <w:t>区园林绿化局</w:t>
            </w:r>
          </w:p>
          <w:p>
            <w:pPr>
              <w:adjustRightInd w:val="0"/>
              <w:snapToGrid w:val="0"/>
              <w:spacing w:line="340" w:lineRule="exact"/>
              <w:jc w:val="center"/>
              <w:rPr>
                <w:color w:val="auto"/>
                <w:sz w:val="28"/>
                <w:szCs w:val="28"/>
                <w:highlight w:val="none"/>
                <w:lang w:eastAsia="zh-CN" w:bidi="ar"/>
              </w:rPr>
            </w:pPr>
            <w:r>
              <w:rPr>
                <w:rFonts w:hint="eastAsia"/>
                <w:color w:val="auto"/>
                <w:sz w:val="28"/>
                <w:szCs w:val="28"/>
                <w:highlight w:val="none"/>
                <w:lang w:eastAsia="zh-CN" w:bidi="ar"/>
              </w:rPr>
              <w:t>相关镇</w:t>
            </w:r>
          </w:p>
          <w:p>
            <w:pPr>
              <w:adjustRightInd w:val="0"/>
              <w:snapToGrid w:val="0"/>
              <w:spacing w:line="340" w:lineRule="exact"/>
              <w:ind w:right="-110" w:rightChars="-50"/>
              <w:jc w:val="center"/>
              <w:rPr>
                <w:rFonts w:eastAsia="宋体"/>
                <w:color w:val="auto"/>
                <w:sz w:val="28"/>
                <w:szCs w:val="28"/>
                <w:highlight w:val="none"/>
                <w:lang w:eastAsia="zh-CN" w:bidi="ar"/>
              </w:rPr>
            </w:pPr>
            <w:r>
              <w:rPr>
                <w:rFonts w:hint="eastAsia"/>
                <w:color w:val="auto"/>
                <w:sz w:val="28"/>
                <w:szCs w:val="28"/>
                <w:highlight w:val="none"/>
                <w:lang w:eastAsia="zh-CN" w:bidi="ar"/>
              </w:rPr>
              <w:t>中关村密云园</w:t>
            </w:r>
          </w:p>
        </w:tc>
        <w:tc>
          <w:tcPr>
            <w:tcW w:w="2327" w:type="dxa"/>
            <w:vAlign w:val="center"/>
          </w:tcPr>
          <w:p>
            <w:pPr>
              <w:snapToGrid w:val="0"/>
              <w:spacing w:line="340" w:lineRule="exact"/>
              <w:jc w:val="center"/>
              <w:rPr>
                <w:color w:val="auto"/>
                <w:sz w:val="28"/>
                <w:szCs w:val="28"/>
                <w:highlight w:val="none"/>
              </w:rPr>
            </w:pPr>
            <w:r>
              <w:rPr>
                <w:rFonts w:hint="eastAsia" w:ascii="仿宋_GB2312" w:hAnsi="宋体" w:eastAsia="仿宋_GB2312" w:cs="宋体"/>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jc w:val="center"/>
        </w:trPr>
        <w:tc>
          <w:tcPr>
            <w:tcW w:w="15396" w:type="dxa"/>
            <w:gridSpan w:val="7"/>
            <w:vAlign w:val="center"/>
          </w:tcPr>
          <w:p>
            <w:pPr>
              <w:snapToGrid w:val="0"/>
              <w:ind w:left="-110" w:leftChars="-50" w:right="-110" w:rightChars="-50"/>
              <w:jc w:val="center"/>
              <w:rPr>
                <w:color w:val="auto"/>
                <w:sz w:val="28"/>
                <w:szCs w:val="28"/>
                <w:highlight w:val="none"/>
                <w:lang w:eastAsia="zh-CN"/>
              </w:rPr>
            </w:pPr>
            <w:r>
              <w:rPr>
                <w:rFonts w:hint="eastAsia" w:ascii="黑体" w:hAnsi="黑体" w:eastAsia="黑体"/>
                <w:color w:val="auto"/>
                <w:sz w:val="28"/>
                <w:szCs w:val="28"/>
                <w:highlight w:val="none"/>
                <w:lang w:eastAsia="zh-CN"/>
              </w:rPr>
              <w:t>四、促进生态保护可持续发展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35"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11</w:t>
            </w:r>
          </w:p>
        </w:tc>
        <w:tc>
          <w:tcPr>
            <w:tcW w:w="814" w:type="dxa"/>
            <w:vAlign w:val="center"/>
          </w:tcPr>
          <w:p>
            <w:pPr>
              <w:adjustRightInd w:val="0"/>
              <w:snapToGrid w:val="0"/>
              <w:spacing w:line="360" w:lineRule="exact"/>
              <w:rPr>
                <w:color w:val="auto"/>
                <w:sz w:val="28"/>
                <w:szCs w:val="28"/>
                <w:highlight w:val="none"/>
                <w:lang w:eastAsia="zh-CN"/>
              </w:rPr>
            </w:pPr>
            <w:r>
              <w:rPr>
                <w:rFonts w:hint="eastAsia"/>
                <w:color w:val="auto"/>
                <w:sz w:val="28"/>
                <w:szCs w:val="28"/>
                <w:highlight w:val="none"/>
                <w:lang w:eastAsia="zh-CN"/>
              </w:rPr>
              <w:t>开展生态产品价值核算</w:t>
            </w:r>
          </w:p>
        </w:tc>
        <w:tc>
          <w:tcPr>
            <w:tcW w:w="5986" w:type="dxa"/>
            <w:vAlign w:val="center"/>
          </w:tcPr>
          <w:p>
            <w:pPr>
              <w:adjustRightInd w:val="0"/>
              <w:snapToGrid w:val="0"/>
              <w:spacing w:line="360" w:lineRule="exact"/>
              <w:rPr>
                <w:rFonts w:ascii="Calibri"/>
                <w:color w:val="auto"/>
                <w:sz w:val="28"/>
                <w:szCs w:val="28"/>
                <w:highlight w:val="none"/>
                <w:lang w:eastAsia="zh-CN"/>
              </w:rPr>
            </w:pPr>
            <w:r>
              <w:rPr>
                <w:rFonts w:hint="eastAsia"/>
                <w:color w:val="auto"/>
                <w:sz w:val="28"/>
                <w:szCs w:val="28"/>
                <w:highlight w:val="none"/>
                <w:lang w:eastAsia="zh-CN"/>
              </w:rPr>
              <w:t>持续开展2022年生态产品总值核算工作，为促进生态产品价值实现奠定基础。</w:t>
            </w:r>
          </w:p>
        </w:tc>
        <w:tc>
          <w:tcPr>
            <w:tcW w:w="1334" w:type="dxa"/>
            <w:vAlign w:val="center"/>
          </w:tcPr>
          <w:p>
            <w:pPr>
              <w:adjustRightInd w:val="0"/>
              <w:snapToGrid w:val="0"/>
              <w:spacing w:line="360" w:lineRule="exact"/>
              <w:jc w:val="center"/>
              <w:rPr>
                <w:color w:val="auto"/>
                <w:sz w:val="28"/>
                <w:szCs w:val="28"/>
                <w:highlight w:val="none"/>
              </w:rPr>
            </w:pPr>
            <w:r>
              <w:rPr>
                <w:rFonts w:hint="eastAsia"/>
                <w:color w:val="auto"/>
                <w:spacing w:val="-6"/>
                <w:sz w:val="28"/>
                <w:szCs w:val="28"/>
                <w:highlight w:val="none"/>
              </w:rPr>
              <w:t>年底前</w:t>
            </w:r>
          </w:p>
        </w:tc>
        <w:tc>
          <w:tcPr>
            <w:tcW w:w="4386" w:type="dxa"/>
            <w:gridSpan w:val="2"/>
            <w:vAlign w:val="center"/>
          </w:tcPr>
          <w:p>
            <w:pPr>
              <w:adjustRightInd w:val="0"/>
              <w:snapToGrid w:val="0"/>
              <w:jc w:val="center"/>
              <w:rPr>
                <w:color w:val="auto"/>
                <w:sz w:val="28"/>
                <w:szCs w:val="28"/>
                <w:highlight w:val="none"/>
                <w:lang w:eastAsia="zh-CN"/>
              </w:rPr>
            </w:pPr>
            <w:r>
              <w:rPr>
                <w:rFonts w:hint="eastAsia"/>
                <w:color w:val="auto"/>
                <w:sz w:val="28"/>
                <w:szCs w:val="28"/>
                <w:highlight w:val="none"/>
                <w:lang w:eastAsia="zh-CN"/>
              </w:rPr>
              <w:t>区生态环境局</w:t>
            </w:r>
          </w:p>
          <w:p>
            <w:pPr>
              <w:adjustRightInd w:val="0"/>
              <w:snapToGrid w:val="0"/>
              <w:jc w:val="center"/>
              <w:rPr>
                <w:color w:val="auto"/>
                <w:sz w:val="28"/>
                <w:szCs w:val="28"/>
                <w:highlight w:val="none"/>
                <w:lang w:eastAsia="zh-CN"/>
              </w:rPr>
            </w:pPr>
            <w:r>
              <w:rPr>
                <w:rFonts w:hint="eastAsia"/>
                <w:color w:val="auto"/>
                <w:sz w:val="28"/>
                <w:szCs w:val="28"/>
                <w:highlight w:val="none"/>
                <w:lang w:eastAsia="zh-CN"/>
              </w:rPr>
              <w:t>区统计局</w:t>
            </w:r>
          </w:p>
        </w:tc>
        <w:tc>
          <w:tcPr>
            <w:tcW w:w="2327"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区发改委</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区规自分局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区住建委</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区水务局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区农业农村局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区文旅局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区园林绿化局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default"/>
                <w:color w:val="auto"/>
                <w:sz w:val="28"/>
                <w:szCs w:val="28"/>
                <w:highlight w:val="none"/>
                <w:lang w:eastAsia="zh-CN"/>
              </w:rPr>
              <w:t>区农业服务中心</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区气象局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国家统计局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密云调查队</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rFonts w:hint="eastAsia"/>
                <w:color w:val="auto"/>
                <w:sz w:val="28"/>
                <w:szCs w:val="28"/>
                <w:highlight w:val="none"/>
                <w:lang w:eastAsia="zh-CN"/>
              </w:rPr>
            </w:pPr>
            <w:r>
              <w:rPr>
                <w:rFonts w:hint="eastAsia"/>
                <w:color w:val="auto"/>
                <w:sz w:val="28"/>
                <w:szCs w:val="28"/>
                <w:highlight w:val="none"/>
                <w:lang w:eastAsia="zh-CN"/>
              </w:rPr>
              <w:t>各镇街（地区）</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12</w:t>
            </w:r>
          </w:p>
        </w:tc>
        <w:tc>
          <w:tcPr>
            <w:tcW w:w="814" w:type="dxa"/>
            <w:vAlign w:val="center"/>
          </w:tcPr>
          <w:p>
            <w:pPr>
              <w:adjustRightInd w:val="0"/>
              <w:snapToGrid w:val="0"/>
              <w:jc w:val="center"/>
              <w:rPr>
                <w:color w:val="auto"/>
                <w:sz w:val="28"/>
                <w:szCs w:val="28"/>
                <w:highlight w:val="none"/>
                <w:lang w:eastAsia="zh-CN"/>
              </w:rPr>
            </w:pPr>
            <w:r>
              <w:rPr>
                <w:rFonts w:hint="eastAsia"/>
                <w:color w:val="auto"/>
                <w:spacing w:val="-6"/>
                <w:sz w:val="28"/>
                <w:szCs w:val="28"/>
                <w:highlight w:val="none"/>
                <w:lang w:eastAsia="zh-CN"/>
              </w:rPr>
              <w:t>巩固生态文明示范创建成果</w:t>
            </w:r>
          </w:p>
        </w:tc>
        <w:tc>
          <w:tcPr>
            <w:tcW w:w="5986" w:type="dxa"/>
            <w:vAlign w:val="center"/>
          </w:tcPr>
          <w:p>
            <w:pPr>
              <w:keepNext w:val="0"/>
              <w:keepLines w:val="0"/>
              <w:pageBreakBefore w:val="0"/>
              <w:widowControl w:val="0"/>
              <w:kinsoku/>
              <w:wordWrap/>
              <w:overflowPunct/>
              <w:topLinePunct w:val="0"/>
              <w:autoSpaceDE w:val="0"/>
              <w:autoSpaceDN w:val="0"/>
              <w:bidi w:val="0"/>
              <w:adjustRightInd/>
              <w:snapToGrid/>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巩固“国家生态文明建设示范区”和“两山”实践创新基地创建成果，持续落实《北京市密云区生态文明建设规划（</w:t>
            </w:r>
            <w:r>
              <w:rPr>
                <w:rFonts w:hint="eastAsia" w:hAnsi="Times New Roman" w:cs="Times New Roman"/>
                <w:color w:val="auto"/>
                <w:sz w:val="28"/>
                <w:szCs w:val="28"/>
                <w:highlight w:val="none"/>
                <w:lang w:eastAsia="zh-CN"/>
              </w:rPr>
              <w:t>2018-2025</w:t>
            </w:r>
            <w:r>
              <w:rPr>
                <w:rFonts w:hint="eastAsia"/>
                <w:color w:val="auto"/>
                <w:sz w:val="28"/>
                <w:szCs w:val="28"/>
                <w:highlight w:val="none"/>
                <w:lang w:eastAsia="zh-CN"/>
              </w:rPr>
              <w:t>）》和《北京市密云区“绿水青山就是金山银山”实践创新基地建设实施方案》，努力提高各项创建指标，提高示范水平；做好创建年度自查和市级后评估工作；完善“两山”转化模式，推动生态产品总值增长，促进高质量发展。</w:t>
            </w:r>
          </w:p>
        </w:tc>
        <w:tc>
          <w:tcPr>
            <w:tcW w:w="1334" w:type="dxa"/>
            <w:vAlign w:val="center"/>
          </w:tcPr>
          <w:p>
            <w:pPr>
              <w:spacing w:line="420" w:lineRule="exact"/>
              <w:jc w:val="center"/>
              <w:rPr>
                <w:color w:val="auto"/>
                <w:sz w:val="28"/>
                <w:szCs w:val="28"/>
                <w:highlight w:val="none"/>
              </w:rPr>
            </w:pPr>
            <w:r>
              <w:rPr>
                <w:rFonts w:hint="eastAsia"/>
                <w:color w:val="auto"/>
                <w:spacing w:val="-6"/>
                <w:sz w:val="28"/>
                <w:szCs w:val="28"/>
                <w:highlight w:val="none"/>
              </w:rPr>
              <w:t>年底前</w:t>
            </w:r>
          </w:p>
        </w:tc>
        <w:tc>
          <w:tcPr>
            <w:tcW w:w="2040" w:type="dxa"/>
            <w:vAlign w:val="center"/>
          </w:tcPr>
          <w:p>
            <w:pPr>
              <w:adjustRightInd w:val="0"/>
              <w:snapToGrid w:val="0"/>
              <w:jc w:val="center"/>
              <w:rPr>
                <w:color w:val="auto"/>
                <w:sz w:val="28"/>
                <w:szCs w:val="28"/>
                <w:highlight w:val="none"/>
                <w:lang w:eastAsia="zh-CN"/>
              </w:rPr>
            </w:pPr>
            <w:r>
              <w:rPr>
                <w:rFonts w:hint="eastAsia" w:ascii="Calibri" w:hAnsi="Calibri"/>
                <w:color w:val="auto"/>
                <w:spacing w:val="-11"/>
                <w:sz w:val="28"/>
                <w:szCs w:val="28"/>
                <w:highlight w:val="none"/>
                <w:lang w:eastAsia="zh-CN"/>
              </w:rPr>
              <w:t>区委生态文明委办公室</w:t>
            </w:r>
          </w:p>
        </w:tc>
        <w:tc>
          <w:tcPr>
            <w:tcW w:w="234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9"/>
              <w:rPr>
                <w:rFonts w:ascii="Calibri" w:hAnsi="Calibri"/>
                <w:color w:val="auto"/>
                <w:sz w:val="28"/>
                <w:szCs w:val="28"/>
                <w:highlight w:val="none"/>
                <w:lang w:eastAsia="zh-CN"/>
              </w:rPr>
            </w:pPr>
            <w:r>
              <w:rPr>
                <w:rFonts w:hint="eastAsia" w:ascii="Calibri" w:hAnsi="Calibri"/>
                <w:color w:val="auto"/>
                <w:sz w:val="28"/>
                <w:szCs w:val="28"/>
                <w:highlight w:val="none"/>
                <w:lang w:eastAsia="zh-CN"/>
              </w:rPr>
              <w:t>区委生态文明委</w:t>
            </w:r>
          </w:p>
          <w:p>
            <w:pPr>
              <w:keepNext w:val="0"/>
              <w:keepLines w:val="0"/>
              <w:pageBreakBefore w:val="0"/>
              <w:widowControl w:val="0"/>
              <w:kinsoku/>
              <w:wordWrap/>
              <w:overflowPunct/>
              <w:topLinePunct w:val="0"/>
              <w:autoSpaceDE w:val="0"/>
              <w:autoSpaceDN w:val="0"/>
              <w:bidi w:val="0"/>
              <w:spacing w:line="400" w:lineRule="exact"/>
              <w:jc w:val="center"/>
              <w:textAlignment w:val="auto"/>
              <w:outlineLvl w:val="9"/>
              <w:rPr>
                <w:color w:val="auto"/>
                <w:sz w:val="28"/>
                <w:szCs w:val="28"/>
                <w:highlight w:val="none"/>
                <w:lang w:eastAsia="zh-CN"/>
              </w:rPr>
            </w:pPr>
            <w:r>
              <w:rPr>
                <w:rFonts w:hint="eastAsia" w:ascii="Calibri" w:hAnsi="Calibri"/>
                <w:color w:val="auto"/>
                <w:sz w:val="28"/>
                <w:szCs w:val="28"/>
                <w:highlight w:val="none"/>
                <w:lang w:eastAsia="zh-CN"/>
              </w:rPr>
              <w:t>成员单位</w:t>
            </w:r>
          </w:p>
        </w:tc>
        <w:tc>
          <w:tcPr>
            <w:tcW w:w="2327"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区人力社保局</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各镇街（地区）</w:t>
            </w:r>
          </w:p>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pacing w:val="-26"/>
                <w:sz w:val="28"/>
                <w:szCs w:val="28"/>
                <w:highlight w:val="none"/>
              </w:rPr>
            </w:pPr>
            <w:r>
              <w:rPr>
                <w:rFonts w:hint="eastAsia"/>
                <w:color w:val="auto"/>
                <w:sz w:val="28"/>
                <w:szCs w:val="28"/>
                <w:highlight w:val="none"/>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6"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13</w:t>
            </w:r>
          </w:p>
        </w:tc>
        <w:tc>
          <w:tcPr>
            <w:tcW w:w="814"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jc w:val="center"/>
              <w:textAlignment w:val="auto"/>
              <w:outlineLvl w:val="9"/>
              <w:rPr>
                <w:color w:val="auto"/>
                <w:spacing w:val="-6"/>
                <w:sz w:val="28"/>
                <w:szCs w:val="28"/>
                <w:highlight w:val="none"/>
                <w:lang w:eastAsia="zh-CN"/>
              </w:rPr>
            </w:pPr>
            <w:r>
              <w:rPr>
                <w:rFonts w:hint="eastAsia"/>
                <w:color w:val="auto"/>
                <w:sz w:val="28"/>
                <w:szCs w:val="28"/>
                <w:highlight w:val="none"/>
                <w:lang w:eastAsia="zh-CN"/>
              </w:rPr>
              <w:t>加强国家重点生态功能区</w:t>
            </w:r>
            <w:r>
              <w:rPr>
                <w:rFonts w:hint="eastAsia"/>
                <w:color w:val="auto"/>
                <w:sz w:val="28"/>
                <w:szCs w:val="28"/>
                <w:highlight w:val="none"/>
                <w:lang w:val="en-US" w:eastAsia="zh-CN"/>
              </w:rPr>
              <w:t>县</w:t>
            </w:r>
            <w:r>
              <w:rPr>
                <w:rFonts w:hint="eastAsia"/>
                <w:color w:val="auto"/>
                <w:sz w:val="28"/>
                <w:szCs w:val="28"/>
                <w:highlight w:val="none"/>
                <w:lang w:eastAsia="zh-CN"/>
              </w:rPr>
              <w:t>域生态环境质量监测与评价工作</w:t>
            </w:r>
          </w:p>
        </w:tc>
        <w:tc>
          <w:tcPr>
            <w:tcW w:w="5986" w:type="dxa"/>
            <w:vAlign w:val="center"/>
          </w:tcPr>
          <w:p>
            <w:pPr>
              <w:adjustRightInd w:val="0"/>
              <w:snapToGrid w:val="0"/>
              <w:spacing w:line="360" w:lineRule="exact"/>
              <w:rPr>
                <w:color w:val="auto"/>
                <w:spacing w:val="-6"/>
                <w:sz w:val="28"/>
                <w:szCs w:val="28"/>
                <w:highlight w:val="none"/>
                <w:lang w:eastAsia="zh-CN"/>
              </w:rPr>
            </w:pPr>
            <w:r>
              <w:rPr>
                <w:rFonts w:hint="eastAsia"/>
                <w:color w:val="auto"/>
                <w:sz w:val="28"/>
                <w:szCs w:val="28"/>
                <w:highlight w:val="none"/>
                <w:lang w:eastAsia="zh-CN"/>
              </w:rPr>
              <w:t>加强国家重点生态功能区县域生态环境质量监测与评价工作，全面落实《北京市密云区“十四五”国家重点生态功能区县域生态环境质量监测与评价工作实施方案》，不断提升区域水源涵养能力。</w:t>
            </w:r>
          </w:p>
        </w:tc>
        <w:tc>
          <w:tcPr>
            <w:tcW w:w="1334" w:type="dxa"/>
            <w:vAlign w:val="center"/>
          </w:tcPr>
          <w:p>
            <w:pPr>
              <w:adjustRightInd w:val="0"/>
              <w:snapToGrid w:val="0"/>
              <w:jc w:val="center"/>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adjustRightInd w:val="0"/>
              <w:snapToGrid w:val="0"/>
              <w:jc w:val="center"/>
              <w:rPr>
                <w:rFonts w:ascii="Calibri" w:hAnsi="Calibri"/>
                <w:color w:val="auto"/>
                <w:sz w:val="28"/>
                <w:szCs w:val="28"/>
                <w:highlight w:val="none"/>
                <w:lang w:eastAsia="zh-CN"/>
              </w:rPr>
            </w:pPr>
            <w:r>
              <w:rPr>
                <w:rFonts w:hint="eastAsia" w:ascii="Calibri" w:hAnsi="Calibri"/>
                <w:color w:val="auto"/>
                <w:spacing w:val="-11"/>
                <w:sz w:val="28"/>
                <w:szCs w:val="28"/>
                <w:highlight w:val="none"/>
                <w:lang w:eastAsia="zh-CN"/>
              </w:rPr>
              <w:t>区委生态文明委办公室</w:t>
            </w:r>
          </w:p>
        </w:tc>
        <w:tc>
          <w:tcPr>
            <w:tcW w:w="234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jc w:val="center"/>
              <w:textAlignment w:val="auto"/>
              <w:outlineLvl w:val="9"/>
              <w:rPr>
                <w:rFonts w:ascii="Calibri" w:hAnsi="Calibri"/>
                <w:color w:val="auto"/>
                <w:sz w:val="28"/>
                <w:szCs w:val="28"/>
                <w:highlight w:val="none"/>
                <w:lang w:eastAsia="zh-CN"/>
              </w:rPr>
            </w:pPr>
            <w:r>
              <w:rPr>
                <w:rFonts w:hint="eastAsia" w:ascii="Calibri" w:hAnsi="Calibri"/>
                <w:color w:val="auto"/>
                <w:sz w:val="28"/>
                <w:szCs w:val="28"/>
                <w:highlight w:val="none"/>
                <w:lang w:eastAsia="zh-CN"/>
              </w:rPr>
              <w:t>区委生态文明委</w:t>
            </w:r>
          </w:p>
          <w:p>
            <w:pPr>
              <w:keepNext w:val="0"/>
              <w:keepLines w:val="0"/>
              <w:pageBreakBefore w:val="0"/>
              <w:widowControl w:val="0"/>
              <w:kinsoku/>
              <w:wordWrap/>
              <w:overflowPunct/>
              <w:topLinePunct w:val="0"/>
              <w:autoSpaceDE w:val="0"/>
              <w:autoSpaceDN w:val="0"/>
              <w:bidi w:val="0"/>
              <w:spacing w:line="400" w:lineRule="exact"/>
              <w:jc w:val="center"/>
              <w:textAlignment w:val="auto"/>
              <w:outlineLvl w:val="9"/>
              <w:rPr>
                <w:rFonts w:ascii="Calibri" w:hAnsi="Calibri"/>
                <w:color w:val="auto"/>
                <w:sz w:val="28"/>
                <w:szCs w:val="28"/>
                <w:highlight w:val="none"/>
                <w:lang w:eastAsia="zh-CN"/>
              </w:rPr>
            </w:pPr>
            <w:r>
              <w:rPr>
                <w:rFonts w:hint="eastAsia" w:ascii="Calibri" w:hAnsi="Calibri"/>
                <w:color w:val="auto"/>
                <w:sz w:val="28"/>
                <w:szCs w:val="28"/>
                <w:highlight w:val="none"/>
                <w:lang w:eastAsia="zh-CN"/>
              </w:rPr>
              <w:t>成员单位</w:t>
            </w:r>
          </w:p>
        </w:tc>
        <w:tc>
          <w:tcPr>
            <w:tcW w:w="2327" w:type="dxa"/>
            <w:vAlign w:val="center"/>
          </w:tcPr>
          <w:p>
            <w:pPr>
              <w:adjustRightInd w:val="0"/>
              <w:snapToGrid w:val="0"/>
              <w:jc w:val="center"/>
              <w:rPr>
                <w:color w:val="auto"/>
                <w:sz w:val="28"/>
                <w:szCs w:val="28"/>
                <w:highlight w:val="none"/>
                <w:lang w:eastAsia="zh-CN" w:bidi="ar"/>
              </w:rPr>
            </w:pPr>
            <w:r>
              <w:rPr>
                <w:rFonts w:hint="eastAsia"/>
                <w:color w:val="auto"/>
                <w:sz w:val="28"/>
                <w:szCs w:val="28"/>
                <w:highlight w:val="none"/>
                <w:lang w:eastAsia="zh-CN" w:bidi="ar"/>
              </w:rPr>
              <w:t>区</w:t>
            </w:r>
            <w:r>
              <w:rPr>
                <w:color w:val="auto"/>
                <w:sz w:val="28"/>
                <w:szCs w:val="28"/>
                <w:highlight w:val="none"/>
                <w:lang w:eastAsia="zh-CN" w:bidi="ar"/>
              </w:rPr>
              <w:t>民政局</w:t>
            </w:r>
          </w:p>
          <w:p>
            <w:pPr>
              <w:adjustRightInd w:val="0"/>
              <w:snapToGrid w:val="0"/>
              <w:jc w:val="center"/>
              <w:rPr>
                <w:color w:val="auto"/>
                <w:sz w:val="28"/>
                <w:szCs w:val="28"/>
                <w:highlight w:val="none"/>
                <w:lang w:eastAsia="zh-CN" w:bidi="ar"/>
              </w:rPr>
            </w:pPr>
            <w:r>
              <w:rPr>
                <w:rFonts w:hint="eastAsia"/>
                <w:color w:val="auto"/>
                <w:sz w:val="28"/>
                <w:szCs w:val="28"/>
                <w:highlight w:val="none"/>
                <w:lang w:eastAsia="zh-CN" w:bidi="ar"/>
              </w:rPr>
              <w:t>各镇街（地区）</w:t>
            </w:r>
          </w:p>
          <w:p>
            <w:pPr>
              <w:pStyle w:val="2"/>
              <w:adjustRightInd w:val="0"/>
              <w:snapToGrid w:val="0"/>
              <w:jc w:val="center"/>
              <w:rPr>
                <w:color w:val="auto"/>
                <w:sz w:val="28"/>
                <w:szCs w:val="28"/>
                <w:highlight w:val="none"/>
                <w:lang w:eastAsia="zh-CN"/>
              </w:rPr>
            </w:pP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2"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14</w:t>
            </w:r>
          </w:p>
        </w:tc>
        <w:tc>
          <w:tcPr>
            <w:tcW w:w="814" w:type="dxa"/>
            <w:vAlign w:val="center"/>
          </w:tcPr>
          <w:p>
            <w:pPr>
              <w:keepNext w:val="0"/>
              <w:keepLines w:val="0"/>
              <w:pageBreakBefore w:val="0"/>
              <w:widowControl w:val="0"/>
              <w:kinsoku/>
              <w:wordWrap/>
              <w:overflowPunct/>
              <w:topLinePunct w:val="0"/>
              <w:autoSpaceDE w:val="0"/>
              <w:autoSpaceDN w:val="0"/>
              <w:bidi w:val="0"/>
              <w:adjustRightInd w:val="0"/>
              <w:snapToGrid w:val="0"/>
              <w:spacing w:line="340" w:lineRule="exact"/>
              <w:textAlignment w:val="auto"/>
              <w:outlineLvl w:val="9"/>
              <w:rPr>
                <w:color w:val="auto"/>
                <w:sz w:val="28"/>
                <w:szCs w:val="28"/>
                <w:highlight w:val="none"/>
                <w:lang w:eastAsia="zh-CN"/>
              </w:rPr>
            </w:pPr>
            <w:r>
              <w:rPr>
                <w:rFonts w:hint="eastAsia"/>
                <w:color w:val="auto"/>
                <w:sz w:val="28"/>
                <w:szCs w:val="28"/>
                <w:highlight w:val="none"/>
                <w:lang w:eastAsia="zh-CN"/>
              </w:rPr>
              <w:t>巩</w:t>
            </w:r>
            <w:r>
              <w:rPr>
                <w:rFonts w:hint="eastAsia"/>
                <w:color w:val="auto"/>
                <w:spacing w:val="-6"/>
                <w:sz w:val="28"/>
                <w:szCs w:val="28"/>
                <w:highlight w:val="none"/>
                <w:lang w:eastAsia="zh-CN"/>
              </w:rPr>
              <w:t>固森林城市创建成果</w:t>
            </w:r>
          </w:p>
        </w:tc>
        <w:tc>
          <w:tcPr>
            <w:tcW w:w="598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color w:val="auto"/>
                <w:spacing w:val="-6"/>
                <w:sz w:val="28"/>
                <w:szCs w:val="28"/>
                <w:highlight w:val="none"/>
                <w:lang w:eastAsia="zh-CN"/>
              </w:rPr>
            </w:pPr>
            <w:r>
              <w:rPr>
                <w:rFonts w:hint="eastAsia"/>
                <w:color w:val="auto"/>
                <w:sz w:val="28"/>
                <w:szCs w:val="28"/>
                <w:highlight w:val="none"/>
                <w:lang w:eastAsia="zh-CN"/>
              </w:rPr>
              <w:t>按照本市森林城市发展规划有关要求，持续深化和巩固国家森林城市建设。</w:t>
            </w:r>
          </w:p>
        </w:tc>
        <w:tc>
          <w:tcPr>
            <w:tcW w:w="1334" w:type="dxa"/>
            <w:vAlign w:val="center"/>
          </w:tcPr>
          <w:p>
            <w:pPr>
              <w:adjustRightInd w:val="0"/>
              <w:snapToGrid w:val="0"/>
              <w:spacing w:line="360" w:lineRule="exact"/>
              <w:jc w:val="center"/>
              <w:rPr>
                <w:rFonts w:hint="eastAsia"/>
                <w:color w:val="auto"/>
                <w:spacing w:val="-6"/>
                <w:sz w:val="28"/>
                <w:szCs w:val="28"/>
                <w:highlight w:val="none"/>
              </w:rPr>
            </w:pPr>
            <w:r>
              <w:rPr>
                <w:rFonts w:hint="eastAsia"/>
                <w:color w:val="auto"/>
                <w:spacing w:val="-6"/>
                <w:sz w:val="28"/>
                <w:szCs w:val="28"/>
                <w:highlight w:val="none"/>
              </w:rPr>
              <w:t>持续</w:t>
            </w:r>
          </w:p>
          <w:p>
            <w:pPr>
              <w:adjustRightInd w:val="0"/>
              <w:snapToGrid w:val="0"/>
              <w:spacing w:line="360" w:lineRule="exact"/>
              <w:jc w:val="center"/>
              <w:rPr>
                <w:color w:val="auto"/>
                <w:sz w:val="28"/>
                <w:szCs w:val="28"/>
                <w:highlight w:val="none"/>
              </w:rPr>
            </w:pPr>
            <w:r>
              <w:rPr>
                <w:rFonts w:hint="eastAsia"/>
                <w:color w:val="auto"/>
                <w:spacing w:val="-6"/>
                <w:sz w:val="28"/>
                <w:szCs w:val="28"/>
                <w:highlight w:val="none"/>
              </w:rPr>
              <w:t>推进</w:t>
            </w:r>
          </w:p>
        </w:tc>
        <w:tc>
          <w:tcPr>
            <w:tcW w:w="2040" w:type="dxa"/>
            <w:vAlign w:val="center"/>
          </w:tcPr>
          <w:p>
            <w:pPr>
              <w:snapToGrid w:val="0"/>
              <w:ind w:left="-110" w:leftChars="-50" w:right="-110" w:rightChars="-50"/>
              <w:jc w:val="center"/>
              <w:rPr>
                <w:color w:val="auto"/>
                <w:sz w:val="28"/>
                <w:szCs w:val="28"/>
                <w:highlight w:val="none"/>
              </w:rPr>
            </w:pPr>
            <w:r>
              <w:rPr>
                <w:rFonts w:hint="eastAsia"/>
                <w:color w:val="auto"/>
                <w:sz w:val="28"/>
                <w:szCs w:val="28"/>
                <w:highlight w:val="none"/>
              </w:rPr>
              <w:t>区园林绿化局</w:t>
            </w:r>
          </w:p>
        </w:tc>
        <w:tc>
          <w:tcPr>
            <w:tcW w:w="2346" w:type="dxa"/>
            <w:vAlign w:val="center"/>
          </w:tcPr>
          <w:p>
            <w:pPr>
              <w:snapToGrid w:val="0"/>
              <w:jc w:val="center"/>
              <w:rPr>
                <w:color w:val="auto"/>
                <w:sz w:val="28"/>
                <w:szCs w:val="28"/>
                <w:highlight w:val="none"/>
              </w:rPr>
            </w:pPr>
            <w:r>
              <w:rPr>
                <w:rFonts w:hint="eastAsia"/>
                <w:color w:val="auto"/>
                <w:sz w:val="28"/>
                <w:szCs w:val="28"/>
                <w:highlight w:val="none"/>
              </w:rPr>
              <w:t>区园林绿化局</w:t>
            </w:r>
          </w:p>
          <w:p>
            <w:pPr>
              <w:snapToGrid w:val="0"/>
              <w:jc w:val="center"/>
              <w:rPr>
                <w:color w:val="auto"/>
                <w:sz w:val="28"/>
                <w:szCs w:val="28"/>
                <w:highlight w:val="none"/>
              </w:rPr>
            </w:pPr>
            <w:r>
              <w:rPr>
                <w:rFonts w:hint="eastAsia"/>
                <w:color w:val="auto"/>
                <w:sz w:val="28"/>
                <w:szCs w:val="28"/>
                <w:highlight w:val="none"/>
                <w:lang w:bidi="ar"/>
              </w:rPr>
              <w:t>相关镇</w:t>
            </w:r>
          </w:p>
        </w:tc>
        <w:tc>
          <w:tcPr>
            <w:tcW w:w="2327" w:type="dxa"/>
            <w:vAlign w:val="center"/>
          </w:tcPr>
          <w:p>
            <w:pPr>
              <w:snapToGrid w:val="0"/>
              <w:jc w:val="center"/>
              <w:rPr>
                <w:color w:val="auto"/>
                <w:spacing w:val="-26"/>
                <w:sz w:val="28"/>
                <w:szCs w:val="28"/>
                <w:highlight w:val="none"/>
              </w:rPr>
            </w:pPr>
            <w:r>
              <w:rPr>
                <w:rFonts w:hint="eastAsia" w:ascii="仿宋_GB2312" w:hAnsi="宋体" w:eastAsia="仿宋_GB2312" w:cs="宋体"/>
                <w:color w:val="auto"/>
                <w:kern w:val="0"/>
                <w:sz w:val="28"/>
                <w:szCs w:val="28"/>
                <w:highlight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2"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15</w:t>
            </w:r>
          </w:p>
        </w:tc>
        <w:tc>
          <w:tcPr>
            <w:tcW w:w="814" w:type="dxa"/>
            <w:vAlign w:val="center"/>
          </w:tcPr>
          <w:p>
            <w:pPr>
              <w:adjustRightInd w:val="0"/>
              <w:snapToGrid w:val="0"/>
              <w:jc w:val="center"/>
              <w:rPr>
                <w:color w:val="auto"/>
                <w:sz w:val="28"/>
                <w:szCs w:val="28"/>
                <w:highlight w:val="none"/>
                <w:lang w:eastAsia="zh-CN"/>
              </w:rPr>
            </w:pPr>
            <w:r>
              <w:rPr>
                <w:rFonts w:hint="eastAsia"/>
                <w:color w:val="auto"/>
                <w:spacing w:val="-6"/>
                <w:sz w:val="28"/>
                <w:szCs w:val="28"/>
                <w:highlight w:val="none"/>
                <w:lang w:eastAsia="zh-CN"/>
              </w:rPr>
              <w:t>深入推进生态文明建设工作</w:t>
            </w:r>
          </w:p>
        </w:tc>
        <w:tc>
          <w:tcPr>
            <w:tcW w:w="5986"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outlineLvl w:val="9"/>
              <w:rPr>
                <w:color w:val="auto"/>
                <w:sz w:val="28"/>
                <w:szCs w:val="28"/>
                <w:highlight w:val="none"/>
                <w:lang w:eastAsia="zh-CN"/>
              </w:rPr>
            </w:pPr>
            <w:r>
              <w:rPr>
                <w:rFonts w:hint="eastAsia"/>
                <w:color w:val="auto"/>
                <w:spacing w:val="-6"/>
                <w:sz w:val="28"/>
                <w:szCs w:val="28"/>
                <w:highlight w:val="none"/>
                <w:lang w:eastAsia="zh-CN"/>
              </w:rPr>
              <w:t>深入推进生态文明建设，按照生态环境部工作部署，持续</w:t>
            </w:r>
            <w:r>
              <w:rPr>
                <w:rFonts w:hint="eastAsia"/>
                <w:color w:val="auto"/>
                <w:sz w:val="28"/>
                <w:szCs w:val="28"/>
                <w:highlight w:val="none"/>
                <w:lang w:eastAsia="zh-CN"/>
              </w:rPr>
              <w:t>推进“国家环境保护模范城市”创建工作。</w:t>
            </w:r>
          </w:p>
        </w:tc>
        <w:tc>
          <w:tcPr>
            <w:tcW w:w="1334" w:type="dxa"/>
            <w:vAlign w:val="center"/>
          </w:tcPr>
          <w:p>
            <w:pPr>
              <w:spacing w:line="420" w:lineRule="exact"/>
              <w:jc w:val="center"/>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adjustRightInd w:val="0"/>
              <w:snapToGrid w:val="0"/>
              <w:jc w:val="center"/>
              <w:rPr>
                <w:color w:val="auto"/>
                <w:sz w:val="28"/>
                <w:szCs w:val="28"/>
                <w:highlight w:val="none"/>
                <w:lang w:eastAsia="zh-CN"/>
              </w:rPr>
            </w:pPr>
            <w:r>
              <w:rPr>
                <w:rFonts w:hint="eastAsia" w:ascii="Calibri" w:hAnsi="Calibri"/>
                <w:color w:val="auto"/>
                <w:spacing w:val="-11"/>
                <w:sz w:val="28"/>
                <w:szCs w:val="28"/>
                <w:highlight w:val="none"/>
                <w:lang w:eastAsia="zh-CN"/>
              </w:rPr>
              <w:t>区委生态文明委办公室</w:t>
            </w:r>
          </w:p>
        </w:tc>
        <w:tc>
          <w:tcPr>
            <w:tcW w:w="2346" w:type="dxa"/>
            <w:vAlign w:val="center"/>
          </w:tcPr>
          <w:p>
            <w:pPr>
              <w:adjustRightInd w:val="0"/>
              <w:snapToGrid w:val="0"/>
              <w:jc w:val="center"/>
              <w:rPr>
                <w:color w:val="auto"/>
                <w:sz w:val="28"/>
                <w:szCs w:val="28"/>
                <w:highlight w:val="none"/>
                <w:lang w:eastAsia="zh-CN" w:bidi="ar"/>
              </w:rPr>
            </w:pPr>
            <w:r>
              <w:rPr>
                <w:rFonts w:hint="eastAsia" w:ascii="Calibri" w:hAnsi="Calibri"/>
                <w:color w:val="auto"/>
                <w:sz w:val="28"/>
                <w:szCs w:val="28"/>
                <w:highlight w:val="none"/>
                <w:lang w:eastAsia="zh-CN"/>
              </w:rPr>
              <w:t>区委生态文明委成员单位</w:t>
            </w:r>
          </w:p>
        </w:tc>
        <w:tc>
          <w:tcPr>
            <w:tcW w:w="2327" w:type="dxa"/>
            <w:vAlign w:val="center"/>
          </w:tcPr>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color w:val="auto"/>
                <w:sz w:val="28"/>
                <w:szCs w:val="28"/>
                <w:highlight w:val="none"/>
                <w:lang w:eastAsia="zh-CN"/>
              </w:rPr>
            </w:pPr>
            <w:r>
              <w:rPr>
                <w:rFonts w:hint="eastAsia"/>
                <w:color w:val="auto"/>
                <w:sz w:val="28"/>
                <w:szCs w:val="28"/>
                <w:highlight w:val="none"/>
                <w:lang w:eastAsia="zh-CN"/>
              </w:rPr>
              <w:t>各镇街（地区）</w:t>
            </w:r>
          </w:p>
          <w:p>
            <w:pPr>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outlineLvl w:val="9"/>
              <w:rPr>
                <w:color w:val="auto"/>
                <w:spacing w:val="-26"/>
                <w:sz w:val="28"/>
                <w:szCs w:val="28"/>
                <w:highlight w:val="none"/>
                <w:lang w:eastAsia="zh-CN"/>
              </w:rPr>
            </w:pPr>
            <w:r>
              <w:rPr>
                <w:rFonts w:hint="eastAsia"/>
                <w:color w:val="auto"/>
                <w:sz w:val="28"/>
                <w:szCs w:val="28"/>
                <w:highlight w:val="none"/>
                <w:lang w:eastAsia="zh-CN"/>
              </w:rPr>
              <w:t>中关村密云园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2" w:hRule="atLeast"/>
          <w:jc w:val="center"/>
        </w:trPr>
        <w:tc>
          <w:tcPr>
            <w:tcW w:w="549" w:type="dxa"/>
            <w:vAlign w:val="center"/>
          </w:tcPr>
          <w:p>
            <w:pPr>
              <w:adjustRightInd w:val="0"/>
              <w:snapToGrid w:val="0"/>
              <w:jc w:val="center"/>
              <w:rPr>
                <w:color w:val="auto"/>
                <w:sz w:val="28"/>
                <w:szCs w:val="28"/>
                <w:highlight w:val="none"/>
              </w:rPr>
            </w:pPr>
            <w:r>
              <w:rPr>
                <w:rFonts w:hint="eastAsia"/>
                <w:color w:val="auto"/>
                <w:sz w:val="28"/>
                <w:szCs w:val="28"/>
                <w:highlight w:val="none"/>
              </w:rPr>
              <w:t>16</w:t>
            </w:r>
          </w:p>
        </w:tc>
        <w:tc>
          <w:tcPr>
            <w:tcW w:w="814" w:type="dxa"/>
            <w:vAlign w:val="center"/>
          </w:tcPr>
          <w:p>
            <w:pPr>
              <w:pStyle w:val="5"/>
              <w:spacing w:line="440" w:lineRule="exact"/>
              <w:jc w:val="center"/>
              <w:rPr>
                <w:rFonts w:ascii="仿宋_GB2312"/>
                <w:color w:val="auto"/>
                <w:sz w:val="28"/>
                <w:szCs w:val="28"/>
                <w:highlight w:val="none"/>
              </w:rPr>
            </w:pPr>
            <w:r>
              <w:rPr>
                <w:rFonts w:hint="eastAsia" w:ascii="仿宋_GB2312"/>
                <w:color w:val="auto"/>
                <w:sz w:val="28"/>
                <w:szCs w:val="28"/>
                <w:highlight w:val="none"/>
              </w:rPr>
              <w:t>强化督查考核</w:t>
            </w:r>
          </w:p>
        </w:tc>
        <w:tc>
          <w:tcPr>
            <w:tcW w:w="5986" w:type="dxa"/>
            <w:vAlign w:val="center"/>
          </w:tcPr>
          <w:p>
            <w:pPr>
              <w:keepNext w:val="0"/>
              <w:keepLines w:val="0"/>
              <w:pageBreakBefore w:val="0"/>
              <w:widowControl w:val="0"/>
              <w:kinsoku/>
              <w:wordWrap/>
              <w:overflowPunct/>
              <w:topLinePunct w:val="0"/>
              <w:autoSpaceDE w:val="0"/>
              <w:autoSpaceDN w:val="0"/>
              <w:bidi w:val="0"/>
              <w:adjustRightInd w:val="0"/>
              <w:snapToGrid w:val="0"/>
              <w:spacing w:line="400" w:lineRule="exact"/>
              <w:textAlignment w:val="auto"/>
              <w:outlineLvl w:val="9"/>
              <w:rPr>
                <w:color w:val="auto"/>
                <w:sz w:val="28"/>
                <w:szCs w:val="28"/>
                <w:highlight w:val="none"/>
                <w:lang w:eastAsia="zh-CN"/>
              </w:rPr>
            </w:pPr>
            <w:r>
              <w:rPr>
                <w:rFonts w:hint="eastAsia"/>
                <w:i w:val="0"/>
                <w:iCs w:val="0"/>
                <w:color w:val="auto"/>
                <w:spacing w:val="-2"/>
                <w:sz w:val="28"/>
                <w:highlight w:val="none"/>
              </w:rPr>
              <w:t>加强督查检查，将2023年</w:t>
            </w:r>
            <w:r>
              <w:rPr>
                <w:rFonts w:hint="eastAsia"/>
                <w:i w:val="0"/>
                <w:iCs w:val="0"/>
                <w:color w:val="auto"/>
                <w:spacing w:val="-2"/>
                <w:sz w:val="28"/>
                <w:highlight w:val="none"/>
                <w:lang w:val="en-US" w:eastAsia="zh-CN"/>
              </w:rPr>
              <w:t>生态保护</w:t>
            </w:r>
            <w:r>
              <w:rPr>
                <w:rFonts w:hint="eastAsia"/>
                <w:i w:val="0"/>
                <w:iCs w:val="0"/>
                <w:color w:val="auto"/>
                <w:spacing w:val="-2"/>
                <w:sz w:val="28"/>
                <w:highlight w:val="none"/>
              </w:rPr>
              <w:t>各项工作纳入全区党建统领综合考核评价体系，对各镇街（地区）、相关部门进行考核评价。</w:t>
            </w:r>
          </w:p>
        </w:tc>
        <w:tc>
          <w:tcPr>
            <w:tcW w:w="1334" w:type="dxa"/>
            <w:vAlign w:val="center"/>
          </w:tcPr>
          <w:p>
            <w:pPr>
              <w:adjustRightInd w:val="0"/>
              <w:snapToGrid w:val="0"/>
              <w:jc w:val="center"/>
              <w:rPr>
                <w:color w:val="auto"/>
                <w:spacing w:val="-6"/>
                <w:sz w:val="28"/>
                <w:szCs w:val="28"/>
                <w:highlight w:val="none"/>
              </w:rPr>
            </w:pPr>
            <w:r>
              <w:rPr>
                <w:rFonts w:hint="eastAsia"/>
                <w:color w:val="auto"/>
                <w:spacing w:val="-6"/>
                <w:sz w:val="28"/>
                <w:szCs w:val="28"/>
                <w:highlight w:val="none"/>
              </w:rPr>
              <w:t>年底前</w:t>
            </w:r>
          </w:p>
        </w:tc>
        <w:tc>
          <w:tcPr>
            <w:tcW w:w="2040" w:type="dxa"/>
            <w:vAlign w:val="center"/>
          </w:tcPr>
          <w:p>
            <w:pPr>
              <w:spacing w:line="360" w:lineRule="exact"/>
              <w:ind w:left="-110" w:leftChars="-50" w:right="-110" w:rightChars="-50"/>
              <w:jc w:val="center"/>
              <w:rPr>
                <w:color w:val="auto"/>
                <w:sz w:val="28"/>
                <w:szCs w:val="28"/>
                <w:highlight w:val="none"/>
              </w:rPr>
            </w:pPr>
            <w:r>
              <w:rPr>
                <w:rFonts w:hint="eastAsia"/>
                <w:color w:val="auto"/>
                <w:sz w:val="28"/>
                <w:szCs w:val="28"/>
                <w:highlight w:val="none"/>
              </w:rPr>
              <w:t>区生态环境局</w:t>
            </w:r>
          </w:p>
        </w:tc>
        <w:tc>
          <w:tcPr>
            <w:tcW w:w="2346" w:type="dxa"/>
            <w:vAlign w:val="center"/>
          </w:tcPr>
          <w:p>
            <w:pPr>
              <w:spacing w:line="360" w:lineRule="exact"/>
              <w:ind w:left="-110" w:leftChars="-50" w:right="-110" w:rightChars="-50"/>
              <w:jc w:val="center"/>
              <w:rPr>
                <w:color w:val="auto"/>
                <w:sz w:val="28"/>
                <w:szCs w:val="28"/>
                <w:highlight w:val="none"/>
                <w:lang w:eastAsia="zh-CN"/>
              </w:rPr>
            </w:pPr>
            <w:r>
              <w:rPr>
                <w:rFonts w:hint="eastAsia"/>
                <w:color w:val="auto"/>
                <w:sz w:val="28"/>
                <w:szCs w:val="28"/>
                <w:highlight w:val="none"/>
                <w:lang w:eastAsia="zh-CN"/>
              </w:rPr>
              <w:t>区生态环境局</w:t>
            </w:r>
          </w:p>
          <w:p>
            <w:pPr>
              <w:spacing w:line="360" w:lineRule="exact"/>
              <w:ind w:left="-110" w:leftChars="-50" w:right="-110" w:rightChars="-50"/>
              <w:jc w:val="center"/>
              <w:rPr>
                <w:color w:val="auto"/>
                <w:sz w:val="28"/>
                <w:szCs w:val="28"/>
                <w:highlight w:val="none"/>
                <w:lang w:eastAsia="zh-CN"/>
              </w:rPr>
            </w:pPr>
            <w:r>
              <w:rPr>
                <w:rFonts w:hint="eastAsia"/>
                <w:color w:val="auto"/>
                <w:sz w:val="28"/>
                <w:szCs w:val="28"/>
                <w:highlight w:val="none"/>
                <w:lang w:eastAsia="zh-CN"/>
              </w:rPr>
              <w:t>区委办</w:t>
            </w:r>
          </w:p>
          <w:p>
            <w:pPr>
              <w:spacing w:line="360" w:lineRule="exact"/>
              <w:ind w:left="-110" w:leftChars="-50" w:right="-110" w:rightChars="-50"/>
              <w:jc w:val="center"/>
              <w:rPr>
                <w:color w:val="auto"/>
                <w:sz w:val="28"/>
                <w:szCs w:val="28"/>
                <w:highlight w:val="none"/>
                <w:lang w:eastAsia="zh-CN"/>
              </w:rPr>
            </w:pPr>
            <w:r>
              <w:rPr>
                <w:rFonts w:hint="eastAsia"/>
                <w:color w:val="auto"/>
                <w:sz w:val="28"/>
                <w:szCs w:val="28"/>
                <w:highlight w:val="none"/>
                <w:lang w:eastAsia="zh-CN"/>
              </w:rPr>
              <w:t>区政府办</w:t>
            </w:r>
          </w:p>
          <w:p>
            <w:pPr>
              <w:spacing w:line="360" w:lineRule="exact"/>
              <w:ind w:left="-110" w:leftChars="-50" w:right="-110" w:rightChars="-50"/>
              <w:jc w:val="center"/>
              <w:rPr>
                <w:color w:val="auto"/>
                <w:sz w:val="28"/>
                <w:szCs w:val="28"/>
                <w:highlight w:val="none"/>
                <w:lang w:bidi="ar"/>
              </w:rPr>
            </w:pPr>
            <w:r>
              <w:rPr>
                <w:rFonts w:hint="eastAsia"/>
                <w:color w:val="auto"/>
                <w:sz w:val="28"/>
                <w:szCs w:val="28"/>
                <w:highlight w:val="none"/>
              </w:rPr>
              <w:t>区发改委</w:t>
            </w:r>
          </w:p>
        </w:tc>
        <w:tc>
          <w:tcPr>
            <w:tcW w:w="2327" w:type="dxa"/>
            <w:vAlign w:val="center"/>
          </w:tcPr>
          <w:p>
            <w:pPr>
              <w:spacing w:line="360" w:lineRule="exact"/>
              <w:ind w:left="-110" w:leftChars="-50" w:right="-110" w:rightChars="-50"/>
              <w:jc w:val="center"/>
              <w:rPr>
                <w:color w:val="auto"/>
                <w:spacing w:val="-26"/>
                <w:sz w:val="28"/>
                <w:szCs w:val="28"/>
                <w:highlight w:val="none"/>
              </w:rPr>
            </w:pPr>
            <w:r>
              <w:rPr>
                <w:rFonts w:hint="eastAsia"/>
                <w:color w:val="auto"/>
                <w:sz w:val="28"/>
                <w:szCs w:val="28"/>
                <w:highlight w:val="none"/>
              </w:rPr>
              <w:t>——</w:t>
            </w:r>
          </w:p>
        </w:tc>
      </w:tr>
    </w:tbl>
    <w:p>
      <w:pPr>
        <w:pStyle w:val="5"/>
        <w:rPr>
          <w:rFonts w:hint="eastAsia" w:eastAsia="仿宋_GB2312"/>
          <w:color w:val="auto"/>
          <w:sz w:val="32"/>
          <w:szCs w:val="32"/>
          <w:highlight w:val="none"/>
          <w:lang w:val="en-US" w:eastAsia="zh-CN"/>
        </w:rPr>
      </w:pPr>
    </w:p>
    <w:p>
      <w:pPr>
        <w:rPr>
          <w:rFonts w:hint="eastAsia"/>
          <w:color w:val="auto"/>
          <w:highlight w:val="none"/>
          <w:lang w:val="en-US" w:eastAsia="zh-CN"/>
        </w:rPr>
      </w:pPr>
    </w:p>
    <w:p>
      <w:pPr>
        <w:rPr>
          <w:rFonts w:hint="eastAsia"/>
          <w:color w:val="auto"/>
          <w:highlight w:val="none"/>
          <w:lang w:val="en-US" w:eastAsia="zh-CN"/>
        </w:rPr>
      </w:pPr>
    </w:p>
    <w:sectPr>
      <w:footerReference r:id="rId4" w:type="default"/>
      <w:pgSz w:w="16838" w:h="11906" w:orient="landscape"/>
      <w:pgMar w:top="1587" w:right="880" w:bottom="1474" w:left="778"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634365"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3436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49.95pt;mso-position-horizontal:outside;mso-position-horizontal-relative:margin;z-index:251667456;mso-width-relative:page;mso-height-relative:page;" filled="f" stroked="f" coordsize="21600,21600" o:gfxdata="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fZCMNMAAAAEAQAADwAA&#10;AAAAAAABACAAAAAiAAAAZHJzL2Rvd25yZXYueG1sUEsBAhQAFAAAAAgAh07iQGwqH7QbAgAAFAQA&#10;AA4AAAAAAAAAAQAgAAAAIgEAAGRycy9lMm9Eb2MueG1sUEsFBgAAAAAGAAYAWQEAAK8FAAAAAA==&#10;">
              <v:fill on="f" focussize="0,0"/>
              <v:stroke on="f" weight="0.5pt"/>
              <v:imagedata o:title=""/>
              <o:lock v:ext="edit" aspectratio="f"/>
              <v:textbox inset="0mm,0mm,0mm,0mm" style="mso-fit-shape-to-text:t;">
                <w:txbxContent>
                  <w:p>
                    <w:pPr>
                      <w:pStyle w:val="7"/>
                      <w:ind w:firstLine="280" w:firstLineChars="1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7"/>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043CCE"/>
    <w:rsid w:val="002460B7"/>
    <w:rsid w:val="002F0548"/>
    <w:rsid w:val="0040708C"/>
    <w:rsid w:val="004101FF"/>
    <w:rsid w:val="012F4ED9"/>
    <w:rsid w:val="019261AD"/>
    <w:rsid w:val="01E2694C"/>
    <w:rsid w:val="02045CC4"/>
    <w:rsid w:val="023F7C64"/>
    <w:rsid w:val="02C96B3F"/>
    <w:rsid w:val="02E97846"/>
    <w:rsid w:val="02F30AB6"/>
    <w:rsid w:val="03427C90"/>
    <w:rsid w:val="040155AC"/>
    <w:rsid w:val="048E0A73"/>
    <w:rsid w:val="04C534DA"/>
    <w:rsid w:val="04E82079"/>
    <w:rsid w:val="05341D8A"/>
    <w:rsid w:val="053E497E"/>
    <w:rsid w:val="054107A5"/>
    <w:rsid w:val="057F0EFB"/>
    <w:rsid w:val="059E56FC"/>
    <w:rsid w:val="05EE4C35"/>
    <w:rsid w:val="06045DF8"/>
    <w:rsid w:val="065A6329"/>
    <w:rsid w:val="07106023"/>
    <w:rsid w:val="071D0D4B"/>
    <w:rsid w:val="07931948"/>
    <w:rsid w:val="07970C9D"/>
    <w:rsid w:val="07D045EA"/>
    <w:rsid w:val="07DF3249"/>
    <w:rsid w:val="080C4E6D"/>
    <w:rsid w:val="09967298"/>
    <w:rsid w:val="0A45295F"/>
    <w:rsid w:val="0A692167"/>
    <w:rsid w:val="0AB90AAD"/>
    <w:rsid w:val="0ADE2538"/>
    <w:rsid w:val="0B0F11BF"/>
    <w:rsid w:val="0BE05B6A"/>
    <w:rsid w:val="0BE117A1"/>
    <w:rsid w:val="0BF44153"/>
    <w:rsid w:val="0C4D722C"/>
    <w:rsid w:val="0C7D6B06"/>
    <w:rsid w:val="0C992AF4"/>
    <w:rsid w:val="0CFF6675"/>
    <w:rsid w:val="0D4E276B"/>
    <w:rsid w:val="0D661533"/>
    <w:rsid w:val="0DAC6A5E"/>
    <w:rsid w:val="0E4767DF"/>
    <w:rsid w:val="0EA85A27"/>
    <w:rsid w:val="0EF75CC9"/>
    <w:rsid w:val="0FCA487F"/>
    <w:rsid w:val="0FF971C0"/>
    <w:rsid w:val="1001054F"/>
    <w:rsid w:val="10072BBA"/>
    <w:rsid w:val="10206AA6"/>
    <w:rsid w:val="102217DE"/>
    <w:rsid w:val="1029474B"/>
    <w:rsid w:val="10B24832"/>
    <w:rsid w:val="10D84F9C"/>
    <w:rsid w:val="11166D51"/>
    <w:rsid w:val="115869B1"/>
    <w:rsid w:val="11D85A55"/>
    <w:rsid w:val="121E0079"/>
    <w:rsid w:val="122F48A4"/>
    <w:rsid w:val="13160F43"/>
    <w:rsid w:val="136C798B"/>
    <w:rsid w:val="13E71272"/>
    <w:rsid w:val="149D0C30"/>
    <w:rsid w:val="1535736D"/>
    <w:rsid w:val="15520103"/>
    <w:rsid w:val="15B13C02"/>
    <w:rsid w:val="1601042C"/>
    <w:rsid w:val="161A43FD"/>
    <w:rsid w:val="16501117"/>
    <w:rsid w:val="16807B2E"/>
    <w:rsid w:val="175343EB"/>
    <w:rsid w:val="178E235F"/>
    <w:rsid w:val="17974A30"/>
    <w:rsid w:val="17982DB6"/>
    <w:rsid w:val="18205E2D"/>
    <w:rsid w:val="18254144"/>
    <w:rsid w:val="18295AB2"/>
    <w:rsid w:val="182B1898"/>
    <w:rsid w:val="18623F5D"/>
    <w:rsid w:val="188B2B0B"/>
    <w:rsid w:val="188D7F87"/>
    <w:rsid w:val="18975D02"/>
    <w:rsid w:val="18B62C04"/>
    <w:rsid w:val="18BA1340"/>
    <w:rsid w:val="193D78B8"/>
    <w:rsid w:val="195429C3"/>
    <w:rsid w:val="196B4F61"/>
    <w:rsid w:val="19A910BA"/>
    <w:rsid w:val="1A103CF9"/>
    <w:rsid w:val="1A5618D7"/>
    <w:rsid w:val="1AF1641B"/>
    <w:rsid w:val="1B5E4B4A"/>
    <w:rsid w:val="1BFE0D02"/>
    <w:rsid w:val="1C074908"/>
    <w:rsid w:val="1C0A321C"/>
    <w:rsid w:val="1C1D667F"/>
    <w:rsid w:val="1CAA50F1"/>
    <w:rsid w:val="1D051281"/>
    <w:rsid w:val="1D542248"/>
    <w:rsid w:val="1D694121"/>
    <w:rsid w:val="1D747F8F"/>
    <w:rsid w:val="1D7E1E2F"/>
    <w:rsid w:val="1F3C0694"/>
    <w:rsid w:val="1F3F3A55"/>
    <w:rsid w:val="1F711228"/>
    <w:rsid w:val="1FE131A0"/>
    <w:rsid w:val="20195507"/>
    <w:rsid w:val="202356F7"/>
    <w:rsid w:val="20861825"/>
    <w:rsid w:val="20CD40CC"/>
    <w:rsid w:val="2134351D"/>
    <w:rsid w:val="2178350C"/>
    <w:rsid w:val="222D177B"/>
    <w:rsid w:val="222D1E77"/>
    <w:rsid w:val="222E3CAB"/>
    <w:rsid w:val="223949D6"/>
    <w:rsid w:val="224154D8"/>
    <w:rsid w:val="2247172B"/>
    <w:rsid w:val="22DD5043"/>
    <w:rsid w:val="2310052A"/>
    <w:rsid w:val="235F432E"/>
    <w:rsid w:val="24285E8A"/>
    <w:rsid w:val="244A3836"/>
    <w:rsid w:val="246551B3"/>
    <w:rsid w:val="248F7231"/>
    <w:rsid w:val="24916DDF"/>
    <w:rsid w:val="24BA7EA7"/>
    <w:rsid w:val="24DC2506"/>
    <w:rsid w:val="25044743"/>
    <w:rsid w:val="261101CA"/>
    <w:rsid w:val="26524A32"/>
    <w:rsid w:val="26AD4339"/>
    <w:rsid w:val="26B40561"/>
    <w:rsid w:val="273D4883"/>
    <w:rsid w:val="27FD2549"/>
    <w:rsid w:val="283B3B15"/>
    <w:rsid w:val="28973DD2"/>
    <w:rsid w:val="289B167C"/>
    <w:rsid w:val="28AC1CAF"/>
    <w:rsid w:val="28BB330A"/>
    <w:rsid w:val="28DE5C41"/>
    <w:rsid w:val="2960612A"/>
    <w:rsid w:val="29CD2ACF"/>
    <w:rsid w:val="2A200D11"/>
    <w:rsid w:val="2A222F53"/>
    <w:rsid w:val="2A4A37DD"/>
    <w:rsid w:val="2A743498"/>
    <w:rsid w:val="2AB559DE"/>
    <w:rsid w:val="2AB60FBF"/>
    <w:rsid w:val="2B096AEF"/>
    <w:rsid w:val="2B570410"/>
    <w:rsid w:val="2B83162C"/>
    <w:rsid w:val="2BAA4C71"/>
    <w:rsid w:val="2BBC749C"/>
    <w:rsid w:val="2BF272ED"/>
    <w:rsid w:val="2C055E1D"/>
    <w:rsid w:val="2C3D2CB2"/>
    <w:rsid w:val="2CFD4A31"/>
    <w:rsid w:val="2D3A6B08"/>
    <w:rsid w:val="2D3C05CD"/>
    <w:rsid w:val="2D5B7D80"/>
    <w:rsid w:val="2D6B5DB1"/>
    <w:rsid w:val="2DAC2E77"/>
    <w:rsid w:val="2DBF33B2"/>
    <w:rsid w:val="2DE10828"/>
    <w:rsid w:val="2E275430"/>
    <w:rsid w:val="2E4B5721"/>
    <w:rsid w:val="2EC42A04"/>
    <w:rsid w:val="2F380AB3"/>
    <w:rsid w:val="2F391811"/>
    <w:rsid w:val="2FEE1D69"/>
    <w:rsid w:val="2FF40310"/>
    <w:rsid w:val="3026558A"/>
    <w:rsid w:val="30B428A9"/>
    <w:rsid w:val="30C672DC"/>
    <w:rsid w:val="30D71A20"/>
    <w:rsid w:val="311F0D23"/>
    <w:rsid w:val="317C0308"/>
    <w:rsid w:val="31B07D71"/>
    <w:rsid w:val="32E57A3A"/>
    <w:rsid w:val="32F31030"/>
    <w:rsid w:val="333E2423"/>
    <w:rsid w:val="338A0C8B"/>
    <w:rsid w:val="33BB22A7"/>
    <w:rsid w:val="33D120AF"/>
    <w:rsid w:val="33D74664"/>
    <w:rsid w:val="347D0A73"/>
    <w:rsid w:val="34C42899"/>
    <w:rsid w:val="34CB36EE"/>
    <w:rsid w:val="35206C5A"/>
    <w:rsid w:val="35542F73"/>
    <w:rsid w:val="35734D7B"/>
    <w:rsid w:val="35F61D95"/>
    <w:rsid w:val="368D5711"/>
    <w:rsid w:val="36D2420F"/>
    <w:rsid w:val="36F83419"/>
    <w:rsid w:val="370B4293"/>
    <w:rsid w:val="37D37CB4"/>
    <w:rsid w:val="37E45228"/>
    <w:rsid w:val="38177364"/>
    <w:rsid w:val="38414C7F"/>
    <w:rsid w:val="389A258D"/>
    <w:rsid w:val="38E167CA"/>
    <w:rsid w:val="396B5715"/>
    <w:rsid w:val="3A484B1E"/>
    <w:rsid w:val="3A737AAB"/>
    <w:rsid w:val="3AF30F70"/>
    <w:rsid w:val="3B125459"/>
    <w:rsid w:val="3B4C364F"/>
    <w:rsid w:val="3BCE7031"/>
    <w:rsid w:val="3BD04469"/>
    <w:rsid w:val="3BD92B31"/>
    <w:rsid w:val="3C5E71A5"/>
    <w:rsid w:val="3C703E58"/>
    <w:rsid w:val="3C7D45D0"/>
    <w:rsid w:val="3CFE416F"/>
    <w:rsid w:val="3D252989"/>
    <w:rsid w:val="3D836178"/>
    <w:rsid w:val="3DB6524D"/>
    <w:rsid w:val="3DDE0246"/>
    <w:rsid w:val="3E1935DD"/>
    <w:rsid w:val="3E322DF9"/>
    <w:rsid w:val="3E5B20F8"/>
    <w:rsid w:val="3E740024"/>
    <w:rsid w:val="3E946A56"/>
    <w:rsid w:val="3EA30434"/>
    <w:rsid w:val="3EA85A70"/>
    <w:rsid w:val="3ECE5ABE"/>
    <w:rsid w:val="3F043CCE"/>
    <w:rsid w:val="3F5F0162"/>
    <w:rsid w:val="3FF64BBD"/>
    <w:rsid w:val="401C0DE8"/>
    <w:rsid w:val="403B6E6A"/>
    <w:rsid w:val="40753D5D"/>
    <w:rsid w:val="40A27532"/>
    <w:rsid w:val="40CB17C9"/>
    <w:rsid w:val="41004E33"/>
    <w:rsid w:val="41507B42"/>
    <w:rsid w:val="41A712F9"/>
    <w:rsid w:val="423E1AED"/>
    <w:rsid w:val="426F4A48"/>
    <w:rsid w:val="435477AC"/>
    <w:rsid w:val="44092172"/>
    <w:rsid w:val="441001B9"/>
    <w:rsid w:val="441A2858"/>
    <w:rsid w:val="449A762A"/>
    <w:rsid w:val="44DD12C8"/>
    <w:rsid w:val="456C6CCD"/>
    <w:rsid w:val="45B46B9B"/>
    <w:rsid w:val="46003EE1"/>
    <w:rsid w:val="46856F29"/>
    <w:rsid w:val="468F6D1E"/>
    <w:rsid w:val="46F12703"/>
    <w:rsid w:val="47197B81"/>
    <w:rsid w:val="47356337"/>
    <w:rsid w:val="47D91EC2"/>
    <w:rsid w:val="480C1B92"/>
    <w:rsid w:val="48194612"/>
    <w:rsid w:val="48F70E01"/>
    <w:rsid w:val="4927790F"/>
    <w:rsid w:val="49371CBF"/>
    <w:rsid w:val="49F4796A"/>
    <w:rsid w:val="49FC4D80"/>
    <w:rsid w:val="4A1A4A5B"/>
    <w:rsid w:val="4A850EA1"/>
    <w:rsid w:val="4A8B0C23"/>
    <w:rsid w:val="4ACB1E21"/>
    <w:rsid w:val="4AF113F4"/>
    <w:rsid w:val="4B4148EF"/>
    <w:rsid w:val="4BE21F02"/>
    <w:rsid w:val="4C0C6309"/>
    <w:rsid w:val="4C28190B"/>
    <w:rsid w:val="4C2D2020"/>
    <w:rsid w:val="4C3905AF"/>
    <w:rsid w:val="4C5D6EB2"/>
    <w:rsid w:val="4C613EED"/>
    <w:rsid w:val="4CE245B0"/>
    <w:rsid w:val="4CE26F20"/>
    <w:rsid w:val="4D345B28"/>
    <w:rsid w:val="4D57484D"/>
    <w:rsid w:val="4D714C0F"/>
    <w:rsid w:val="4D7E6DC0"/>
    <w:rsid w:val="4D8723FB"/>
    <w:rsid w:val="4DDF016E"/>
    <w:rsid w:val="4E477AB0"/>
    <w:rsid w:val="4E5F5192"/>
    <w:rsid w:val="4EB71A30"/>
    <w:rsid w:val="4F174EFC"/>
    <w:rsid w:val="4F246B12"/>
    <w:rsid w:val="4F3F6BB6"/>
    <w:rsid w:val="4F4E47DF"/>
    <w:rsid w:val="4FF54BD5"/>
    <w:rsid w:val="50711897"/>
    <w:rsid w:val="50764E76"/>
    <w:rsid w:val="50841F14"/>
    <w:rsid w:val="50925CDB"/>
    <w:rsid w:val="50945132"/>
    <w:rsid w:val="50B7353B"/>
    <w:rsid w:val="50DB7F36"/>
    <w:rsid w:val="516A5D40"/>
    <w:rsid w:val="519270CE"/>
    <w:rsid w:val="51D05ACB"/>
    <w:rsid w:val="534045C6"/>
    <w:rsid w:val="539E4049"/>
    <w:rsid w:val="53EC4D27"/>
    <w:rsid w:val="53FB0021"/>
    <w:rsid w:val="541F4E9B"/>
    <w:rsid w:val="54406CB6"/>
    <w:rsid w:val="5442710B"/>
    <w:rsid w:val="54801801"/>
    <w:rsid w:val="54C87E13"/>
    <w:rsid w:val="54E24F69"/>
    <w:rsid w:val="55897037"/>
    <w:rsid w:val="55A6788C"/>
    <w:rsid w:val="55E337F8"/>
    <w:rsid w:val="55E721B1"/>
    <w:rsid w:val="564E47D6"/>
    <w:rsid w:val="56A56795"/>
    <w:rsid w:val="57AD50E4"/>
    <w:rsid w:val="57DC42DE"/>
    <w:rsid w:val="58492451"/>
    <w:rsid w:val="58D37DEF"/>
    <w:rsid w:val="58DB74B7"/>
    <w:rsid w:val="58FA2D6A"/>
    <w:rsid w:val="59014EA1"/>
    <w:rsid w:val="594E15CD"/>
    <w:rsid w:val="59555778"/>
    <w:rsid w:val="59677BD4"/>
    <w:rsid w:val="599C3B06"/>
    <w:rsid w:val="5A344B54"/>
    <w:rsid w:val="5A3C364B"/>
    <w:rsid w:val="5A767E37"/>
    <w:rsid w:val="5ABF7D5A"/>
    <w:rsid w:val="5AEF4324"/>
    <w:rsid w:val="5AF4759E"/>
    <w:rsid w:val="5B1F2826"/>
    <w:rsid w:val="5BB8324D"/>
    <w:rsid w:val="5BE52146"/>
    <w:rsid w:val="5C365677"/>
    <w:rsid w:val="5C4B7D93"/>
    <w:rsid w:val="5C79315E"/>
    <w:rsid w:val="5C8E4C12"/>
    <w:rsid w:val="5CAF4E6A"/>
    <w:rsid w:val="5CD72343"/>
    <w:rsid w:val="5CF9149A"/>
    <w:rsid w:val="5D045646"/>
    <w:rsid w:val="5D327201"/>
    <w:rsid w:val="5D861042"/>
    <w:rsid w:val="5DDD3A8B"/>
    <w:rsid w:val="5E5800C7"/>
    <w:rsid w:val="5ED812D5"/>
    <w:rsid w:val="5F016987"/>
    <w:rsid w:val="5F482B0B"/>
    <w:rsid w:val="5FE41DD1"/>
    <w:rsid w:val="5FFF0B23"/>
    <w:rsid w:val="607340A2"/>
    <w:rsid w:val="607D6250"/>
    <w:rsid w:val="608768D9"/>
    <w:rsid w:val="609D103A"/>
    <w:rsid w:val="60CE73BB"/>
    <w:rsid w:val="60E63EBF"/>
    <w:rsid w:val="60F25062"/>
    <w:rsid w:val="60F479CE"/>
    <w:rsid w:val="613F4D3F"/>
    <w:rsid w:val="61A33DB2"/>
    <w:rsid w:val="61B062A8"/>
    <w:rsid w:val="61ED0D65"/>
    <w:rsid w:val="62157F52"/>
    <w:rsid w:val="62A81C75"/>
    <w:rsid w:val="62C554B1"/>
    <w:rsid w:val="62F02F18"/>
    <w:rsid w:val="63676EB7"/>
    <w:rsid w:val="63A94E72"/>
    <w:rsid w:val="63FD4D63"/>
    <w:rsid w:val="64245EB6"/>
    <w:rsid w:val="646C0D6F"/>
    <w:rsid w:val="64A64C6C"/>
    <w:rsid w:val="64E017FF"/>
    <w:rsid w:val="64ED7494"/>
    <w:rsid w:val="65627CAA"/>
    <w:rsid w:val="65FC5BDC"/>
    <w:rsid w:val="6624132C"/>
    <w:rsid w:val="66BA620F"/>
    <w:rsid w:val="66CE58BC"/>
    <w:rsid w:val="67047632"/>
    <w:rsid w:val="677C6196"/>
    <w:rsid w:val="682F324E"/>
    <w:rsid w:val="683968A7"/>
    <w:rsid w:val="683E0146"/>
    <w:rsid w:val="687236C3"/>
    <w:rsid w:val="68C95553"/>
    <w:rsid w:val="68C96E53"/>
    <w:rsid w:val="68D330CB"/>
    <w:rsid w:val="6984058E"/>
    <w:rsid w:val="6A2E69F3"/>
    <w:rsid w:val="6A2E7199"/>
    <w:rsid w:val="6B27271C"/>
    <w:rsid w:val="6B361AB3"/>
    <w:rsid w:val="6BEE251F"/>
    <w:rsid w:val="6C094AD7"/>
    <w:rsid w:val="6C20420C"/>
    <w:rsid w:val="6C7D60BF"/>
    <w:rsid w:val="6C83418F"/>
    <w:rsid w:val="6C926312"/>
    <w:rsid w:val="6D254893"/>
    <w:rsid w:val="6D574A88"/>
    <w:rsid w:val="6DA907EB"/>
    <w:rsid w:val="6DAF7764"/>
    <w:rsid w:val="6DD61616"/>
    <w:rsid w:val="6E213703"/>
    <w:rsid w:val="6E284A19"/>
    <w:rsid w:val="6E472A00"/>
    <w:rsid w:val="6ED63576"/>
    <w:rsid w:val="6F4317D0"/>
    <w:rsid w:val="6F7721D4"/>
    <w:rsid w:val="6FB13D6B"/>
    <w:rsid w:val="70612C57"/>
    <w:rsid w:val="70A81CEE"/>
    <w:rsid w:val="70AA6321"/>
    <w:rsid w:val="70B21F99"/>
    <w:rsid w:val="70C22BE9"/>
    <w:rsid w:val="710E3231"/>
    <w:rsid w:val="71370BA2"/>
    <w:rsid w:val="713A47B2"/>
    <w:rsid w:val="71463DFA"/>
    <w:rsid w:val="716A5ABD"/>
    <w:rsid w:val="71C462E7"/>
    <w:rsid w:val="72127E0E"/>
    <w:rsid w:val="72376FBE"/>
    <w:rsid w:val="72672712"/>
    <w:rsid w:val="728167B9"/>
    <w:rsid w:val="72E43E84"/>
    <w:rsid w:val="72FF7C11"/>
    <w:rsid w:val="730A134E"/>
    <w:rsid w:val="731F7978"/>
    <w:rsid w:val="73286C74"/>
    <w:rsid w:val="733233DD"/>
    <w:rsid w:val="734A006A"/>
    <w:rsid w:val="738B5F54"/>
    <w:rsid w:val="73E5738D"/>
    <w:rsid w:val="73EC268E"/>
    <w:rsid w:val="73FD251B"/>
    <w:rsid w:val="743862F3"/>
    <w:rsid w:val="745C691F"/>
    <w:rsid w:val="746D7301"/>
    <w:rsid w:val="74C85961"/>
    <w:rsid w:val="74CC07B6"/>
    <w:rsid w:val="74D715E6"/>
    <w:rsid w:val="7508653D"/>
    <w:rsid w:val="75A673C0"/>
    <w:rsid w:val="75BE13DE"/>
    <w:rsid w:val="75BE72BE"/>
    <w:rsid w:val="75DC1613"/>
    <w:rsid w:val="76094DA5"/>
    <w:rsid w:val="76384497"/>
    <w:rsid w:val="76C17359"/>
    <w:rsid w:val="76D55DE8"/>
    <w:rsid w:val="76DF63D3"/>
    <w:rsid w:val="76F344FF"/>
    <w:rsid w:val="78E069F4"/>
    <w:rsid w:val="792D13F7"/>
    <w:rsid w:val="7931395C"/>
    <w:rsid w:val="794331FD"/>
    <w:rsid w:val="79BE32E2"/>
    <w:rsid w:val="79E555A2"/>
    <w:rsid w:val="7A25683D"/>
    <w:rsid w:val="7A260A3E"/>
    <w:rsid w:val="7A6B3AA3"/>
    <w:rsid w:val="7A6D5DAD"/>
    <w:rsid w:val="7A997DBF"/>
    <w:rsid w:val="7AB27A22"/>
    <w:rsid w:val="7AE0118B"/>
    <w:rsid w:val="7AF37612"/>
    <w:rsid w:val="7B31506F"/>
    <w:rsid w:val="7B5FBF73"/>
    <w:rsid w:val="7B696334"/>
    <w:rsid w:val="7B6A54D9"/>
    <w:rsid w:val="7BAB154C"/>
    <w:rsid w:val="7BB31DB3"/>
    <w:rsid w:val="7BF94EFC"/>
    <w:rsid w:val="7BFC71F9"/>
    <w:rsid w:val="7C0A10BA"/>
    <w:rsid w:val="7C3D454A"/>
    <w:rsid w:val="7C455E2A"/>
    <w:rsid w:val="7CAF6E82"/>
    <w:rsid w:val="7D1B56A1"/>
    <w:rsid w:val="7D2142A4"/>
    <w:rsid w:val="7D336B03"/>
    <w:rsid w:val="7D933393"/>
    <w:rsid w:val="7DD67ED4"/>
    <w:rsid w:val="7DF51CCF"/>
    <w:rsid w:val="7E1B3CC3"/>
    <w:rsid w:val="7E2030A7"/>
    <w:rsid w:val="7E584AF1"/>
    <w:rsid w:val="7E781057"/>
    <w:rsid w:val="7E911CAA"/>
    <w:rsid w:val="7EB58638"/>
    <w:rsid w:val="7ECE2D21"/>
    <w:rsid w:val="7EEC15BE"/>
    <w:rsid w:val="7EF1398B"/>
    <w:rsid w:val="7FB85079"/>
    <w:rsid w:val="7FB92B73"/>
    <w:rsid w:val="7FBE00D9"/>
    <w:rsid w:val="7FE71417"/>
    <w:rsid w:val="9B5F234D"/>
    <w:rsid w:val="9EFF2D31"/>
    <w:rsid w:val="B7D75B91"/>
    <w:rsid w:val="BBCFB0BE"/>
    <w:rsid w:val="BBFD31D5"/>
    <w:rsid w:val="BDFFC11F"/>
    <w:rsid w:val="BFE5F45A"/>
    <w:rsid w:val="D7FFA4A3"/>
    <w:rsid w:val="D8FF562D"/>
    <w:rsid w:val="F1EB019E"/>
    <w:rsid w:val="F78FD1E8"/>
    <w:rsid w:val="F97263F7"/>
    <w:rsid w:val="FBEFB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qFormat="1" w:unhideWhenUsed="0" w:uiPriority="9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en-US" w:eastAsia="en-US" w:bidi="ar-SA"/>
    </w:rPr>
  </w:style>
  <w:style w:type="paragraph" w:styleId="3">
    <w:name w:val="heading 1"/>
    <w:basedOn w:val="1"/>
    <w:next w:val="1"/>
    <w:qFormat/>
    <w:uiPriority w:val="1"/>
    <w:pPr>
      <w:ind w:left="1168"/>
      <w:outlineLvl w:val="1"/>
    </w:pPr>
    <w:rPr>
      <w:rFonts w:ascii="方正小标宋简体" w:hAnsi="方正小标宋简体" w:eastAsia="方正小标宋简体" w:cs="方正小标宋简体"/>
      <w:i/>
      <w:sz w:val="44"/>
      <w:szCs w:val="44"/>
    </w:rPr>
  </w:style>
  <w:style w:type="character" w:default="1" w:styleId="13">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32"/>
      <w:szCs w:val="32"/>
    </w:rPr>
  </w:style>
  <w:style w:type="paragraph" w:styleId="4">
    <w:name w:val="Body Text Indent"/>
    <w:basedOn w:val="1"/>
    <w:qFormat/>
    <w:uiPriority w:val="0"/>
    <w:pPr>
      <w:spacing w:after="120"/>
      <w:ind w:left="420" w:leftChars="200"/>
    </w:pPr>
  </w:style>
  <w:style w:type="paragraph" w:styleId="5">
    <w:name w:val="Plain Text"/>
    <w:basedOn w:val="1"/>
    <w:next w:val="6"/>
    <w:unhideWhenUsed/>
    <w:qFormat/>
    <w:uiPriority w:val="99"/>
    <w:rPr>
      <w:rFonts w:ascii="宋体" w:hAnsi="Courier New"/>
      <w:szCs w:val="21"/>
    </w:rPr>
  </w:style>
  <w:style w:type="paragraph" w:styleId="6">
    <w:name w:val="toc 2"/>
    <w:basedOn w:val="1"/>
    <w:next w:val="1"/>
    <w:qFormat/>
    <w:uiPriority w:val="99"/>
    <w:pPr>
      <w:ind w:left="420" w:leftChars="200"/>
    </w:pPr>
    <w:rPr>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Body Text First Indent 2"/>
    <w:basedOn w:val="4"/>
    <w:qFormat/>
    <w:uiPriority w:val="0"/>
    <w:pPr>
      <w:spacing w:after="0"/>
      <w:ind w:left="0" w:leftChars="0" w:firstLine="420" w:firstLineChars="200"/>
    </w:pPr>
    <w:rPr>
      <w:rFonts w:eastAsia="仿宋_GB2312"/>
      <w:sz w:val="32"/>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index 9"/>
    <w:basedOn w:val="1"/>
    <w:next w:val="1"/>
    <w:qFormat/>
    <w:uiPriority w:val="0"/>
    <w:pPr>
      <w:ind w:left="1600" w:leftChars="1600"/>
    </w:pPr>
  </w:style>
  <w:style w:type="paragraph" w:styleId="11">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5">
    <w:name w:val="List Paragraph"/>
    <w:basedOn w:val="1"/>
    <w:qFormat/>
    <w:uiPriority w:val="1"/>
    <w:pPr>
      <w:spacing w:before="130"/>
      <w:ind w:left="2108" w:hanging="322"/>
    </w:pPr>
    <w:rPr>
      <w:rFonts w:ascii="仿宋_GB2312" w:hAnsi="仿宋_GB2312" w:eastAsia="仿宋_GB2312" w:cs="仿宋_GB2312"/>
    </w:rPr>
  </w:style>
  <w:style w:type="paragraph" w:customStyle="1" w:styleId="16">
    <w:name w:val="Table Paragraph"/>
    <w:basedOn w:val="1"/>
    <w:qFormat/>
    <w:uiPriority w:val="1"/>
    <w:rPr>
      <w:rFonts w:ascii="仿宋_GB2312" w:hAnsi="仿宋_GB2312" w:eastAsia="仿宋_GB2312" w:cs="仿宋_GB2312"/>
    </w:rPr>
  </w:style>
  <w:style w:type="character" w:customStyle="1" w:styleId="17">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32506</Words>
  <Characters>33014</Characters>
  <Lines>0</Lines>
  <Paragraphs>0</Paragraphs>
  <TotalTime>20</TotalTime>
  <ScaleCrop>false</ScaleCrop>
  <LinksUpToDate>false</LinksUpToDate>
  <CharactersWithSpaces>33224</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2023-01-05T13:55:00Z</dcterms:created>
  <dc:creator>罗铁永</dc:creator>
  <cp:lastModifiedBy>罗铁永</cp:lastModifiedBy>
  <cp:lastPrinted>2023-03-14T12:23:00Z</cp:lastPrinted>
  <dcterms:modified xsi:type="dcterms:W3CDTF">2023-11-07T07:48:53Z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