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仿宋_GB2312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住所（经营场所）登记表</w:t>
      </w:r>
    </w:p>
    <w:p>
      <w:pPr>
        <w:spacing w:line="400" w:lineRule="exact"/>
        <w:jc w:val="center"/>
        <w:rPr>
          <w:rFonts w:hint="eastAsia" w:ascii="仿宋_GB2312" w:hAnsi="仿宋_GB2312" w:eastAsia="仿宋_GB2312"/>
          <w:b/>
          <w:sz w:val="30"/>
          <w:szCs w:val="30"/>
          <w:lang w:eastAsia="zh-CN"/>
        </w:rPr>
      </w:pPr>
    </w:p>
    <w:tbl>
      <w:tblPr>
        <w:tblStyle w:val="3"/>
        <w:tblW w:w="8938" w:type="dxa"/>
        <w:tblInd w:w="-58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3888"/>
        <w:gridCol w:w="5050"/>
      </w:tblGrid>
      <w:tr>
        <w:tblPrEx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c>
          <w:tcPr>
            <w:tcW w:w="3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企业（公司）、个体工商户   名称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c>
          <w:tcPr>
            <w:tcW w:w="388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住所（经营场所）</w:t>
            </w:r>
          </w:p>
        </w:tc>
        <w:tc>
          <w:tcPr>
            <w:tcW w:w="5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6553" w:hRule="atLeast"/>
        </w:trPr>
        <w:tc>
          <w:tcPr>
            <w:tcW w:w="89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《中华人民共和国物权法》第七十七条规定：“业主不得违反法律、法规以及管理规约，将住宅改变为经营性用房。业主将住宅改变为经营性用房的，除遵守法律、法规以及管理规约外，应当经有利害关系的业主同意”。</w:t>
            </w: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本企业（公司）、个体工商户将住宅改变为经营性用房，作出如下承诺：</w:t>
            </w: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一、知悉《中华人民共和国物权法》的相关规定；</w:t>
            </w: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二、遵守有关房屋管理的法律、法规以及管理规约的规定；</w:t>
            </w: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三、已经有利害关系的业主同意；</w:t>
            </w: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i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四、</w:t>
            </w:r>
            <w:r>
              <w:rPr>
                <w:rFonts w:ascii="仿宋_GB2312" w:hAnsi="仿宋_GB2312" w:eastAsia="仿宋_GB2312"/>
                <w:iCs/>
                <w:sz w:val="28"/>
                <w:szCs w:val="28"/>
              </w:rPr>
              <w:t>遇有拆迁服从配合，不索取拆迁补偿费用。</w:t>
            </w: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iCs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iCs/>
                <w:sz w:val="28"/>
                <w:szCs w:val="28"/>
              </w:rPr>
            </w:pPr>
          </w:p>
          <w:p>
            <w:pPr>
              <w:spacing w:line="400" w:lineRule="exact"/>
              <w:ind w:firstLine="600"/>
              <w:rPr>
                <w:rFonts w:ascii="仿宋_GB2312" w:hAnsi="仿宋_GB2312" w:eastAsia="仿宋_GB2312"/>
                <w:i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iCs/>
                <w:sz w:val="28"/>
                <w:szCs w:val="28"/>
              </w:rPr>
              <w:t>申请人：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i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iCs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iCs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line="400" w:lineRule="exact"/>
        <w:rPr>
          <w:rFonts w:ascii="仿宋_GB2312" w:hAnsi="仿宋_GB2312" w:eastAsia="仿宋_GB2312"/>
          <w:sz w:val="28"/>
          <w:szCs w:val="28"/>
        </w:rPr>
      </w:pPr>
      <w:r>
        <w:rPr>
          <w:rFonts w:ascii="仿宋_GB2312" w:hAnsi="仿宋_GB2312" w:eastAsia="仿宋_GB2312"/>
          <w:sz w:val="28"/>
          <w:szCs w:val="28"/>
        </w:rPr>
        <w:t>注：1.企业（公司）设立登记时，申请人为股东（出资人）。股东是法人的，由股东盖章，股东是自然人的，由自然人签字；个体工商户开业登记时，由自然人签字。</w:t>
      </w:r>
    </w:p>
    <w:p>
      <w:pPr>
        <w:spacing w:line="400" w:lineRule="exact"/>
        <w:ind w:firstLine="560" w:firstLineChars="2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28"/>
          <w:szCs w:val="28"/>
        </w:rPr>
        <w:t>2.企业（公司）变更登记时，由企业（公司）盖章，个体工商户变更登记时，由个体工商户盖章或签字。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137DB"/>
    <w:rsid w:val="244C0841"/>
    <w:rsid w:val="28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1"/>
      <w:sz w:val="21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2022-04-22T03:33:00Z</dcterms:created>
  <dc:creator>AAA宸宸妈妈韩国代购</dc:creator>
  <cp:lastModifiedBy>AAA宸宸妈妈韩国代购</cp:lastModifiedBy>
  <dcterms:modified xsi:type="dcterms:W3CDTF">2022-04-22T03:34:40Z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