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61" w:firstLineChars="10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shd w:val="clear" w:color="auto" w:fill="auto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shd w:val="clear" w:color="auto" w:fill="auto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shd w:val="clear" w:color="auto" w:fill="auto"/>
          <w:lang w:val="en" w:eastAsia="zh-CN"/>
        </w:rPr>
        <w:t>年1-</w:t>
      </w:r>
      <w:r>
        <w:rPr>
          <w:rFonts w:hint="eastAsia"/>
          <w:b/>
          <w:color w:val="auto"/>
          <w:sz w:val="36"/>
          <w:szCs w:val="36"/>
          <w:shd w:val="clear" w:color="auto" w:fill="auto"/>
          <w:lang w:val="en-US" w:eastAsia="zh-CN"/>
        </w:rPr>
        <w:t>4</w:t>
      </w:r>
      <w:r>
        <w:rPr>
          <w:rFonts w:hint="default"/>
          <w:b/>
          <w:color w:val="auto"/>
          <w:sz w:val="36"/>
          <w:szCs w:val="36"/>
          <w:shd w:val="clear" w:color="auto" w:fill="auto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shd w:val="clear" w:color="auto" w:fill="auto"/>
          <w:lang w:val="en" w:eastAsia="zh-CN"/>
        </w:rPr>
        <w:t>密云区</w:t>
      </w:r>
      <w:r>
        <w:rPr>
          <w:rFonts w:hint="eastAsia"/>
          <w:b/>
          <w:color w:val="auto"/>
          <w:sz w:val="36"/>
          <w:szCs w:val="36"/>
          <w:shd w:val="clear" w:color="auto" w:fill="auto"/>
        </w:rPr>
        <w:t>社会消费品零售总额情况</w:t>
      </w:r>
    </w:p>
    <w:tbl>
      <w:tblPr>
        <w:tblStyle w:val="8"/>
        <w:tblW w:w="118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3414"/>
        <w:gridCol w:w="35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34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lang w:val="en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年1-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kern w:val="0"/>
                <w:sz w:val="24"/>
                <w:lang w:val="en" w:eastAsia="zh-CN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社会消费品零售总额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53932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按消费形态分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商品零售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50644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5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餐饮收入</w:t>
            </w:r>
          </w:p>
        </w:tc>
        <w:tc>
          <w:tcPr>
            <w:tcW w:w="3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1820" w:type="dxa"/>
            <w:gridSpan w:val="3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注释：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本区地域内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lang w:eastAsia="zh-CN"/>
              </w:rPr>
              <w:t>从事商品零售活动或提供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餐饮服务活动的法人单位、产业活动单位和个体经营户。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按照《批发和零售业统计报表制度》《住宿和餐饮业统计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报表制度》要求: ①限额以上批发和零售业、住宿和餐饮业企业（单位、个体户）通过联网直报系统上报统计数据；②限额以下批发和零售业、住宿和餐饮业企业（单位、个体户）通过抽样调查获取数据，进而推算总体。限额以上标准：①批发业：年主营业务收入2000万元及以上；②零售业：年主营业务收入500万元及以上；③住宿业：年主营业务收入200万元及以上；④餐饮业：年主营业务收入200万元及以上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主要统计指标解释：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社会消费品零售总额：指企业（单位、个体户）通过交易售给个人、社会集团非生产、非经营用的实物商品金额，以及提供餐饮服务所取得的收入金额。 　　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pStyle w:val="2"/>
        <w:rPr>
          <w:rFonts w:hint="default"/>
          <w:b/>
          <w:color w:val="0000FF"/>
          <w:sz w:val="36"/>
          <w:szCs w:val="36"/>
          <w:highlight w:val="none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0000FF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3865C7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C425B"/>
    <w:rsid w:val="103E310E"/>
    <w:rsid w:val="118634F1"/>
    <w:rsid w:val="12917D5A"/>
    <w:rsid w:val="13BA65BA"/>
    <w:rsid w:val="13C96186"/>
    <w:rsid w:val="13DB96C9"/>
    <w:rsid w:val="141623DE"/>
    <w:rsid w:val="14294E2D"/>
    <w:rsid w:val="1457468C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543D99"/>
    <w:rsid w:val="236F1C12"/>
    <w:rsid w:val="24683A54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D36AB8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AF61453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4C2D06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3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2025-02-01T22:35:00Z</cp:lastPrinted>
  <dcterms:modified xsi:type="dcterms:W3CDTF">2026-05-25T06:03:10Z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