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r>
        <w:rPr>
          <w:rFonts w:hint="eastAsia"/>
          <w:b/>
          <w:color w:val="0000FF"/>
          <w:sz w:val="36"/>
          <w:szCs w:val="36"/>
          <w:lang w:eastAsia="zh-CN"/>
        </w:rPr>
        <w:t>202</w:t>
      </w:r>
      <w:r>
        <w:rPr>
          <w:rFonts w:hint="eastAsia"/>
          <w:b/>
          <w:color w:val="0000FF"/>
          <w:sz w:val="36"/>
          <w:szCs w:val="36"/>
          <w:lang w:val="en-US" w:eastAsia="zh-CN"/>
        </w:rPr>
        <w:t>6</w:t>
      </w:r>
      <w:r>
        <w:rPr>
          <w:rFonts w:hint="eastAsia"/>
          <w:b/>
          <w:color w:val="0000FF"/>
          <w:sz w:val="36"/>
          <w:szCs w:val="36"/>
          <w:lang w:eastAsia="zh-CN"/>
        </w:rPr>
        <w:t>年</w:t>
      </w:r>
      <w:r>
        <w:rPr>
          <w:rFonts w:hint="eastAsia"/>
          <w:b/>
          <w:color w:val="0000FF"/>
          <w:sz w:val="36"/>
          <w:szCs w:val="36"/>
          <w:lang w:val="en" w:eastAsia="zh-CN"/>
        </w:rPr>
        <w:t>1-</w:t>
      </w:r>
      <w:r>
        <w:rPr>
          <w:rFonts w:hint="eastAsia"/>
          <w:b/>
          <w:color w:val="0000FF"/>
          <w:sz w:val="36"/>
          <w:szCs w:val="36"/>
          <w:lang w:val="en-US" w:eastAsia="zh-CN"/>
        </w:rPr>
        <w:t>2</w:t>
      </w:r>
      <w:r>
        <w:rPr>
          <w:rFonts w:hint="eastAsia"/>
          <w:b/>
          <w:color w:val="0000FF"/>
          <w:sz w:val="36"/>
          <w:szCs w:val="36"/>
          <w:lang w:val="en" w:eastAsia="zh-CN"/>
        </w:rPr>
        <w:t>月</w:t>
      </w:r>
      <w:r>
        <w:rPr>
          <w:rFonts w:hint="eastAsia"/>
          <w:b/>
          <w:color w:val="0000FF"/>
          <w:sz w:val="36"/>
          <w:szCs w:val="36"/>
          <w:lang w:eastAsia="zh-CN"/>
        </w:rPr>
        <w:t>密云区</w:t>
      </w:r>
      <w:r>
        <w:rPr>
          <w:rFonts w:hint="eastAsia"/>
          <w:b/>
          <w:color w:val="0000FF"/>
          <w:sz w:val="36"/>
          <w:szCs w:val="36"/>
        </w:rPr>
        <w:t>规模以上文化产业</w:t>
      </w:r>
      <w:r>
        <w:rPr>
          <w:rFonts w:hint="eastAsia"/>
          <w:b/>
          <w:color w:val="0000FF"/>
          <w:sz w:val="36"/>
          <w:szCs w:val="36"/>
          <w:lang w:eastAsia="zh-CN"/>
        </w:rPr>
        <w:t>企业</w:t>
      </w:r>
      <w:r>
        <w:rPr>
          <w:rFonts w:hint="eastAsia"/>
          <w:b/>
          <w:color w:val="0000FF"/>
          <w:sz w:val="36"/>
          <w:szCs w:val="36"/>
        </w:rPr>
        <w:t>情况</w:t>
      </w:r>
    </w:p>
    <w:tbl>
      <w:tblPr>
        <w:tblStyle w:val="8"/>
        <w:tblW w:w="134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37"/>
        <w:gridCol w:w="3053"/>
        <w:gridCol w:w="2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rPr>
        <w:tc>
          <w:tcPr>
            <w:tcW w:w="7537" w:type="dxa"/>
            <w:vMerge w:val="restart"/>
            <w:tcBorders>
              <w:top w:val="single" w:color="auto" w:sz="12" w:space="0"/>
              <w:left w:val="nil"/>
              <w:bottom w:val="single" w:color="auto" w:sz="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项  目</w:t>
            </w:r>
          </w:p>
        </w:tc>
        <w:tc>
          <w:tcPr>
            <w:tcW w:w="5911" w:type="dxa"/>
            <w:gridSpan w:val="2"/>
            <w:tcBorders>
              <w:top w:val="single" w:color="auto" w:sz="12" w:space="0"/>
              <w:left w:val="single" w:color="auto" w:sz="2" w:space="0"/>
              <w:bottom w:val="single" w:color="auto" w:sz="2" w:space="0"/>
              <w:right w:val="nil"/>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lang w:eastAsia="zh-CN"/>
              </w:rPr>
              <w:t>营业收入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7537" w:type="dxa"/>
            <w:vMerge w:val="continue"/>
            <w:tcBorders>
              <w:top w:val="single" w:color="auto" w:sz="2" w:space="0"/>
              <w:left w:val="nil"/>
              <w:bottom w:val="single" w:color="auto" w:sz="2" w:space="0"/>
              <w:right w:val="single" w:color="auto" w:sz="2" w:space="0"/>
            </w:tcBorders>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微软雅黑" w:hAnsi="微软雅黑" w:eastAsia="微软雅黑" w:cs="微软雅黑"/>
                <w:b w:val="0"/>
                <w:color w:val="auto"/>
                <w:sz w:val="24"/>
                <w:szCs w:val="24"/>
              </w:rPr>
            </w:pPr>
          </w:p>
        </w:tc>
        <w:tc>
          <w:tcPr>
            <w:tcW w:w="3053" w:type="dxa"/>
            <w:tcBorders>
              <w:top w:val="single" w:color="auto" w:sz="2" w:space="0"/>
              <w:left w:val="single" w:color="auto" w:sz="2" w:space="0"/>
              <w:bottom w:val="single" w:color="auto" w:sz="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年1-</w:t>
            </w:r>
            <w:r>
              <w:rPr>
                <w:rFonts w:hint="eastAsia" w:ascii="宋体" w:hAnsi="宋体" w:eastAsia="宋体" w:cs="宋体"/>
                <w:b w:val="0"/>
                <w:color w:val="auto"/>
                <w:sz w:val="24"/>
                <w:szCs w:val="24"/>
                <w:lang w:val="en-US" w:eastAsia="zh-CN"/>
              </w:rPr>
              <w:t>2</w:t>
            </w:r>
            <w:r>
              <w:rPr>
                <w:rFonts w:hint="eastAsia" w:ascii="宋体" w:hAnsi="宋体" w:eastAsia="宋体" w:cs="宋体"/>
                <w:b w:val="0"/>
                <w:color w:val="auto"/>
                <w:sz w:val="24"/>
                <w:szCs w:val="24"/>
              </w:rPr>
              <w:t>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lang w:eastAsia="zh-CN"/>
              </w:rPr>
              <w:t>（亿元）</w:t>
            </w:r>
          </w:p>
        </w:tc>
        <w:tc>
          <w:tcPr>
            <w:tcW w:w="2858" w:type="dxa"/>
            <w:tcBorders>
              <w:top w:val="single" w:color="auto" w:sz="2" w:space="0"/>
              <w:left w:val="single" w:color="auto" w:sz="2" w:space="0"/>
              <w:bottom w:val="single" w:color="auto" w:sz="2" w:space="0"/>
              <w:right w:val="nil"/>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同比增长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7537" w:type="dxa"/>
            <w:tcBorders>
              <w:top w:val="single" w:color="auto" w:sz="2" w:space="0"/>
              <w:left w:val="nil"/>
              <w:bottom w:val="nil"/>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Style w:val="10"/>
                <w:rFonts w:hint="eastAsia" w:ascii="宋体" w:hAnsi="宋体" w:eastAsia="宋体" w:cs="宋体"/>
                <w:color w:val="auto"/>
                <w:sz w:val="24"/>
                <w:szCs w:val="24"/>
              </w:rPr>
              <w:t>合  </w:t>
            </w:r>
            <w:r>
              <w:rPr>
                <w:rStyle w:val="10"/>
                <w:rFonts w:hint="eastAsia" w:ascii="宋体" w:hAnsi="宋体" w:eastAsia="宋体" w:cs="宋体"/>
                <w:color w:val="auto"/>
                <w:sz w:val="24"/>
                <w:szCs w:val="24"/>
                <w:lang w:val="en-US" w:eastAsia="zh-CN"/>
              </w:rPr>
              <w:t xml:space="preserve">     </w:t>
            </w:r>
            <w:r>
              <w:rPr>
                <w:rStyle w:val="10"/>
                <w:rFonts w:hint="eastAsia" w:ascii="宋体" w:hAnsi="宋体" w:eastAsia="宋体" w:cs="宋体"/>
                <w:color w:val="auto"/>
                <w:sz w:val="24"/>
                <w:szCs w:val="24"/>
              </w:rPr>
              <w:t>计</w:t>
            </w:r>
          </w:p>
        </w:tc>
        <w:tc>
          <w:tcPr>
            <w:tcW w:w="3053" w:type="dxa"/>
            <w:tcBorders>
              <w:top w:val="single" w:color="auto" w:sz="2" w:space="0"/>
              <w:left w:val="single" w:color="auto" w:sz="2" w:space="0"/>
              <w:bottom w:val="nil"/>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righ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w:t>
            </w:r>
          </w:p>
        </w:tc>
        <w:tc>
          <w:tcPr>
            <w:tcW w:w="2858" w:type="dxa"/>
            <w:tcBorders>
              <w:top w:val="single" w:color="auto" w:sz="2" w:space="0"/>
              <w:left w:val="single" w:color="auto" w:sz="2" w:space="0"/>
              <w:bottom w:val="nil"/>
              <w:right w:val="nil"/>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righ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7537" w:type="dxa"/>
            <w:tcBorders>
              <w:top w:val="nil"/>
              <w:left w:val="nil"/>
              <w:bottom w:val="nil"/>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210"/>
              <w:jc w:val="left"/>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文化核心领域</w:t>
            </w:r>
          </w:p>
        </w:tc>
        <w:tc>
          <w:tcPr>
            <w:tcW w:w="3053" w:type="dxa"/>
            <w:tcBorders>
              <w:top w:val="nil"/>
              <w:left w:val="single" w:color="auto" w:sz="2" w:space="0"/>
              <w:bottom w:val="nil"/>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righ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2858" w:type="dxa"/>
            <w:tcBorders>
              <w:top w:val="nil"/>
              <w:left w:val="single" w:color="auto" w:sz="2" w:space="0"/>
              <w:bottom w:val="nil"/>
              <w:right w:val="nil"/>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righ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7537" w:type="dxa"/>
            <w:tcBorders>
              <w:top w:val="nil"/>
              <w:left w:val="nil"/>
              <w:bottom w:val="single" w:color="auto" w:sz="1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firstLine="210"/>
              <w:jc w:val="left"/>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文化相关领域</w:t>
            </w:r>
          </w:p>
        </w:tc>
        <w:tc>
          <w:tcPr>
            <w:tcW w:w="3053" w:type="dxa"/>
            <w:tcBorders>
              <w:top w:val="nil"/>
              <w:left w:val="single" w:color="auto" w:sz="2" w:space="0"/>
              <w:bottom w:val="single" w:color="auto" w:sz="1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righ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w:t>
            </w:r>
          </w:p>
        </w:tc>
        <w:tc>
          <w:tcPr>
            <w:tcW w:w="2858" w:type="dxa"/>
            <w:tcBorders>
              <w:top w:val="nil"/>
              <w:left w:val="single" w:color="auto" w:sz="2" w:space="0"/>
              <w:bottom w:val="single" w:color="auto" w:sz="12" w:space="0"/>
              <w:right w:val="nil"/>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righ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r>
    </w:tbl>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widowControl w:val="0"/>
        <w:kinsoku/>
        <w:wordWrap/>
        <w:overflowPunct/>
        <w:topLinePunct w:val="0"/>
        <w:autoSpaceDE/>
        <w:autoSpaceDN/>
        <w:bidi w:val="0"/>
        <w:adjustRightInd w:val="0"/>
        <w:snapToGrid w:val="0"/>
        <w:ind w:firstLine="481" w:firstLineChars="200"/>
        <w:jc w:val="left"/>
        <w:textAlignment w:val="auto"/>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b/>
          <w:bCs/>
          <w:sz w:val="24"/>
          <w:lang w:eastAsia="zh-CN"/>
        </w:rPr>
        <w:t>一、</w:t>
      </w:r>
      <w:r>
        <w:rPr>
          <w:rFonts w:hint="eastAsia" w:ascii="楷体_GB2312" w:hAnsi="宋体" w:eastAsia="楷体_GB2312" w:cs="宋体"/>
          <w:b/>
          <w:bCs/>
          <w:sz w:val="24"/>
        </w:rPr>
        <w:t>统计范围：</w:t>
      </w:r>
      <w:r>
        <w:rPr>
          <w:rFonts w:hint="eastAsia" w:ascii="楷体_GB2312" w:hAnsi="宋体" w:eastAsia="楷体_GB2312" w:cs="宋体"/>
          <w:kern w:val="2"/>
          <w:sz w:val="24"/>
          <w:szCs w:val="24"/>
          <w:lang w:val="en-US" w:eastAsia="zh-CN" w:bidi="ar-SA"/>
        </w:rPr>
        <w:t>本表数据统计范围为规模以上文化产业</w:t>
      </w:r>
      <w:r>
        <w:rPr>
          <w:rFonts w:hint="eastAsia" w:ascii="楷体_GB2312" w:hAnsi="宋体" w:eastAsia="楷体_GB2312" w:cs="宋体"/>
          <w:color w:val="auto"/>
          <w:kern w:val="2"/>
          <w:sz w:val="24"/>
          <w:szCs w:val="24"/>
          <w:lang w:val="en-US" w:eastAsia="zh-CN" w:bidi="ar-SA"/>
        </w:rPr>
        <w:t>企业</w:t>
      </w:r>
      <w:r>
        <w:rPr>
          <w:rFonts w:hint="eastAsia" w:ascii="楷体_GB2312" w:hAnsi="宋体" w:eastAsia="楷体_GB2312" w:cs="宋体"/>
          <w:kern w:val="2"/>
          <w:sz w:val="24"/>
          <w:szCs w:val="24"/>
          <w:lang w:val="en-US" w:eastAsia="zh-CN" w:bidi="ar-SA"/>
        </w:rPr>
        <w:t>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w:t>
      </w:r>
      <w:bookmarkStart w:id="0" w:name="_GoBack"/>
      <w:bookmarkEnd w:id="0"/>
      <w:r>
        <w:rPr>
          <w:rFonts w:hint="eastAsia" w:ascii="楷体_GB2312" w:hAnsi="宋体" w:eastAsia="楷体_GB2312" w:cs="宋体"/>
          <w:sz w:val="24"/>
          <w:lang w:val="en-US" w:eastAsia="zh-CN"/>
        </w:rPr>
        <w:t>装备生产和文化消费终端生产（包括制造和销售）等活动。</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（1）年主营业务收入2000万元及以上的工业法人单位。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（2）年主营业务收入2000万元及以上的批发业法人单位。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（3）年主营业务收入500万元及以上的零售业法人单位。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（4）年营业收入2000万元及以上的交通运输、仓储和邮政业，信息传输、软件和信息技术服务业，水利、环境和公共设施管理业服务业企业法人单位。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（5）年营业收入1000万元及以上的租赁和商务服务业，科学研究和技术服务业，教育服务业企业法人单位。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（6）年营业收入500万元及以上的居民服务、修理和其他服务业，文化、体育和娱乐业服务业企业法人单位。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widowControl w:val="0"/>
        <w:kinsoku/>
        <w:wordWrap/>
        <w:overflowPunct/>
        <w:topLinePunct w:val="0"/>
        <w:autoSpaceDE/>
        <w:autoSpaceDN/>
        <w:bidi w:val="0"/>
        <w:adjustRightInd w:val="0"/>
        <w:snapToGrid w:val="0"/>
        <w:ind w:firstLine="481"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b/>
          <w:bCs/>
          <w:sz w:val="24"/>
          <w:lang w:eastAsia="zh-CN"/>
        </w:rPr>
        <w:t>二、</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sz w:val="24"/>
          <w:lang w:val="en-US" w:eastAsia="zh-CN"/>
        </w:rPr>
        <w:t>营业收入：指企业生产经营活动形成的经济利益流入，包括主营业务收入和其他业务收入。</w:t>
      </w:r>
    </w:p>
    <w:p>
      <w:pPr>
        <w:keepNext w:val="0"/>
        <w:keepLines w:val="0"/>
        <w:pageBreakBefore w:val="0"/>
        <w:widowControl w:val="0"/>
        <w:kinsoku/>
        <w:wordWrap/>
        <w:overflowPunct/>
        <w:topLinePunct w:val="0"/>
        <w:autoSpaceDE/>
        <w:autoSpaceDN/>
        <w:bidi w:val="0"/>
        <w:ind w:firstLine="481" w:firstLineChars="200"/>
        <w:textAlignment w:val="auto"/>
        <w:rPr>
          <w:rFonts w:hint="eastAsia" w:ascii="楷体_GB2312" w:hAnsi="宋体" w:eastAsia="楷体_GB2312" w:cs="宋体"/>
          <w:bCs/>
          <w:sz w:val="24"/>
          <w:szCs w:val="24"/>
        </w:rPr>
      </w:pPr>
      <w:r>
        <w:rPr>
          <w:rFonts w:hint="eastAsia" w:ascii="楷体_GB2312" w:hAnsi="宋体" w:eastAsia="楷体_GB2312" w:cs="宋体"/>
          <w:b/>
          <w:bCs/>
          <w:sz w:val="24"/>
          <w:lang w:val="en-US" w:eastAsia="zh-CN"/>
        </w:rPr>
        <w:t>三、相关说明</w:t>
      </w:r>
      <w:r>
        <w:rPr>
          <w:rFonts w:hint="eastAsia" w:ascii="楷体_GB2312" w:hAnsi="宋体" w:eastAsia="楷体_GB2312" w:cs="宋体"/>
          <w:bCs/>
          <w:sz w:val="24"/>
          <w:szCs w:val="24"/>
        </w:rPr>
        <w:t>：</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楷体_GB2312" w:hAnsi="宋体" w:eastAsia="楷体_GB2312" w:cs="宋体"/>
          <w:sz w:val="24"/>
          <w:lang w:val="en-US" w:eastAsia="zh-CN"/>
        </w:rPr>
      </w:pPr>
      <w:r>
        <w:rPr>
          <w:rFonts w:hint="eastAsia" w:ascii="楷体_GB2312" w:hAnsi="宋体" w:eastAsia="楷体_GB2312" w:cs="宋体"/>
          <w:bCs/>
          <w:sz w:val="24"/>
          <w:szCs w:val="24"/>
          <w:lang w:val="en-US" w:eastAsia="zh-CN"/>
        </w:rPr>
        <w:t>1.</w:t>
      </w:r>
      <w:r>
        <w:rPr>
          <w:rFonts w:hint="eastAsia" w:ascii="楷体_GB2312" w:hAnsi="宋体" w:eastAsia="楷体_GB2312" w:cs="宋体"/>
          <w:sz w:val="24"/>
          <w:lang w:val="en-US" w:eastAsia="zh-CN"/>
        </w:rPr>
        <w:t>同比增长是利用统计范围内调查单位填报的相关指标“1-本月”以及“上年同期”数据计算取得。由于规模以上文化及相关产业企业范围每年发生变化，为保证本年数据与上年可比，计算规模以上文化产业企业营业收入等指标同比增长速度所采用的同期数与本期的企业统计范围相一致，和上年公布的数据存在口径差异。主要原因是每年有部分企业达到规模以上标准纳入调查范围，同时也有部分企业因规模变小而退出调查范围，还有新建投产、破产、注（吊）销企业的影响。</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2.部分数据因四舍五入，存在总计与分项合计不等的情况。</w:t>
      </w: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cript"/>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w:altName w:val="汉仪叶叶相思体简"/>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叶叶相思体简">
    <w:panose1 w:val="0201050906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222482"/>
    <w:rsid w:val="0AC36A44"/>
    <w:rsid w:val="0B55531A"/>
    <w:rsid w:val="0B7B2A58"/>
    <w:rsid w:val="0BD8075B"/>
    <w:rsid w:val="0BFA39C5"/>
    <w:rsid w:val="0C683C8D"/>
    <w:rsid w:val="0CA36702"/>
    <w:rsid w:val="0E4220D5"/>
    <w:rsid w:val="0E927B34"/>
    <w:rsid w:val="0EDD0097"/>
    <w:rsid w:val="103E310E"/>
    <w:rsid w:val="112500D2"/>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CE81CB4"/>
    <w:rsid w:val="1D8D5B77"/>
    <w:rsid w:val="1D98136E"/>
    <w:rsid w:val="1DFB1785"/>
    <w:rsid w:val="1E693C23"/>
    <w:rsid w:val="1EB84662"/>
    <w:rsid w:val="1FFF4CB5"/>
    <w:rsid w:val="21382369"/>
    <w:rsid w:val="21784A05"/>
    <w:rsid w:val="22DB4243"/>
    <w:rsid w:val="23543D99"/>
    <w:rsid w:val="236F1C12"/>
    <w:rsid w:val="248C2EED"/>
    <w:rsid w:val="2559167C"/>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1C70717"/>
    <w:rsid w:val="32326294"/>
    <w:rsid w:val="32812E6E"/>
    <w:rsid w:val="32A7716C"/>
    <w:rsid w:val="33661F81"/>
    <w:rsid w:val="338177D2"/>
    <w:rsid w:val="33EA3D20"/>
    <w:rsid w:val="349C766D"/>
    <w:rsid w:val="34C40933"/>
    <w:rsid w:val="35293EEE"/>
    <w:rsid w:val="352C3131"/>
    <w:rsid w:val="36381881"/>
    <w:rsid w:val="364D3747"/>
    <w:rsid w:val="368A245A"/>
    <w:rsid w:val="36B82B10"/>
    <w:rsid w:val="36BE5A08"/>
    <w:rsid w:val="36DB2072"/>
    <w:rsid w:val="37EF20A6"/>
    <w:rsid w:val="38AC4A90"/>
    <w:rsid w:val="392A6086"/>
    <w:rsid w:val="393A7BCB"/>
    <w:rsid w:val="399814C9"/>
    <w:rsid w:val="39C8393A"/>
    <w:rsid w:val="3AA80F20"/>
    <w:rsid w:val="3ACA405B"/>
    <w:rsid w:val="3AEE30EC"/>
    <w:rsid w:val="3B4C203F"/>
    <w:rsid w:val="3B505972"/>
    <w:rsid w:val="3C094926"/>
    <w:rsid w:val="3CA06950"/>
    <w:rsid w:val="3CD34D5E"/>
    <w:rsid w:val="3CFD8C2D"/>
    <w:rsid w:val="3DF66AB0"/>
    <w:rsid w:val="3E5544D7"/>
    <w:rsid w:val="3ED06649"/>
    <w:rsid w:val="3EFB9B05"/>
    <w:rsid w:val="3FA684FA"/>
    <w:rsid w:val="3FAB96BE"/>
    <w:rsid w:val="3FBF1369"/>
    <w:rsid w:val="3FDB5DF1"/>
    <w:rsid w:val="3FDED793"/>
    <w:rsid w:val="3FDF4110"/>
    <w:rsid w:val="3FF311AD"/>
    <w:rsid w:val="3FF78042"/>
    <w:rsid w:val="3FFE10C8"/>
    <w:rsid w:val="401D61C0"/>
    <w:rsid w:val="414B607C"/>
    <w:rsid w:val="41A3549E"/>
    <w:rsid w:val="426042E3"/>
    <w:rsid w:val="42D90AF2"/>
    <w:rsid w:val="440C601A"/>
    <w:rsid w:val="441A04D4"/>
    <w:rsid w:val="46216826"/>
    <w:rsid w:val="46FF42F7"/>
    <w:rsid w:val="475234D8"/>
    <w:rsid w:val="476A13E8"/>
    <w:rsid w:val="47790412"/>
    <w:rsid w:val="47994367"/>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C24973"/>
    <w:rsid w:val="54F42AFF"/>
    <w:rsid w:val="55600A1D"/>
    <w:rsid w:val="5567A25D"/>
    <w:rsid w:val="55B05FB6"/>
    <w:rsid w:val="560D74DF"/>
    <w:rsid w:val="567412A4"/>
    <w:rsid w:val="568A0C6F"/>
    <w:rsid w:val="56BB328C"/>
    <w:rsid w:val="56FB6653"/>
    <w:rsid w:val="57370DD3"/>
    <w:rsid w:val="57605D7D"/>
    <w:rsid w:val="57B35CE2"/>
    <w:rsid w:val="58913AC3"/>
    <w:rsid w:val="58BE61D2"/>
    <w:rsid w:val="58E67C05"/>
    <w:rsid w:val="590F83E0"/>
    <w:rsid w:val="59375F5C"/>
    <w:rsid w:val="59630F03"/>
    <w:rsid w:val="597F8F05"/>
    <w:rsid w:val="5A055849"/>
    <w:rsid w:val="5A271408"/>
    <w:rsid w:val="5B73140F"/>
    <w:rsid w:val="5C9300D0"/>
    <w:rsid w:val="5CB32703"/>
    <w:rsid w:val="5CD35BE5"/>
    <w:rsid w:val="5D0004C6"/>
    <w:rsid w:val="5D4E0726"/>
    <w:rsid w:val="5D8F6061"/>
    <w:rsid w:val="5F7DB65F"/>
    <w:rsid w:val="5FBF9E10"/>
    <w:rsid w:val="5FC37593"/>
    <w:rsid w:val="5FDF0B1C"/>
    <w:rsid w:val="60FA610A"/>
    <w:rsid w:val="613D007B"/>
    <w:rsid w:val="61C65AFE"/>
    <w:rsid w:val="62578C3C"/>
    <w:rsid w:val="62612361"/>
    <w:rsid w:val="639114E6"/>
    <w:rsid w:val="65797765"/>
    <w:rsid w:val="663F737A"/>
    <w:rsid w:val="67244ADE"/>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C64489C"/>
    <w:rsid w:val="6D5A4B7F"/>
    <w:rsid w:val="6EA39D6C"/>
    <w:rsid w:val="6F267ADA"/>
    <w:rsid w:val="6F594EB3"/>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6FF6F7D"/>
    <w:rsid w:val="77166765"/>
    <w:rsid w:val="7720627A"/>
    <w:rsid w:val="778962BC"/>
    <w:rsid w:val="779A77AC"/>
    <w:rsid w:val="77C2208C"/>
    <w:rsid w:val="77E9D9C2"/>
    <w:rsid w:val="77F30C7B"/>
    <w:rsid w:val="78B553DE"/>
    <w:rsid w:val="78E85C94"/>
    <w:rsid w:val="791B108A"/>
    <w:rsid w:val="797D4315"/>
    <w:rsid w:val="7A100E94"/>
    <w:rsid w:val="7AC2683B"/>
    <w:rsid w:val="7B423B59"/>
    <w:rsid w:val="7B6FE944"/>
    <w:rsid w:val="7BA3EC91"/>
    <w:rsid w:val="7BE6EDA8"/>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691DFB"/>
    <w:rsid w:val="7F730D6C"/>
    <w:rsid w:val="7FCBA4F8"/>
    <w:rsid w:val="7FFF1899"/>
    <w:rsid w:val="81EB3C3A"/>
    <w:rsid w:val="8CDA845A"/>
    <w:rsid w:val="8ECFFD56"/>
    <w:rsid w:val="8FDD6C5D"/>
    <w:rsid w:val="95CB16DE"/>
    <w:rsid w:val="99B77EE0"/>
    <w:rsid w:val="9E7B6197"/>
    <w:rsid w:val="9FED37BA"/>
    <w:rsid w:val="A1F996D1"/>
    <w:rsid w:val="AB6F98F3"/>
    <w:rsid w:val="B7799B9E"/>
    <w:rsid w:val="B77F0FAF"/>
    <w:rsid w:val="B7FF7374"/>
    <w:rsid w:val="BB9F279F"/>
    <w:rsid w:val="BCB190C7"/>
    <w:rsid w:val="BD7F112E"/>
    <w:rsid w:val="BDF6F2E2"/>
    <w:rsid w:val="BF69E885"/>
    <w:rsid w:val="BF9F7D8E"/>
    <w:rsid w:val="BFB650B6"/>
    <w:rsid w:val="C6FCE371"/>
    <w:rsid w:val="C7F7F066"/>
    <w:rsid w:val="CBFF8A60"/>
    <w:rsid w:val="CD3B0D55"/>
    <w:rsid w:val="CFFF4E9E"/>
    <w:rsid w:val="D57D44D0"/>
    <w:rsid w:val="D77C3604"/>
    <w:rsid w:val="D7EE2A06"/>
    <w:rsid w:val="DA77DE6A"/>
    <w:rsid w:val="DBB74874"/>
    <w:rsid w:val="DD3FDC7E"/>
    <w:rsid w:val="DDF6AF67"/>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F047853D"/>
    <w:rsid w:val="F2ECBDBB"/>
    <w:rsid w:val="F4C7C781"/>
    <w:rsid w:val="F5FDF678"/>
    <w:rsid w:val="F5FF6C02"/>
    <w:rsid w:val="F69F3012"/>
    <w:rsid w:val="F6FE7D1F"/>
    <w:rsid w:val="F77E2CBB"/>
    <w:rsid w:val="F7AB5BD3"/>
    <w:rsid w:val="F7B564CC"/>
    <w:rsid w:val="F7BF082A"/>
    <w:rsid w:val="F7BFE11D"/>
    <w:rsid w:val="FAFF5057"/>
    <w:rsid w:val="FB7704E9"/>
    <w:rsid w:val="FBBD267F"/>
    <w:rsid w:val="FBBD6810"/>
    <w:rsid w:val="FBDF6E2B"/>
    <w:rsid w:val="FBF3580F"/>
    <w:rsid w:val="FBFF326E"/>
    <w:rsid w:val="FD1EC79F"/>
    <w:rsid w:val="FD661357"/>
    <w:rsid w:val="FDF3622D"/>
    <w:rsid w:val="FE1BD8BF"/>
    <w:rsid w:val="FE3F8DB9"/>
    <w:rsid w:val="FE77F456"/>
    <w:rsid w:val="FECFFF92"/>
    <w:rsid w:val="FEF39F24"/>
    <w:rsid w:val="FF9FF837"/>
    <w:rsid w:val="FFAD37E5"/>
    <w:rsid w:val="FFBEC56A"/>
    <w:rsid w:val="FFC79609"/>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Indent"/>
    <w:basedOn w:val="1"/>
    <w:next w:val="2"/>
    <w:qFormat/>
    <w:uiPriority w:val="0"/>
    <w:pPr>
      <w:ind w:firstLine="480"/>
    </w:pPr>
    <w:rPr>
      <w:snapToGrid w:val="0"/>
      <w:sz w:val="24"/>
    </w:rPr>
  </w:style>
  <w:style w:type="paragraph" w:styleId="4">
    <w:name w:val="annotation text"/>
    <w:basedOn w:val="1"/>
    <w:link w:val="11"/>
    <w:qFormat/>
    <w:uiPriority w:val="0"/>
    <w:pPr>
      <w:jc w:val="left"/>
    </w:pPr>
    <w:rPr>
      <w:rFonts w:ascii="??" w:hAnsi="??" w:eastAsia="宋体" w:cs="??"/>
      <w:sz w:val="32"/>
      <w:szCs w:val="21"/>
    </w:rPr>
  </w:style>
  <w:style w:type="paragraph" w:styleId="5">
    <w:name w:val="Body Text"/>
    <w:basedOn w:val="1"/>
    <w:next w:val="1"/>
    <w:qFormat/>
    <w:uiPriority w:val="0"/>
    <w:rPr>
      <w:rFonts w:ascii="楷体_GB231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10">
    <w:name w:val="Strong"/>
    <w:basedOn w:val="9"/>
    <w:qFormat/>
    <w:uiPriority w:val="0"/>
    <w:rPr>
      <w:b/>
    </w:rPr>
  </w:style>
  <w:style w:type="character" w:customStyle="1" w:styleId="11">
    <w:name w:val="批注文字 Char"/>
    <w:basedOn w:val="9"/>
    <w:link w:val="4"/>
    <w:qFormat/>
    <w:uiPriority w:val="0"/>
    <w:rPr>
      <w:rFonts w:ascii="??" w:hAnsi="??" w:eastAsia="宋体" w:cs="??"/>
      <w:sz w:val="32"/>
      <w:szCs w:val="21"/>
    </w:rPr>
  </w:style>
  <w:style w:type="character" w:customStyle="1" w:styleId="12">
    <w:name w:val="font21"/>
    <w:basedOn w:val="9"/>
    <w:qFormat/>
    <w:uiPriority w:val="0"/>
    <w:rPr>
      <w:rFonts w:hint="eastAsia" w:ascii="宋体" w:hAnsi="宋体" w:eastAsia="宋体" w:cs="宋体"/>
      <w:color w:val="000000"/>
      <w:sz w:val="20"/>
      <w:szCs w:val="20"/>
      <w:u w:val="none"/>
    </w:rPr>
  </w:style>
  <w:style w:type="character" w:customStyle="1" w:styleId="13">
    <w:name w:val="font0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6</TotalTime>
  <ScaleCrop>false</ScaleCrop>
  <LinksUpToDate>false</LinksUpToDate>
  <CharactersWithSpaces>2655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2020-08-21T01:20:00Z</dcterms:created>
  <dc:creator>NTKO</dc:creator>
  <cp:lastModifiedBy>uos</cp:lastModifiedBy>
  <cp:lastPrinted>2026-04-08T18:47:00Z</cp:lastPrinted>
  <dcterms:modified xsi:type="dcterms:W3CDTF">2026-04-09T09:46:18Z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