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bookmarkStart w:id="0" w:name="_GoBack"/>
      <w:r>
        <w:rPr>
          <w:rFonts w:hint="default"/>
          <w:b/>
          <w:color w:val="0000FF"/>
          <w:sz w:val="36"/>
          <w:szCs w:val="36"/>
          <w:lang w:val="en" w:eastAsia="zh-CN"/>
        </w:rPr>
        <w:t>2025年</w:t>
      </w:r>
      <w:r>
        <w:rPr>
          <w:rFonts w:hint="eastAsia"/>
          <w:b/>
          <w:color w:val="0000FF"/>
          <w:sz w:val="36"/>
          <w:szCs w:val="36"/>
          <w:lang w:val="en" w:eastAsia="zh-CN"/>
        </w:rPr>
        <w:t>1-10月密云区</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p>
    <w:bookmarkEnd w:id="0"/>
    <w:tbl>
      <w:tblPr>
        <w:tblStyle w:val="6"/>
        <w:tblW w:w="7700" w:type="dxa"/>
        <w:jc w:val="center"/>
        <w:tblLayout w:type="fixed"/>
        <w:tblCellMar>
          <w:top w:w="0" w:type="dxa"/>
          <w:left w:w="108" w:type="dxa"/>
          <w:bottom w:w="0" w:type="dxa"/>
          <w:right w:w="108" w:type="dxa"/>
        </w:tblCellMar>
      </w:tblPr>
      <w:tblGrid>
        <w:gridCol w:w="5271"/>
        <w:gridCol w:w="2363"/>
        <w:gridCol w:w="66"/>
      </w:tblGrid>
      <w:tr>
        <w:tblPrEx>
          <w:tblCellMar>
            <w:top w:w="0" w:type="dxa"/>
            <w:left w:w="108" w:type="dxa"/>
            <w:bottom w:w="0" w:type="dxa"/>
            <w:right w:w="108" w:type="dxa"/>
          </w:tblCellMar>
        </w:tblPrEx>
        <w:trPr>
          <w:gridAfter w:val="1"/>
          <w:wAfter w:w="66" w:type="dxa"/>
          <w:trHeight w:val="583" w:hRule="atLeast"/>
          <w:jc w:val="center"/>
        </w:trPr>
        <w:tc>
          <w:tcPr>
            <w:tcW w:w="527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363"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1"/>
          <w:wAfter w:w="66" w:type="dxa"/>
          <w:trHeight w:val="416"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cs="宋体"/>
                <w:b/>
                <w:kern w:val="0"/>
                <w:sz w:val="24"/>
              </w:rPr>
            </w:pPr>
            <w:r>
              <w:rPr>
                <w:rFonts w:hint="eastAsia" w:ascii="宋体" w:hAnsi="宋体" w:cs="宋体"/>
                <w:b/>
                <w:kern w:val="0"/>
                <w:sz w:val="24"/>
              </w:rPr>
              <w:t>固定资产投资（不含农户）</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20.7 </w:t>
            </w:r>
          </w:p>
        </w:tc>
      </w:tr>
      <w:tr>
        <w:tblPrEx>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第一产业</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10.3 </w:t>
            </w:r>
          </w:p>
        </w:tc>
      </w:tr>
      <w:tr>
        <w:tblPrEx>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第二产业</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25.6 </w:t>
            </w:r>
          </w:p>
        </w:tc>
      </w:tr>
      <w:tr>
        <w:tblPrEx>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第三产业</w:t>
            </w:r>
          </w:p>
        </w:tc>
        <w:tc>
          <w:tcPr>
            <w:tcW w:w="2363" w:type="dxa"/>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Theme="minorEastAsia" w:hAnsiTheme="minorEastAsia" w:eastAsiaTheme="minorEastAsia" w:cstheme="minorEastAsia"/>
                <w:b w:val="0"/>
                <w:bCs w:val="0"/>
                <w:i w:val="0"/>
                <w:color w:val="000000"/>
                <w:kern w:val="0"/>
                <w:sz w:val="24"/>
                <w:szCs w:val="24"/>
                <w:u w:val="none"/>
                <w:lang w:val="en" w:eastAsia="zh-CN" w:bidi="ar"/>
              </w:rPr>
            </w:pPr>
            <w:r>
              <w:rPr>
                <w:rFonts w:hint="eastAsia" w:ascii="宋体" w:hAnsi="宋体" w:eastAsia="宋体" w:cs="宋体"/>
                <w:i w:val="0"/>
                <w:color w:val="000000"/>
                <w:kern w:val="0"/>
                <w:sz w:val="24"/>
                <w:szCs w:val="24"/>
                <w:u w:val="none"/>
                <w:lang w:val="en-US" w:eastAsia="zh-CN" w:bidi="ar"/>
              </w:rPr>
              <w:t xml:space="preserve">20.1 </w:t>
            </w:r>
          </w:p>
        </w:tc>
      </w:tr>
      <w:tr>
        <w:tblPrEx>
          <w:tblCellMar>
            <w:top w:w="0" w:type="dxa"/>
            <w:left w:w="108" w:type="dxa"/>
            <w:bottom w:w="0" w:type="dxa"/>
            <w:right w:w="108" w:type="dxa"/>
          </w:tblCellMar>
        </w:tblPrEx>
        <w:trPr>
          <w:trHeight w:val="2907" w:hRule="atLeast"/>
          <w:jc w:val="center"/>
        </w:trPr>
        <w:tc>
          <w:tcPr>
            <w:tcW w:w="7700" w:type="dxa"/>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widowControl/>
              <w:suppressLineNumbers w:val="0"/>
              <w:jc w:val="left"/>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rPr>
              <w:t>1、统计范围：</w:t>
            </w:r>
            <w:r>
              <w:rPr>
                <w:rFonts w:hint="eastAsia" w:ascii="楷体_GB2312" w:hAnsi="宋体" w:eastAsia="楷体_GB2312" w:cs="宋体"/>
                <w:b w:val="0"/>
                <w:bCs w:val="0"/>
                <w:kern w:val="0"/>
                <w:sz w:val="24"/>
                <w:szCs w:val="24"/>
                <w:lang w:val="en-US" w:eastAsia="zh-CN" w:bidi="ar-SA"/>
              </w:rPr>
              <w:t>计划总投资500万元及以上固定资产投资项目的各种登记注册统计类别的单位及个体经营户、有开发经营活动的房地产开发经营业法人单位。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3、主要统计指标解释：</w:t>
            </w:r>
          </w:p>
          <w:p>
            <w:pPr>
              <w:keepNext w:val="0"/>
              <w:keepLines w:val="0"/>
              <w:pageBreakBefore w:val="0"/>
              <w:kinsoku/>
              <w:wordWrap/>
              <w:overflowPunct/>
              <w:topLinePunct w:val="0"/>
              <w:autoSpaceDE/>
              <w:autoSpaceDN/>
              <w:bidi w:val="0"/>
              <w:adjustRightInd w:val="0"/>
              <w:snapToGrid w:val="0"/>
              <w:rPr>
                <w:rFonts w:hint="eastAsia" w:ascii="楷体_GB2312" w:hAnsi="宋体" w:eastAsia="楷体_GB2312" w:cs="宋体"/>
                <w:bCs/>
                <w:sz w:val="24"/>
              </w:rPr>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6DB2072"/>
    <w:rsid w:val="37EF20A6"/>
    <w:rsid w:val="38AC4A90"/>
    <w:rsid w:val="392A6086"/>
    <w:rsid w:val="393A7BCB"/>
    <w:rsid w:val="39C8393A"/>
    <w:rsid w:val="3ACA405B"/>
    <w:rsid w:val="3AEE30EC"/>
    <w:rsid w:val="3B4C203F"/>
    <w:rsid w:val="3B505972"/>
    <w:rsid w:val="3B7EC0B0"/>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FBF9E10"/>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CBA4F8"/>
    <w:rsid w:val="7FFF1899"/>
    <w:rsid w:val="81EB3C3A"/>
    <w:rsid w:val="8CDA845A"/>
    <w:rsid w:val="8ECFFD56"/>
    <w:rsid w:val="8FDD6C5D"/>
    <w:rsid w:val="95CB16DE"/>
    <w:rsid w:val="99B77EE0"/>
    <w:rsid w:val="9E7B6197"/>
    <w:rsid w:val="9FED37BA"/>
    <w:rsid w:val="A1F996D1"/>
    <w:rsid w:val="AA7D90F7"/>
    <w:rsid w:val="AB6F98F3"/>
    <w:rsid w:val="B7799B9E"/>
    <w:rsid w:val="B7FF7374"/>
    <w:rsid w:val="BB9F279F"/>
    <w:rsid w:val="BCB190C7"/>
    <w:rsid w:val="BD7F112E"/>
    <w:rsid w:val="BDF6F2E2"/>
    <w:rsid w:val="BF69E885"/>
    <w:rsid w:val="BF6F4C99"/>
    <w:rsid w:val="BFB650B6"/>
    <w:rsid w:val="C6FCE371"/>
    <w:rsid w:val="C7F7F066"/>
    <w:rsid w:val="CBFF8A60"/>
    <w:rsid w:val="CD3B0D55"/>
    <w:rsid w:val="CFFF4E9E"/>
    <w:rsid w:val="D57D44D0"/>
    <w:rsid w:val="D77C3604"/>
    <w:rsid w:val="D7EE2A06"/>
    <w:rsid w:val="DA77DE6A"/>
    <w:rsid w:val="DBB74874"/>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EFBE1CC3"/>
    <w:rsid w:val="F047853D"/>
    <w:rsid w:val="F1768A54"/>
    <w:rsid w:val="F2ECBDBB"/>
    <w:rsid w:val="F4C7C781"/>
    <w:rsid w:val="F5FF6C02"/>
    <w:rsid w:val="F69F3012"/>
    <w:rsid w:val="F6FE7D1F"/>
    <w:rsid w:val="F77E2CBB"/>
    <w:rsid w:val="F7AB5BD3"/>
    <w:rsid w:val="F7B564CC"/>
    <w:rsid w:val="F7BFE11D"/>
    <w:rsid w:val="FAFF5057"/>
    <w:rsid w:val="FB7704E9"/>
    <w:rsid w:val="FBBD6810"/>
    <w:rsid w:val="FBDF6E2B"/>
    <w:rsid w:val="FBF3580F"/>
    <w:rsid w:val="FBFF326E"/>
    <w:rsid w:val="FBFFA497"/>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2020-08-19T09:20:00Z</dcterms:created>
  <dc:creator>NTKO</dc:creator>
  <cp:lastModifiedBy>zhk</cp:lastModifiedBy>
  <cp:lastPrinted>2025-02-01T14:35:00Z</cp:lastPrinted>
  <dcterms:modified xsi:type="dcterms:W3CDTF">2025-11-25T14:59:56Z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