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bookmarkStart w:id="0" w:name="_GoBack"/>
      <w:r>
        <w:rPr>
          <w:rFonts w:hint="default"/>
          <w:b/>
          <w:color w:val="0000FF"/>
          <w:sz w:val="36"/>
          <w:szCs w:val="36"/>
          <w:lang w:val="en" w:eastAsia="zh-CN"/>
        </w:rPr>
        <w:t>2025年1-3季</w:t>
      </w:r>
      <w:r>
        <w:rPr>
          <w:rFonts w:hint="eastAsia"/>
          <w:b/>
          <w:color w:val="0000FF"/>
          <w:sz w:val="36"/>
          <w:szCs w:val="36"/>
          <w:lang w:val="en" w:eastAsia="zh-CN"/>
        </w:rPr>
        <w:t>度密云区</w:t>
      </w:r>
      <w:r>
        <w:rPr>
          <w:rFonts w:hint="eastAsia"/>
          <w:b/>
          <w:color w:val="0000FF"/>
          <w:sz w:val="36"/>
          <w:szCs w:val="36"/>
        </w:rPr>
        <w:t>农林牧渔业生产情况</w:t>
      </w:r>
    </w:p>
    <w:bookmarkEnd w:id="0"/>
    <w:tbl>
      <w:tblPr>
        <w:tblStyle w:val="6"/>
        <w:tblW w:w="13258" w:type="dxa"/>
        <w:jc w:val="center"/>
        <w:tblBorders>
          <w:top w:val="single" w:color="auto" w:sz="12"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443"/>
        <w:gridCol w:w="2844"/>
        <w:gridCol w:w="2530"/>
        <w:gridCol w:w="2441"/>
      </w:tblGrid>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27" w:hRule="exact"/>
          <w:jc w:val="center"/>
        </w:trPr>
        <w:tc>
          <w:tcPr>
            <w:tcW w:w="544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项  目</w:t>
            </w:r>
          </w:p>
        </w:tc>
        <w:tc>
          <w:tcPr>
            <w:tcW w:w="2844"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highlight w:val="none"/>
                <w:lang w:val="en"/>
              </w:rPr>
            </w:pPr>
            <w:r>
              <w:rPr>
                <w:rFonts w:hint="default" w:ascii="宋体" w:hAnsi="宋体" w:cs="宋体"/>
                <w:kern w:val="0"/>
                <w:sz w:val="24"/>
                <w:lang w:val="en" w:eastAsia="zh-CN"/>
              </w:rPr>
              <w:t>2025年1-3季</w:t>
            </w:r>
            <w:r>
              <w:rPr>
                <w:rFonts w:hint="eastAsia" w:ascii="宋体" w:hAnsi="宋体" w:cs="宋体"/>
                <w:kern w:val="0"/>
                <w:sz w:val="24"/>
                <w:lang w:val="en" w:eastAsia="zh-CN"/>
              </w:rPr>
              <w:t>度</w:t>
            </w:r>
          </w:p>
        </w:tc>
        <w:tc>
          <w:tcPr>
            <w:tcW w:w="253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b/>
                <w:bCs/>
                <w:kern w:val="0"/>
                <w:sz w:val="24"/>
                <w:highlight w:val="none"/>
              </w:rPr>
            </w:pPr>
            <w:r>
              <w:rPr>
                <w:rFonts w:hint="default" w:ascii="宋体" w:hAnsi="宋体" w:cs="宋体"/>
                <w:kern w:val="0"/>
                <w:sz w:val="24"/>
                <w:lang w:val="en" w:eastAsia="zh-CN"/>
              </w:rPr>
              <w:t>2024年1-3季</w:t>
            </w:r>
            <w:r>
              <w:rPr>
                <w:rFonts w:hint="eastAsia" w:ascii="宋体" w:hAnsi="宋体" w:cs="宋体"/>
                <w:kern w:val="0"/>
                <w:sz w:val="24"/>
                <w:lang w:val="en" w:eastAsia="zh-CN"/>
              </w:rPr>
              <w:t>度</w:t>
            </w:r>
          </w:p>
        </w:tc>
        <w:tc>
          <w:tcPr>
            <w:tcW w:w="2441"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highlight w:val="none"/>
              </w:rPr>
            </w:pPr>
            <w:r>
              <w:rPr>
                <w:rFonts w:hint="eastAsia" w:ascii="宋体" w:hAnsi="宋体" w:cs="宋体"/>
                <w:kern w:val="0"/>
                <w:sz w:val="24"/>
                <w:highlight w:val="none"/>
              </w:rPr>
              <w:t>同比增长（%）</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op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outlineLvl w:val="9"/>
              <w:rPr>
                <w:rFonts w:ascii="宋体" w:hAnsi="宋体" w:cs="宋体"/>
                <w:b/>
                <w:kern w:val="0"/>
                <w:sz w:val="24"/>
              </w:rPr>
            </w:pPr>
            <w:r>
              <w:rPr>
                <w:rFonts w:hint="eastAsia" w:ascii="宋体" w:hAnsi="宋体" w:cs="宋体"/>
                <w:b/>
                <w:kern w:val="0"/>
                <w:sz w:val="24"/>
              </w:rPr>
              <w:t>农林牧渔业总产值（</w:t>
            </w:r>
            <w:r>
              <w:rPr>
                <w:rFonts w:hint="eastAsia" w:ascii="宋体" w:hAnsi="宋体" w:cs="宋体"/>
                <w:b/>
                <w:kern w:val="0"/>
                <w:sz w:val="24"/>
                <w:lang w:eastAsia="zh-CN"/>
              </w:rPr>
              <w:t>万</w:t>
            </w:r>
            <w:r>
              <w:rPr>
                <w:rFonts w:hint="eastAsia" w:ascii="宋体" w:hAnsi="宋体" w:cs="宋体"/>
                <w:b/>
                <w:kern w:val="0"/>
                <w:sz w:val="24"/>
              </w:rPr>
              <w:t>元）</w:t>
            </w:r>
          </w:p>
        </w:tc>
        <w:tc>
          <w:tcPr>
            <w:tcW w:w="2844"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kern w:val="0"/>
                <w:sz w:val="24"/>
                <w:szCs w:val="24"/>
              </w:rPr>
            </w:pPr>
            <w:r>
              <w:rPr>
                <w:rFonts w:hint="eastAsia" w:ascii="宋体" w:hAnsi="宋体" w:eastAsia="宋体" w:cs="宋体"/>
                <w:b/>
                <w:bCs/>
                <w:i w:val="0"/>
                <w:color w:val="000000"/>
                <w:kern w:val="0"/>
                <w:sz w:val="24"/>
                <w:szCs w:val="24"/>
                <w:u w:val="none"/>
                <w:lang w:val="en-US" w:eastAsia="zh-CN" w:bidi="ar"/>
              </w:rPr>
              <w:t>151624</w:t>
            </w:r>
            <w:r>
              <w:rPr>
                <w:rFonts w:hint="eastAsia" w:ascii="宋体" w:hAnsi="宋体" w:eastAsia="宋体" w:cs="宋体"/>
                <w:i w:val="0"/>
                <w:color w:val="000000"/>
                <w:kern w:val="0"/>
                <w:sz w:val="24"/>
                <w:szCs w:val="24"/>
                <w:u w:val="none"/>
                <w:lang w:val="en-US" w:eastAsia="zh-CN" w:bidi="ar"/>
              </w:rPr>
              <w:t xml:space="preserve"> </w:t>
            </w:r>
          </w:p>
        </w:tc>
        <w:tc>
          <w:tcPr>
            <w:tcW w:w="2530"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168055 </w:t>
            </w:r>
          </w:p>
        </w:tc>
        <w:tc>
          <w:tcPr>
            <w:tcW w:w="2441" w:type="dxa"/>
            <w:tcBorders>
              <w:top w:val="single" w:color="auto"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-9.8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240" w:firstLineChars="100"/>
              <w:jc w:val="left"/>
              <w:outlineLvl w:val="9"/>
              <w:rPr>
                <w:rFonts w:ascii="宋体" w:hAnsi="宋体" w:cs="宋体"/>
                <w:kern w:val="0"/>
                <w:sz w:val="24"/>
              </w:rPr>
            </w:pPr>
            <w:r>
              <w:rPr>
                <w:rFonts w:hint="eastAsia" w:ascii="宋体" w:hAnsi="宋体" w:cs="宋体"/>
                <w:kern w:val="0"/>
                <w:sz w:val="24"/>
              </w:rPr>
              <w:t>农业产值</w:t>
            </w:r>
          </w:p>
        </w:tc>
        <w:tc>
          <w:tcPr>
            <w:tcW w:w="28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86903 </w:t>
            </w:r>
          </w:p>
        </w:tc>
        <w:tc>
          <w:tcPr>
            <w:tcW w:w="25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89913 </w:t>
            </w:r>
          </w:p>
        </w:tc>
        <w:tc>
          <w:tcPr>
            <w:tcW w:w="244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-3.3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rPr>
              <w:t xml:space="preserve">  林业产值</w:t>
            </w:r>
          </w:p>
        </w:tc>
        <w:tc>
          <w:tcPr>
            <w:tcW w:w="28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4"/>
                <w:szCs w:val="24"/>
                <w:u w:val="none"/>
                <w:lang w:val="en-US" w:eastAsia="zh-CN" w:bidi="ar"/>
              </w:rPr>
              <w:t xml:space="preserve">24107 </w:t>
            </w:r>
          </w:p>
        </w:tc>
        <w:tc>
          <w:tcPr>
            <w:tcW w:w="25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29061 </w:t>
            </w:r>
          </w:p>
        </w:tc>
        <w:tc>
          <w:tcPr>
            <w:tcW w:w="244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-17.0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牧业产值</w:t>
            </w:r>
          </w:p>
        </w:tc>
        <w:tc>
          <w:tcPr>
            <w:tcW w:w="28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31466 </w:t>
            </w:r>
          </w:p>
        </w:tc>
        <w:tc>
          <w:tcPr>
            <w:tcW w:w="25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39811 </w:t>
            </w:r>
          </w:p>
        </w:tc>
        <w:tc>
          <w:tcPr>
            <w:tcW w:w="244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-21.0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渔业产值</w:t>
            </w:r>
          </w:p>
        </w:tc>
        <w:tc>
          <w:tcPr>
            <w:tcW w:w="28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2110 </w:t>
            </w:r>
          </w:p>
        </w:tc>
        <w:tc>
          <w:tcPr>
            <w:tcW w:w="25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1826 </w:t>
            </w:r>
          </w:p>
        </w:tc>
        <w:tc>
          <w:tcPr>
            <w:tcW w:w="244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15.5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60" w:hRule="atLeast"/>
          <w:jc w:val="center"/>
        </w:trPr>
        <w:tc>
          <w:tcPr>
            <w:tcW w:w="544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农林牧渔</w:t>
            </w:r>
            <w:r>
              <w:rPr>
                <w:rFonts w:hint="eastAsia" w:ascii="宋体" w:hAnsi="宋体" w:cs="宋体"/>
                <w:kern w:val="0"/>
                <w:sz w:val="24"/>
                <w:lang w:eastAsia="zh-CN"/>
              </w:rPr>
              <w:t>专业及辅助性活动产值</w:t>
            </w:r>
            <w:r>
              <w:rPr>
                <w:rFonts w:hint="eastAsia" w:ascii="宋体" w:hAnsi="宋体" w:cs="宋体"/>
                <w:kern w:val="0"/>
                <w:sz w:val="24"/>
              </w:rPr>
              <w:t xml:space="preserve"> </w:t>
            </w:r>
          </w:p>
        </w:tc>
        <w:tc>
          <w:tcPr>
            <w:tcW w:w="28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7040 </w:t>
            </w:r>
          </w:p>
        </w:tc>
        <w:tc>
          <w:tcPr>
            <w:tcW w:w="253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7444 </w:t>
            </w:r>
          </w:p>
        </w:tc>
        <w:tc>
          <w:tcPr>
            <w:tcW w:w="244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kern w:val="0"/>
                <w:sz w:val="24"/>
                <w:szCs w:val="24"/>
                <w:lang w:val="en-US"/>
              </w:rPr>
            </w:pPr>
            <w:r>
              <w:rPr>
                <w:rFonts w:hint="eastAsia" w:ascii="宋体" w:hAnsi="宋体" w:eastAsia="宋体" w:cs="宋体"/>
                <w:i w:val="0"/>
                <w:color w:val="000000"/>
                <w:kern w:val="0"/>
                <w:sz w:val="24"/>
                <w:szCs w:val="24"/>
                <w:u w:val="none"/>
                <w:lang w:val="en-US" w:eastAsia="zh-CN" w:bidi="ar"/>
              </w:rPr>
              <w:t xml:space="preserve">-5.4 </w:t>
            </w:r>
          </w:p>
        </w:tc>
      </w:tr>
      <w:tr>
        <w:tblPrEx>
          <w:tblBorders>
            <w:top w:val="single" w:color="auto" w:sz="12"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953" w:hRule="exact"/>
          <w:jc w:val="center"/>
        </w:trPr>
        <w:tc>
          <w:tcPr>
            <w:tcW w:w="13258" w:type="dxa"/>
            <w:gridSpan w:val="4"/>
            <w:tcBorders>
              <w:top w:val="single" w:color="auto" w:sz="12" w:space="0"/>
              <w:tl2br w:val="nil"/>
              <w:tr2bl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szCs w:val="24"/>
              </w:rPr>
            </w:pPr>
            <w:r>
              <w:rPr>
                <w:rFonts w:hint="eastAsia" w:ascii="楷体_GB2312" w:hAnsi="宋体" w:eastAsia="楷体_GB2312" w:cs="宋体"/>
                <w:bCs/>
                <w:sz w:val="24"/>
                <w:szCs w:val="24"/>
              </w:rPr>
              <w:t>注释：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sz w:val="21"/>
                <w:szCs w:val="21"/>
              </w:rPr>
            </w:pPr>
            <w:r>
              <w:rPr>
                <w:rFonts w:hint="eastAsia" w:ascii="楷体_GB2312" w:hAnsi="宋体" w:eastAsia="楷体_GB2312" w:cs="宋体"/>
                <w:b/>
                <w:bCs/>
                <w:sz w:val="24"/>
                <w:szCs w:val="24"/>
                <w:lang w:val="en-US" w:eastAsia="zh-CN"/>
              </w:rPr>
              <w:t>1、</w:t>
            </w:r>
            <w:r>
              <w:rPr>
                <w:rFonts w:hint="eastAsia" w:ascii="楷体_GB2312" w:hAnsi="宋体" w:eastAsia="楷体_GB2312" w:cs="宋体"/>
                <w:b/>
                <w:bCs/>
                <w:sz w:val="24"/>
                <w:szCs w:val="24"/>
              </w:rPr>
              <w:t>统计范围</w:t>
            </w:r>
            <w:r>
              <w:rPr>
                <w:rFonts w:hint="eastAsia" w:ascii="楷体_GB2312" w:hAnsi="宋体" w:eastAsia="楷体_GB2312" w:cs="宋体"/>
                <w:sz w:val="24"/>
                <w:szCs w:val="24"/>
              </w:rPr>
              <w:t>：</w:t>
            </w:r>
            <w:r>
              <w:rPr>
                <w:rFonts w:hint="eastAsia" w:ascii="楷体_GB2312" w:hAnsi="宋体" w:eastAsia="楷体_GB2312" w:cs="宋体"/>
                <w:sz w:val="24"/>
                <w:szCs w:val="24"/>
                <w:lang w:eastAsia="zh-CN"/>
              </w:rPr>
              <w:t>辖区内</w:t>
            </w:r>
            <w:r>
              <w:rPr>
                <w:rFonts w:hint="eastAsia" w:ascii="楷体_GB2312" w:hAnsi="宋体" w:eastAsia="楷体_GB2312" w:cs="宋体"/>
                <w:sz w:val="24"/>
                <w:szCs w:val="24"/>
              </w:rPr>
              <w:t>的农林牧渔业生产单位，第二、三产业法人单位中的农林牧渔业生产活动，军委系统的农业生产单位（除军马外），以及为农业生产提供服务的农林牧渔服务业单位和农户。</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2</w:t>
            </w:r>
            <w:r>
              <w:rPr>
                <w:rFonts w:hint="eastAsia" w:ascii="楷体_GB2312" w:hAnsi="宋体" w:eastAsia="楷体_GB2312" w:cs="宋体"/>
                <w:b/>
                <w:bCs/>
                <w:sz w:val="24"/>
                <w:szCs w:val="24"/>
              </w:rPr>
              <w:t>、采集渠道</w:t>
            </w:r>
            <w:r>
              <w:rPr>
                <w:rFonts w:hint="eastAsia" w:ascii="楷体_GB2312" w:hAnsi="宋体" w:eastAsia="楷体_GB2312" w:cs="宋体"/>
                <w:bCs/>
                <w:sz w:val="24"/>
                <w:szCs w:val="24"/>
              </w:rPr>
              <w:t>：</w:t>
            </w:r>
            <w:r>
              <w:rPr>
                <w:rFonts w:hint="eastAsia" w:ascii="楷体_GB2312" w:hAnsi="宋体" w:eastAsia="楷体_GB2312" w:cs="宋体"/>
                <w:sz w:val="24"/>
                <w:szCs w:val="24"/>
              </w:rPr>
              <w:t>按照《郊区统计报表制度》的规定，由乡镇、区、到市级，逐级</w:t>
            </w:r>
            <w:r>
              <w:rPr>
                <w:rFonts w:hint="eastAsia" w:ascii="楷体_GB2312" w:hAnsi="宋体" w:eastAsia="楷体_GB2312" w:cs="宋体"/>
                <w:sz w:val="24"/>
                <w:szCs w:val="24"/>
                <w:lang w:eastAsia="zh-CN"/>
              </w:rPr>
              <w:t>核算</w:t>
            </w:r>
            <w:r>
              <w:rPr>
                <w:rFonts w:hint="eastAsia" w:ascii="楷体_GB2312" w:hAnsi="宋体" w:eastAsia="楷体_GB2312" w:cs="宋体"/>
                <w:sz w:val="24"/>
                <w:szCs w:val="24"/>
              </w:rPr>
              <w:t>。</w:t>
            </w:r>
            <w:r>
              <w:rPr>
                <w:rFonts w:hint="eastAsia" w:ascii="楷体_GB2312" w:hAnsi="宋体" w:eastAsia="楷体_GB2312" w:cs="宋体"/>
                <w:sz w:val="24"/>
                <w:szCs w:val="24"/>
              </w:rPr>
              <w:br w:type="textWrapping"/>
            </w:r>
            <w:r>
              <w:rPr>
                <w:rFonts w:hint="eastAsia" w:ascii="楷体_GB2312" w:hAnsi="宋体" w:eastAsia="楷体_GB2312" w:cs="宋体"/>
                <w:b/>
                <w:sz w:val="24"/>
                <w:szCs w:val="24"/>
              </w:rPr>
              <w:t>3</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：农林牧渔业总产值：是以货币表现的农林牧渔业的全部产品总量和对农林牧渔业生产活动进行的各种支持性服务活动的价值。</w:t>
            </w:r>
          </w:p>
        </w:tc>
      </w:tr>
    </w:tbl>
    <w:p>
      <w:pPr>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C7E8DF"/>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zhk</cp:lastModifiedBy>
  <cp:lastPrinted>2025-02-01T22:35:00Z</cp:lastPrinted>
  <dcterms:modified xsi:type="dcterms:W3CDTF">2025-10-29T09:56:26Z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