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rPr>
      </w:pPr>
      <w:r>
        <w:rPr>
          <w:rFonts w:hint="eastAsia"/>
          <w:b/>
          <w:color w:val="0000FF"/>
          <w:sz w:val="36"/>
          <w:szCs w:val="36"/>
          <w:lang w:eastAsia="zh-CN"/>
        </w:rPr>
        <w:t>2025年1-7月密云区</w:t>
      </w:r>
      <w:r>
        <w:rPr>
          <w:rFonts w:hint="eastAsia"/>
          <w:b/>
          <w:color w:val="0000FF"/>
          <w:sz w:val="36"/>
          <w:szCs w:val="36"/>
        </w:rPr>
        <w:t>规模以上文化产业情况</w:t>
      </w:r>
    </w:p>
    <w:tbl>
      <w:tblPr>
        <w:tblStyle w:val="8"/>
        <w:tblpPr w:leftFromText="180" w:rightFromText="180" w:vertAnchor="text" w:horzAnchor="page" w:tblpX="2653" w:tblpY="620"/>
        <w:tblOverlap w:val="never"/>
        <w:tblW w:w="11860" w:type="dxa"/>
        <w:tblInd w:w="0" w:type="dxa"/>
        <w:tblLayout w:type="fixed"/>
        <w:tblCellMar>
          <w:top w:w="0" w:type="dxa"/>
          <w:left w:w="108" w:type="dxa"/>
          <w:bottom w:w="0" w:type="dxa"/>
          <w:right w:w="108" w:type="dxa"/>
        </w:tblCellMar>
      </w:tblPr>
      <w:tblGrid>
        <w:gridCol w:w="4868"/>
        <w:gridCol w:w="2544"/>
        <w:gridCol w:w="2264"/>
        <w:gridCol w:w="2184"/>
      </w:tblGrid>
      <w:tr>
        <w:tblPrEx>
          <w:tblLayout w:type="fixed"/>
          <w:tblCellMar>
            <w:top w:w="0" w:type="dxa"/>
            <w:left w:w="108" w:type="dxa"/>
            <w:bottom w:w="0" w:type="dxa"/>
            <w:right w:w="108" w:type="dxa"/>
          </w:tblCellMar>
        </w:tblPrEx>
        <w:trPr>
          <w:trHeight w:val="543" w:hRule="atLeast"/>
        </w:trPr>
        <w:tc>
          <w:tcPr>
            <w:tcW w:w="4868"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1440" w:firstLineChars="600"/>
              <w:outlineLvl w:val="9"/>
              <w:rPr>
                <w:rFonts w:ascii="宋体" w:hAnsi="宋体" w:cs="宋体"/>
                <w:kern w:val="0"/>
                <w:sz w:val="24"/>
              </w:rPr>
            </w:pPr>
            <w:r>
              <w:rPr>
                <w:rFonts w:hint="eastAsia" w:ascii="宋体" w:hAnsi="宋体" w:cs="宋体"/>
                <w:kern w:val="0"/>
                <w:sz w:val="24"/>
              </w:rPr>
              <w:t>项  目</w:t>
            </w:r>
          </w:p>
        </w:tc>
        <w:tc>
          <w:tcPr>
            <w:tcW w:w="254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lang w:eastAsia="zh-CN"/>
              </w:rPr>
              <w:t>2025年1-7月</w:t>
            </w:r>
          </w:p>
        </w:tc>
        <w:tc>
          <w:tcPr>
            <w:tcW w:w="226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lang w:eastAsia="zh-CN"/>
              </w:rPr>
              <w:t>2024年1-7月</w:t>
            </w:r>
          </w:p>
        </w:tc>
        <w:tc>
          <w:tcPr>
            <w:tcW w:w="2184" w:type="dxa"/>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rPr>
              <w:t>同比增长（%）</w:t>
            </w:r>
          </w:p>
        </w:tc>
      </w:tr>
      <w:tr>
        <w:tblPrEx>
          <w:tblLayout w:type="fixed"/>
          <w:tblCellMar>
            <w:top w:w="0" w:type="dxa"/>
            <w:left w:w="108" w:type="dxa"/>
            <w:bottom w:w="0" w:type="dxa"/>
            <w:right w:w="108" w:type="dxa"/>
          </w:tblCellMar>
        </w:tblPrEx>
        <w:trPr>
          <w:trHeight w:val="607" w:hRule="atLeast"/>
        </w:trPr>
        <w:tc>
          <w:tcPr>
            <w:tcW w:w="4868"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outlineLvl w:val="9"/>
              <w:rPr>
                <w:rFonts w:ascii="宋体" w:hAnsi="宋体" w:cs="宋体"/>
                <w:kern w:val="0"/>
                <w:sz w:val="24"/>
              </w:rPr>
            </w:pPr>
            <w:bookmarkStart w:id="0" w:name="_GoBack" w:colFirst="1" w:colLast="3"/>
            <w:r>
              <w:rPr>
                <w:rFonts w:hint="eastAsia" w:ascii="宋体" w:hAnsi="宋体" w:cs="宋体"/>
                <w:kern w:val="0"/>
                <w:sz w:val="24"/>
              </w:rPr>
              <w:t>收入合计（亿元）</w:t>
            </w:r>
          </w:p>
        </w:tc>
        <w:tc>
          <w:tcPr>
            <w:tcW w:w="2544" w:type="dxa"/>
            <w:tcBorders>
              <w:top w:val="nil"/>
              <w:left w:val="nil"/>
              <w:bottom w:val="nil"/>
              <w:right w:val="single" w:color="auto" w:sz="4" w:space="0"/>
            </w:tcBorders>
            <w:vAlign w:val="center"/>
          </w:tcPr>
          <w:p>
            <w:pPr>
              <w:keepNext w:val="0"/>
              <w:keepLines w:val="0"/>
              <w:widowControl/>
              <w:suppressLineNumbers w:val="0"/>
              <w:jc w:val="right"/>
              <w:textAlignment w:val="bottom"/>
              <w:rPr>
                <w:rFonts w:hint="default" w:ascii="宋体" w:hAnsi="宋体" w:cs="宋体"/>
                <w:sz w:val="24"/>
                <w:lang w:val="en-US"/>
              </w:rPr>
            </w:pPr>
            <w:r>
              <w:rPr>
                <w:rFonts w:hint="eastAsia" w:ascii="宋体" w:hAnsi="宋体" w:eastAsia="宋体" w:cs="宋体"/>
                <w:i w:val="0"/>
                <w:color w:val="000000"/>
                <w:kern w:val="0"/>
                <w:sz w:val="24"/>
                <w:szCs w:val="24"/>
                <w:u w:val="none"/>
                <w:lang w:val="en-US" w:eastAsia="zh-CN" w:bidi="ar"/>
              </w:rPr>
              <w:t xml:space="preserve">37.6 </w:t>
            </w:r>
          </w:p>
        </w:tc>
        <w:tc>
          <w:tcPr>
            <w:tcW w:w="2264" w:type="dxa"/>
            <w:tcBorders>
              <w:top w:val="nil"/>
              <w:left w:val="nil"/>
              <w:bottom w:val="nil"/>
              <w:right w:val="single" w:color="auto" w:sz="4" w:space="0"/>
            </w:tcBorders>
            <w:vAlign w:val="center"/>
          </w:tcPr>
          <w:p>
            <w:pPr>
              <w:keepNext w:val="0"/>
              <w:keepLines w:val="0"/>
              <w:widowControl/>
              <w:suppressLineNumbers w:val="0"/>
              <w:jc w:val="right"/>
              <w:textAlignment w:val="bottom"/>
              <w:rPr>
                <w:rFonts w:hint="eastAsia" w:ascii="宋体" w:hAnsi="宋体" w:cs="宋体"/>
                <w:sz w:val="24"/>
              </w:rPr>
            </w:pPr>
            <w:r>
              <w:rPr>
                <w:rFonts w:hint="eastAsia" w:ascii="宋体" w:hAnsi="宋体" w:eastAsia="宋体" w:cs="宋体"/>
                <w:i w:val="0"/>
                <w:color w:val="000000"/>
                <w:kern w:val="0"/>
                <w:sz w:val="24"/>
                <w:szCs w:val="24"/>
                <w:u w:val="none"/>
                <w:lang w:val="en-US" w:eastAsia="zh-CN" w:bidi="ar"/>
              </w:rPr>
              <w:t xml:space="preserve">40.9 </w:t>
            </w:r>
          </w:p>
        </w:tc>
        <w:tc>
          <w:tcPr>
            <w:tcW w:w="2184" w:type="dxa"/>
            <w:tcBorders>
              <w:top w:val="nil"/>
              <w:left w:val="nil"/>
              <w:bottom w:val="nil"/>
              <w:right w:val="nil"/>
            </w:tcBorders>
            <w:vAlign w:val="center"/>
          </w:tcPr>
          <w:p>
            <w:pPr>
              <w:keepNext w:val="0"/>
              <w:keepLines w:val="0"/>
              <w:widowControl/>
              <w:suppressLineNumbers w:val="0"/>
              <w:jc w:val="right"/>
              <w:textAlignment w:val="bottom"/>
              <w:rPr>
                <w:rFonts w:hint="eastAsia" w:ascii="宋体" w:hAnsi="宋体" w:cs="宋体"/>
                <w:sz w:val="24"/>
              </w:rPr>
            </w:pPr>
            <w:r>
              <w:rPr>
                <w:rFonts w:hint="eastAsia" w:ascii="宋体" w:hAnsi="宋体" w:eastAsia="宋体" w:cs="宋体"/>
                <w:i w:val="0"/>
                <w:color w:val="000000"/>
                <w:kern w:val="0"/>
                <w:sz w:val="24"/>
                <w:szCs w:val="24"/>
                <w:u w:val="none"/>
                <w:lang w:val="en-US" w:eastAsia="zh-CN" w:bidi="ar"/>
              </w:rPr>
              <w:t xml:space="preserve">-7.9 </w:t>
            </w:r>
          </w:p>
        </w:tc>
      </w:tr>
      <w:bookmarkEnd w:id="0"/>
      <w:tr>
        <w:tblPrEx>
          <w:tblLayout w:type="fixed"/>
          <w:tblCellMar>
            <w:top w:w="0" w:type="dxa"/>
            <w:left w:w="108" w:type="dxa"/>
            <w:bottom w:w="0" w:type="dxa"/>
            <w:right w:w="108" w:type="dxa"/>
          </w:tblCellMar>
        </w:tblPrEx>
        <w:trPr>
          <w:trHeight w:val="2459" w:hRule="atLeast"/>
        </w:trPr>
        <w:tc>
          <w:tcPr>
            <w:tcW w:w="11860" w:type="dxa"/>
            <w:gridSpan w:val="4"/>
            <w:tcBorders>
              <w:top w:val="single" w:color="auto" w:sz="8" w:space="0"/>
              <w:left w:val="nil"/>
            </w:tcBorders>
            <w:vAlign w:val="top"/>
          </w:tcPr>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Cs/>
                <w:sz w:val="24"/>
              </w:rPr>
            </w:pPr>
            <w:r>
              <w:rPr>
                <w:rFonts w:hint="eastAsia" w:ascii="楷体_GB2312" w:hAnsi="宋体" w:eastAsia="楷体_GB2312" w:cs="宋体"/>
                <w:bCs/>
                <w:sz w:val="24"/>
              </w:rPr>
              <w:t>注释：</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
                <w:bCs/>
                <w:sz w:val="24"/>
              </w:rPr>
            </w:pPr>
            <w:r>
              <w:rPr>
                <w:rFonts w:hint="eastAsia" w:ascii="楷体_GB2312" w:hAnsi="宋体" w:eastAsia="楷体_GB2312" w:cs="宋体"/>
                <w:b/>
                <w:bCs/>
                <w:sz w:val="24"/>
              </w:rPr>
              <w:t>一、统计范围</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kern w:val="2"/>
                <w:sz w:val="24"/>
                <w:szCs w:val="24"/>
                <w:lang w:val="en-US" w:eastAsia="zh-CN" w:bidi="ar-SA"/>
              </w:rPr>
            </w:pPr>
            <w:r>
              <w:rPr>
                <w:rFonts w:hint="eastAsia" w:ascii="楷体_GB2312" w:hAnsi="宋体" w:eastAsia="楷体_GB2312" w:cs="宋体"/>
                <w:kern w:val="2"/>
                <w:sz w:val="24"/>
                <w:szCs w:val="24"/>
                <w:lang w:val="en-US" w:eastAsia="zh-CN" w:bidi="ar-SA"/>
              </w:rPr>
              <w:t>本表数据统计范围为规模以上文化产业法人单位。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kern w:val="2"/>
                <w:sz w:val="24"/>
                <w:szCs w:val="24"/>
                <w:lang w:val="en-US" w:eastAsia="zh-CN" w:bidi="ar-SA"/>
              </w:rPr>
              <w:t>１.</w:t>
            </w:r>
            <w:r>
              <w:rPr>
                <w:rFonts w:hint="eastAsia" w:ascii="楷体_GB2312" w:hAnsi="宋体" w:eastAsia="楷体_GB2312" w:cs="宋体"/>
                <w:sz w:val="24"/>
                <w:lang w:val="en-US" w:eastAsia="zh-CN"/>
              </w:rPr>
              <w:t>文化产业：执行国家统计局印发的《文化及相关产业分类（2018）》。文化及相关产业内涵具体包括：（1）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2）为实现文化产品的生产活动所需的文化辅助生产和中介服务、文化装备生产和文化消费终端生产（包括制造和销售）等活动。</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2.规模以上的标准具体为：</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（1）年主营业务收入2000万元及以上的工业法人单位。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（2）年主营业务收入2000万元及以上的批发业法人单位。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（3）年主营业务收入500万元及以上的零售业法人单位。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（4）年营业收入2000万元及以上的交通运输、仓储和邮政业，信息传输、软件和信息技术服务业，水利、环境和公共设施管理业服务业企业法人单位。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（5）年营业收入1000万元及以上的租赁和商务服务业，科学研究和技术服务业，教育服务业企业法人单位。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（6）年营业收入500万元及以上的居民服务、修理和其他服务业，文化、体育和娱乐业服务业企业法人单位。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7）年收入合计1000万元及以上的交通运输、仓储和邮政业，信息传输、软件和信息技术服务业，租赁和商务服务业，科学研究和技术服务业，水利、环境和公共设施管理业，居民服务、修理和其他服务业，教育，文化、体育和娱乐业事业、民间非营利组织服务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3.本表数据按国民经济行业分类（GB/T 4754-2017）标准汇总。</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b/>
                <w:bCs/>
                <w:sz w:val="24"/>
              </w:rPr>
              <w:t>二、指标解释</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收入合计：指单位取得的各类收入，包括企业的营业收入和事业单位、民间非营利组织的收入合计。企业营业收入指企业生产经营活动形成的经济利益流入，包括主营业务收入和其他业务收入。事业单位收入包括财政拨款收入、事业收入、上级补助收入、经营收入、附属单位上缴收入和其他收入等。民间非营利组织收入指开展业务活动取得的、导致本期净资产增加的经济利益或者服务潜力的流入，按照其来源分为捐赠收入、会费收入、提供服务收入、商品销售收入、政府补助收入、投资收益和其他收入。</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
                <w:bCs/>
                <w:sz w:val="24"/>
                <w:lang w:val="en-US" w:eastAsia="zh-CN"/>
              </w:rPr>
            </w:pPr>
            <w:r>
              <w:rPr>
                <w:rFonts w:hint="eastAsia" w:ascii="楷体_GB2312" w:hAnsi="宋体" w:eastAsia="楷体_GB2312" w:cs="宋体"/>
                <w:b/>
                <w:bCs/>
                <w:sz w:val="24"/>
                <w:lang w:val="en-US" w:eastAsia="zh-CN"/>
              </w:rPr>
              <w:t>三、相关说明</w:t>
            </w: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r>
              <w:rPr>
                <w:rFonts w:hint="eastAsia" w:ascii="楷体_GB2312" w:hAnsi="宋体" w:eastAsia="楷体_GB2312" w:cs="宋体"/>
                <w:kern w:val="0"/>
                <w:sz w:val="24"/>
                <w:szCs w:val="24"/>
                <w:lang w:val="en-US" w:eastAsia="zh-CN" w:bidi="ar-SA"/>
              </w:rPr>
              <w:t>本表中统计指标增速的计算口径为：报告期规模以上文化产业法人单位本期数据与其上年同期数据相比的增速。</w:t>
            </w:r>
          </w:p>
        </w:tc>
      </w:tr>
    </w:tbl>
    <w:p>
      <w:pPr>
        <w:rPr>
          <w:rFonts w:hint="eastAsia"/>
          <w:lang w:eastAsia="zh-CN"/>
        </w:rPr>
      </w:pPr>
    </w:p>
    <w:p>
      <w:pPr>
        <w:pStyle w:val="2"/>
        <w:keepNext w:val="0"/>
        <w:keepLines w:val="0"/>
        <w:pageBreakBefore w:val="0"/>
        <w:kinsoku/>
        <w:wordWrap/>
        <w:overflowPunct/>
        <w:topLinePunct w:val="0"/>
        <w:autoSpaceDE/>
        <w:autoSpaceDN/>
        <w:bidi w:val="0"/>
        <w:adjustRightInd w:val="0"/>
        <w:snapToGrid w:val="0"/>
        <w:outlineLvl w:val="9"/>
        <w:rPr>
          <w:rFonts w:hint="eastAsia"/>
          <w:lang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
    <w:altName w:val="Segoe Print"/>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6E543A2"/>
    <w:rsid w:val="172B5C42"/>
    <w:rsid w:val="176149FE"/>
    <w:rsid w:val="176646C2"/>
    <w:rsid w:val="19715261"/>
    <w:rsid w:val="1A21665C"/>
    <w:rsid w:val="1AD30A1E"/>
    <w:rsid w:val="1AD8402B"/>
    <w:rsid w:val="1B0B13DC"/>
    <w:rsid w:val="1B122FB6"/>
    <w:rsid w:val="1BCD0481"/>
    <w:rsid w:val="1C0E5505"/>
    <w:rsid w:val="1C276350"/>
    <w:rsid w:val="1C56369B"/>
    <w:rsid w:val="1CD46D9A"/>
    <w:rsid w:val="1D8D5B77"/>
    <w:rsid w:val="1D98136E"/>
    <w:rsid w:val="1DFB1785"/>
    <w:rsid w:val="1EAF4D11"/>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8AC4A90"/>
    <w:rsid w:val="392A6086"/>
    <w:rsid w:val="393A7BCB"/>
    <w:rsid w:val="39C8393A"/>
    <w:rsid w:val="3ACA405B"/>
    <w:rsid w:val="3AEE30EC"/>
    <w:rsid w:val="3B4C203F"/>
    <w:rsid w:val="3B505972"/>
    <w:rsid w:val="3C094926"/>
    <w:rsid w:val="3C430EDC"/>
    <w:rsid w:val="3CA06950"/>
    <w:rsid w:val="3CD34D5E"/>
    <w:rsid w:val="3DF66AB0"/>
    <w:rsid w:val="3E5544D7"/>
    <w:rsid w:val="3ED06649"/>
    <w:rsid w:val="3EFB9B05"/>
    <w:rsid w:val="3FA684FA"/>
    <w:rsid w:val="3FAB96BE"/>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1F72A14"/>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D12EA"/>
    <w:rsid w:val="5D4E0726"/>
    <w:rsid w:val="5D8F6061"/>
    <w:rsid w:val="5FBF9E10"/>
    <w:rsid w:val="5FC37593"/>
    <w:rsid w:val="5FDF0B1C"/>
    <w:rsid w:val="5FF5D2E3"/>
    <w:rsid w:val="60FA610A"/>
    <w:rsid w:val="613D007B"/>
    <w:rsid w:val="61C65AFE"/>
    <w:rsid w:val="62578C3C"/>
    <w:rsid w:val="62612361"/>
    <w:rsid w:val="639114E6"/>
    <w:rsid w:val="65797765"/>
    <w:rsid w:val="663F737A"/>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EDF9B84"/>
    <w:rsid w:val="6F9D743A"/>
    <w:rsid w:val="6FBF1FE6"/>
    <w:rsid w:val="6FC7354D"/>
    <w:rsid w:val="6FFEDE62"/>
    <w:rsid w:val="6FFF682D"/>
    <w:rsid w:val="6FFFDF34"/>
    <w:rsid w:val="71080D89"/>
    <w:rsid w:val="7175080B"/>
    <w:rsid w:val="7186F4B4"/>
    <w:rsid w:val="726A1098"/>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7CBC52"/>
    <w:rsid w:val="778962BC"/>
    <w:rsid w:val="779A77AC"/>
    <w:rsid w:val="77E9D9C2"/>
    <w:rsid w:val="77F30C7B"/>
    <w:rsid w:val="77F6310B"/>
    <w:rsid w:val="78B553DE"/>
    <w:rsid w:val="78E85C94"/>
    <w:rsid w:val="791B108A"/>
    <w:rsid w:val="797D4315"/>
    <w:rsid w:val="7A100E94"/>
    <w:rsid w:val="7AC2683B"/>
    <w:rsid w:val="7B423B59"/>
    <w:rsid w:val="7B6FE944"/>
    <w:rsid w:val="7BA3EC91"/>
    <w:rsid w:val="7BE787CF"/>
    <w:rsid w:val="7C58388D"/>
    <w:rsid w:val="7C7A5981"/>
    <w:rsid w:val="7CF5D5DB"/>
    <w:rsid w:val="7D7EC8CD"/>
    <w:rsid w:val="7E282AF5"/>
    <w:rsid w:val="7E3D82B6"/>
    <w:rsid w:val="7E7F0693"/>
    <w:rsid w:val="7EBE223A"/>
    <w:rsid w:val="7ED92472"/>
    <w:rsid w:val="7ED99CC2"/>
    <w:rsid w:val="7F1879BC"/>
    <w:rsid w:val="7F2EC66B"/>
    <w:rsid w:val="7F3A5975"/>
    <w:rsid w:val="7F570677"/>
    <w:rsid w:val="7F5E5D34"/>
    <w:rsid w:val="7FFF1899"/>
    <w:rsid w:val="81EB3C3A"/>
    <w:rsid w:val="8CDA845A"/>
    <w:rsid w:val="8FDD6C5D"/>
    <w:rsid w:val="95CB16DE"/>
    <w:rsid w:val="99B77EE0"/>
    <w:rsid w:val="9E7B6197"/>
    <w:rsid w:val="9FED37BA"/>
    <w:rsid w:val="A1F996D1"/>
    <w:rsid w:val="AB6F98F3"/>
    <w:rsid w:val="AFBF2A6E"/>
    <w:rsid w:val="B7799B9E"/>
    <w:rsid w:val="B7FF7374"/>
    <w:rsid w:val="BB9F279F"/>
    <w:rsid w:val="BCB190C7"/>
    <w:rsid w:val="BDF6F2E2"/>
    <w:rsid w:val="BF69E885"/>
    <w:rsid w:val="BFB650B6"/>
    <w:rsid w:val="C6FCE371"/>
    <w:rsid w:val="C7F7F066"/>
    <w:rsid w:val="CD3B0D55"/>
    <w:rsid w:val="D57D44D0"/>
    <w:rsid w:val="D7EE2A06"/>
    <w:rsid w:val="DA77DE6A"/>
    <w:rsid w:val="DBB74874"/>
    <w:rsid w:val="DDF6AF67"/>
    <w:rsid w:val="DF7B08CA"/>
    <w:rsid w:val="DF7BDF92"/>
    <w:rsid w:val="DF8DE048"/>
    <w:rsid w:val="DFAB23FE"/>
    <w:rsid w:val="DFB724C3"/>
    <w:rsid w:val="DFBFE4DB"/>
    <w:rsid w:val="DFFCAA03"/>
    <w:rsid w:val="E76E574F"/>
    <w:rsid w:val="E7AFC432"/>
    <w:rsid w:val="E7DD7C91"/>
    <w:rsid w:val="E7F7B4E4"/>
    <w:rsid w:val="E7FDA2F2"/>
    <w:rsid w:val="EA6790F0"/>
    <w:rsid w:val="EBEF1CA0"/>
    <w:rsid w:val="EBF5BF5A"/>
    <w:rsid w:val="EDFE27A9"/>
    <w:rsid w:val="EEFF3E89"/>
    <w:rsid w:val="EF7D1EF3"/>
    <w:rsid w:val="EF7D7BB4"/>
    <w:rsid w:val="EF99AF02"/>
    <w:rsid w:val="F047853D"/>
    <w:rsid w:val="F2ECBDBB"/>
    <w:rsid w:val="F4C7C781"/>
    <w:rsid w:val="F5FF6C02"/>
    <w:rsid w:val="F69F3012"/>
    <w:rsid w:val="F6FE7D1F"/>
    <w:rsid w:val="F77E2CBB"/>
    <w:rsid w:val="F7AB5BD3"/>
    <w:rsid w:val="F7B564CC"/>
    <w:rsid w:val="F7BFE11D"/>
    <w:rsid w:val="FAFF5057"/>
    <w:rsid w:val="FB5FEA50"/>
    <w:rsid w:val="FBDF6E2B"/>
    <w:rsid w:val="FBFF326E"/>
    <w:rsid w:val="FD661357"/>
    <w:rsid w:val="FDF3622D"/>
    <w:rsid w:val="FDF7DFC4"/>
    <w:rsid w:val="FE1BD8BF"/>
    <w:rsid w:val="FE378603"/>
    <w:rsid w:val="FE3F8DB9"/>
    <w:rsid w:val="FE77F456"/>
    <w:rsid w:val="FECFFF92"/>
    <w:rsid w:val="FEF39F24"/>
    <w:rsid w:val="FF9FF837"/>
    <w:rsid w:val="FFAD37E5"/>
    <w:rsid w:val="FFAFF928"/>
    <w:rsid w:val="FFD83BD6"/>
    <w:rsid w:val="FFDB47DB"/>
    <w:rsid w:val="FFDDC2DC"/>
    <w:rsid w:val="FFDF4CDE"/>
    <w:rsid w:val="FFDFD5D3"/>
    <w:rsid w:val="FFE6752D"/>
    <w:rsid w:val="FFFD938C"/>
    <w:rsid w:val="FFFF7460"/>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7">
    <w:name w:val="Strong"/>
    <w:basedOn w:val="6"/>
    <w:qFormat/>
    <w:uiPriority w:val="0"/>
    <w:rPr>
      <w:b/>
    </w:rPr>
  </w:style>
  <w:style w:type="character" w:customStyle="1" w:styleId="9">
    <w:name w:val="批注文字 Char"/>
    <w:basedOn w:val="6"/>
    <w:link w:val="3"/>
    <w:qFormat/>
    <w:uiPriority w:val="0"/>
    <w:rPr>
      <w:rFonts w:ascii="??" w:hAnsi="??" w:eastAsia="宋体" w:cs="??"/>
      <w:sz w:val="32"/>
      <w:szCs w:val="21"/>
    </w:rPr>
  </w:style>
  <w:style w:type="character" w:customStyle="1" w:styleId="10">
    <w:name w:val="font21"/>
    <w:basedOn w:val="6"/>
    <w:qFormat/>
    <w:uiPriority w:val="0"/>
    <w:rPr>
      <w:rFonts w:hint="eastAsia" w:ascii="宋体" w:hAnsi="宋体" w:eastAsia="宋体" w:cs="宋体"/>
      <w:color w:val="000000"/>
      <w:sz w:val="20"/>
      <w:szCs w:val="20"/>
      <w:u w:val="none"/>
    </w:rPr>
  </w:style>
  <w:style w:type="character" w:customStyle="1" w:styleId="11">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5</TotalTime>
  <ScaleCrop>false</ScaleCrop>
  <LinksUpToDate>false</LinksUpToDate>
  <CharactersWithSpaces>2655</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2020-08-20T09:20:00Z</dcterms:created>
  <dc:creator>NTKO</dc:creator>
  <cp:lastModifiedBy>打AD的小彩笔</cp:lastModifiedBy>
  <cp:lastPrinted>2025-09-08T17:16:00Z</cp:lastPrinted>
  <dcterms:modified xsi:type="dcterms:W3CDTF">2025-09-08T07:26:14Z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