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bookmarkStart w:id="0" w:name="_GoBack"/>
      <w:r>
        <w:rPr>
          <w:rFonts w:hint="default"/>
          <w:b/>
          <w:color w:val="0000FF"/>
          <w:sz w:val="36"/>
          <w:szCs w:val="36"/>
          <w:lang w:val="en" w:eastAsia="zh-CN"/>
        </w:rPr>
        <w:t>2025年</w:t>
      </w:r>
      <w:r>
        <w:rPr>
          <w:rFonts w:hint="eastAsia"/>
          <w:b/>
          <w:color w:val="0000FF"/>
          <w:sz w:val="36"/>
          <w:szCs w:val="36"/>
          <w:lang w:val="en" w:eastAsia="zh-CN"/>
        </w:rPr>
        <w:t>1-7月密云区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bookmarkEnd w:id="0"/>
    <w:tbl>
      <w:tblPr>
        <w:tblStyle w:val="6"/>
        <w:tblW w:w="7800" w:type="dxa"/>
        <w:jc w:val="center"/>
        <w:tblLayout w:type="fixed"/>
        <w:tblCellMar>
          <w:top w:w="0" w:type="dxa"/>
          <w:left w:w="108" w:type="dxa"/>
          <w:bottom w:w="0" w:type="dxa"/>
          <w:right w:w="108" w:type="dxa"/>
        </w:tblCellMar>
      </w:tblPr>
      <w:tblGrid>
        <w:gridCol w:w="5340"/>
        <w:gridCol w:w="2395"/>
        <w:gridCol w:w="65"/>
      </w:tblGrid>
      <w:tr>
        <w:tblPrEx>
          <w:tblCellMar>
            <w:top w:w="0" w:type="dxa"/>
            <w:left w:w="108" w:type="dxa"/>
            <w:bottom w:w="0" w:type="dxa"/>
            <w:right w:w="108" w:type="dxa"/>
          </w:tblCellMar>
        </w:tblPrEx>
        <w:trPr>
          <w:gridAfter w:val="1"/>
          <w:wAfter w:w="65" w:type="dxa"/>
          <w:trHeight w:val="754" w:hRule="atLeast"/>
          <w:jc w:val="center"/>
        </w:trPr>
        <w:tc>
          <w:tcPr>
            <w:tcW w:w="534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95"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12.0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-6.2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95"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36.1 </w:t>
            </w:r>
          </w:p>
        </w:tc>
      </w:tr>
      <w:tr>
        <w:tblPrEx>
          <w:tblCellMar>
            <w:top w:w="0" w:type="dxa"/>
            <w:left w:w="108" w:type="dxa"/>
            <w:bottom w:w="0" w:type="dxa"/>
            <w:right w:w="108" w:type="dxa"/>
          </w:tblCellMar>
        </w:tblPrEx>
        <w:trPr>
          <w:gridAfter w:val="1"/>
          <w:wAfter w:w="65" w:type="dxa"/>
          <w:trHeight w:val="429" w:hRule="atLeast"/>
          <w:jc w:val="center"/>
        </w:trPr>
        <w:tc>
          <w:tcPr>
            <w:tcW w:w="534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95"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spacing w:line="44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9.3 </w:t>
            </w:r>
          </w:p>
        </w:tc>
      </w:tr>
      <w:tr>
        <w:tblPrEx>
          <w:tblCellMar>
            <w:top w:w="0" w:type="dxa"/>
            <w:left w:w="108" w:type="dxa"/>
            <w:bottom w:w="0" w:type="dxa"/>
            <w:right w:w="108" w:type="dxa"/>
          </w:tblCellMar>
        </w:tblPrEx>
        <w:trPr>
          <w:trHeight w:val="4766" w:hRule="atLeast"/>
          <w:jc w:val="center"/>
        </w:trPr>
        <w:tc>
          <w:tcPr>
            <w:tcW w:w="78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val="0"/>
                <w:bCs w:val="0"/>
                <w:sz w:val="24"/>
              </w:rPr>
            </w:pPr>
            <w:r>
              <w:rPr>
                <w:rFonts w:hint="eastAsia" w:ascii="楷体_GB2312" w:hAnsi="宋体" w:eastAsia="楷体_GB2312" w:cs="宋体"/>
                <w:b/>
                <w:bCs/>
                <w:sz w:val="24"/>
              </w:rPr>
              <w:t>1、统计范围：</w:t>
            </w:r>
            <w:r>
              <w:rPr>
                <w:rFonts w:hint="eastAsia" w:ascii="楷体_GB2312" w:hAnsi="宋体" w:eastAsia="楷体_GB2312" w:cs="宋体"/>
                <w:b w:val="0"/>
                <w:bCs w:val="0"/>
                <w:sz w:val="24"/>
              </w:rPr>
              <w:t>辖区内规模以上工业、有资质的建筑业、限额以上批发和零售业、限额以上住宿和餐饮业、有开发经营活动的全部房地产开发经营业、规模以上服务业和其他调查单位的500万元及以上固定资产投资项目。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p>
            <w:pPr>
              <w:keepNext w:val="0"/>
              <w:keepLines w:val="0"/>
              <w:pageBreakBefore w:val="0"/>
              <w:kinsoku/>
              <w:wordWrap/>
              <w:overflowPunct/>
              <w:topLinePunct w:val="0"/>
              <w:autoSpaceDE/>
              <w:autoSpaceDN/>
              <w:bidi w:val="0"/>
              <w:adjustRightInd w:val="0"/>
              <w:snapToGrid w:val="0"/>
            </w:pPr>
          </w:p>
          <w:p>
            <w:pPr>
              <w:keepNext w:val="0"/>
              <w:keepLines w:val="0"/>
              <w:pageBreakBefore w:val="0"/>
              <w:kinsoku/>
              <w:wordWrap/>
              <w:overflowPunct/>
              <w:topLinePunct w:val="0"/>
              <w:autoSpaceDE/>
              <w:autoSpaceDN/>
              <w:bidi w:val="0"/>
              <w:adjustRightInd w:val="0"/>
              <w:snapToGrid w:val="0"/>
            </w:pP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Cs/>
                <w:kern w:val="2"/>
                <w:sz w:val="24"/>
                <w:szCs w:val="24"/>
                <w:lang w:val="en-US" w:eastAsia="zh-CN" w:bidi="ar-SA"/>
              </w:rPr>
            </w:pPr>
          </w:p>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A100E94"/>
    <w:rsid w:val="7AC2683B"/>
    <w:rsid w:val="7B423B59"/>
    <w:rsid w:val="7B6FE944"/>
    <w:rsid w:val="7BA3EC91"/>
    <w:rsid w:val="7BE1996B"/>
    <w:rsid w:val="7BE787CF"/>
    <w:rsid w:val="7C58388D"/>
    <w:rsid w:val="7C7A5981"/>
    <w:rsid w:val="7CF5D5DB"/>
    <w:rsid w:val="7D7EC8CD"/>
    <w:rsid w:val="7DFF7F9D"/>
    <w:rsid w:val="7E282AF5"/>
    <w:rsid w:val="7E3D82B6"/>
    <w:rsid w:val="7E7F0693"/>
    <w:rsid w:val="7E93995F"/>
    <w:rsid w:val="7EBE223A"/>
    <w:rsid w:val="7ED92472"/>
    <w:rsid w:val="7ED99CC2"/>
    <w:rsid w:val="7F1879BC"/>
    <w:rsid w:val="7F3A5975"/>
    <w:rsid w:val="7F5E5D34"/>
    <w:rsid w:val="7FFF1899"/>
    <w:rsid w:val="81EB3C3A"/>
    <w:rsid w:val="8CDA845A"/>
    <w:rsid w:val="8FDD6C5D"/>
    <w:rsid w:val="95CB16DE"/>
    <w:rsid w:val="99B77EE0"/>
    <w:rsid w:val="9E7B6197"/>
    <w:rsid w:val="9FED37BA"/>
    <w:rsid w:val="9FEF833D"/>
    <w:rsid w:val="A1F996D1"/>
    <w:rsid w:val="AB6F98F3"/>
    <w:rsid w:val="B7799B9E"/>
    <w:rsid w:val="B7FF7374"/>
    <w:rsid w:val="BB9F279F"/>
    <w:rsid w:val="BBAED6DE"/>
    <w:rsid w:val="BCB190C7"/>
    <w:rsid w:val="BDF6F2E2"/>
    <w:rsid w:val="BF69E885"/>
    <w:rsid w:val="BFB650B6"/>
    <w:rsid w:val="BFBFBE35"/>
    <w:rsid w:val="C6FCE371"/>
    <w:rsid w:val="C7F7F066"/>
    <w:rsid w:val="CD3B0D55"/>
    <w:rsid w:val="D57D44D0"/>
    <w:rsid w:val="D7EE2A06"/>
    <w:rsid w:val="DA77DE6A"/>
    <w:rsid w:val="DBB74874"/>
    <w:rsid w:val="DDF6AF67"/>
    <w:rsid w:val="DEAFFE52"/>
    <w:rsid w:val="DEFFBE36"/>
    <w:rsid w:val="DF2A8BD6"/>
    <w:rsid w:val="DF7BDF92"/>
    <w:rsid w:val="DF8DE048"/>
    <w:rsid w:val="DFAB23FE"/>
    <w:rsid w:val="DFB724C3"/>
    <w:rsid w:val="DFBFE4DB"/>
    <w:rsid w:val="DFFCAA03"/>
    <w:rsid w:val="E7DD7C91"/>
    <w:rsid w:val="E7F7B4E4"/>
    <w:rsid w:val="E7FDA2F2"/>
    <w:rsid w:val="EA6790F0"/>
    <w:rsid w:val="EBEF1CA0"/>
    <w:rsid w:val="EBF5BF5A"/>
    <w:rsid w:val="EDFE27A9"/>
    <w:rsid w:val="EE7D0685"/>
    <w:rsid w:val="EEFF3E89"/>
    <w:rsid w:val="EF7D7BB4"/>
    <w:rsid w:val="EF99AF02"/>
    <w:rsid w:val="EFDFF313"/>
    <w:rsid w:val="F047853D"/>
    <w:rsid w:val="F2ECBDBB"/>
    <w:rsid w:val="F37BA8A6"/>
    <w:rsid w:val="F4C7C781"/>
    <w:rsid w:val="F5B3655B"/>
    <w:rsid w:val="F5FF6C02"/>
    <w:rsid w:val="F69F3012"/>
    <w:rsid w:val="F6F3A81F"/>
    <w:rsid w:val="F6FE7D1F"/>
    <w:rsid w:val="F77E2CBB"/>
    <w:rsid w:val="F7AA3AA8"/>
    <w:rsid w:val="F7AB5BD3"/>
    <w:rsid w:val="F7B564CC"/>
    <w:rsid w:val="F7BFE11D"/>
    <w:rsid w:val="F7F7C514"/>
    <w:rsid w:val="F9EA3835"/>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2020-08-20T01:20:00Z</dcterms:created>
  <dc:creator>NTKO</dc:creator>
  <cp:lastModifiedBy>zhk</cp:lastModifiedBy>
  <cp:lastPrinted>2025-02-02T06:35:00Z</cp:lastPrinted>
  <dcterms:modified xsi:type="dcterms:W3CDTF">2025-08-25T09:13:42Z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