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rPr>
      </w:pPr>
      <w:r>
        <w:rPr>
          <w:rFonts w:hint="eastAsia"/>
          <w:b/>
          <w:color w:val="0000FF"/>
          <w:sz w:val="36"/>
          <w:szCs w:val="36"/>
          <w:lang w:eastAsia="zh-CN"/>
        </w:rPr>
        <w:t>农业统计数据：2024年1-4季度</w:t>
      </w:r>
      <w:r>
        <w:rPr>
          <w:rFonts w:hint="eastAsia"/>
          <w:b/>
          <w:color w:val="0000FF"/>
          <w:sz w:val="36"/>
          <w:szCs w:val="36"/>
        </w:rPr>
        <w:t>农林牧渔业生产情况</w:t>
      </w:r>
    </w:p>
    <w:tbl>
      <w:tblPr>
        <w:tblStyle w:val="6"/>
        <w:tblW w:w="13454" w:type="dxa"/>
        <w:jc w:val="center"/>
        <w:tblBorders>
          <w:top w:val="single" w:color="auto" w:sz="12"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5523"/>
        <w:gridCol w:w="2886"/>
        <w:gridCol w:w="2568"/>
        <w:gridCol w:w="2477"/>
      </w:tblGrid>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716" w:hRule="exact"/>
          <w:jc w:val="center"/>
        </w:trPr>
        <w:tc>
          <w:tcPr>
            <w:tcW w:w="5523"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rPr>
            </w:pPr>
            <w:r>
              <w:rPr>
                <w:rFonts w:hint="eastAsia" w:ascii="宋体" w:hAnsi="宋体" w:cs="宋体"/>
                <w:kern w:val="0"/>
                <w:sz w:val="24"/>
              </w:rPr>
              <w:t>项  目</w:t>
            </w:r>
          </w:p>
        </w:tc>
        <w:tc>
          <w:tcPr>
            <w:tcW w:w="2886"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highlight w:val="none"/>
              </w:rPr>
            </w:pPr>
            <w:r>
              <w:rPr>
                <w:rFonts w:hint="eastAsia" w:ascii="宋体" w:hAnsi="宋体" w:cs="宋体"/>
                <w:kern w:val="0"/>
                <w:sz w:val="24"/>
                <w:lang w:eastAsia="zh-CN"/>
              </w:rPr>
              <w:t>2024年1-4季度</w:t>
            </w:r>
          </w:p>
        </w:tc>
        <w:tc>
          <w:tcPr>
            <w:tcW w:w="2568"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b/>
                <w:bCs/>
                <w:kern w:val="0"/>
                <w:sz w:val="24"/>
                <w:highlight w:val="none"/>
              </w:rPr>
            </w:pPr>
            <w:r>
              <w:rPr>
                <w:rFonts w:hint="eastAsia" w:ascii="宋体" w:hAnsi="宋体" w:cs="宋体"/>
                <w:kern w:val="0"/>
                <w:sz w:val="24"/>
                <w:lang w:eastAsia="zh-CN"/>
              </w:rPr>
              <w:t>202</w:t>
            </w:r>
            <w:r>
              <w:rPr>
                <w:rFonts w:hint="eastAsia" w:ascii="宋体" w:hAnsi="宋体" w:cs="宋体"/>
                <w:kern w:val="0"/>
                <w:sz w:val="24"/>
                <w:lang w:val="en-US" w:eastAsia="zh-CN"/>
              </w:rPr>
              <w:t>3</w:t>
            </w:r>
            <w:r>
              <w:rPr>
                <w:rFonts w:hint="eastAsia" w:ascii="宋体" w:hAnsi="宋体" w:cs="宋体"/>
                <w:kern w:val="0"/>
                <w:sz w:val="24"/>
                <w:lang w:eastAsia="zh-CN"/>
              </w:rPr>
              <w:t>年1-</w:t>
            </w:r>
            <w:r>
              <w:rPr>
                <w:rFonts w:hint="eastAsia" w:ascii="宋体" w:hAnsi="宋体" w:cs="宋体"/>
                <w:kern w:val="0"/>
                <w:sz w:val="24"/>
                <w:lang w:val="en-US" w:eastAsia="zh-CN"/>
              </w:rPr>
              <w:t>4</w:t>
            </w:r>
            <w:r>
              <w:rPr>
                <w:rFonts w:hint="eastAsia" w:ascii="宋体" w:hAnsi="宋体" w:cs="宋体"/>
                <w:kern w:val="0"/>
                <w:sz w:val="24"/>
                <w:lang w:eastAsia="zh-CN"/>
              </w:rPr>
              <w:t>季度</w:t>
            </w:r>
          </w:p>
        </w:tc>
        <w:tc>
          <w:tcPr>
            <w:tcW w:w="2477"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ascii="宋体" w:hAnsi="宋体" w:cs="宋体"/>
                <w:kern w:val="0"/>
                <w:sz w:val="24"/>
                <w:highlight w:val="none"/>
              </w:rPr>
            </w:pPr>
            <w:r>
              <w:rPr>
                <w:rFonts w:hint="eastAsia" w:ascii="宋体" w:hAnsi="宋体" w:cs="宋体"/>
                <w:kern w:val="0"/>
                <w:sz w:val="24"/>
                <w:highlight w:val="none"/>
              </w:rPr>
              <w:t>同比增长（%）</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op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outlineLvl w:val="9"/>
              <w:rPr>
                <w:rFonts w:ascii="宋体" w:hAnsi="宋体" w:cs="宋体"/>
                <w:b/>
                <w:kern w:val="0"/>
                <w:sz w:val="24"/>
              </w:rPr>
            </w:pPr>
            <w:r>
              <w:rPr>
                <w:rFonts w:hint="eastAsia" w:ascii="宋体" w:hAnsi="宋体" w:cs="宋体"/>
                <w:b/>
                <w:kern w:val="0"/>
                <w:sz w:val="24"/>
              </w:rPr>
              <w:t>农林牧渔业总产值（</w:t>
            </w:r>
            <w:r>
              <w:rPr>
                <w:rFonts w:hint="eastAsia" w:ascii="宋体" w:hAnsi="宋体" w:cs="宋体"/>
                <w:b/>
                <w:kern w:val="0"/>
                <w:sz w:val="24"/>
                <w:lang w:eastAsia="zh-CN"/>
              </w:rPr>
              <w:t>万</w:t>
            </w:r>
            <w:r>
              <w:rPr>
                <w:rFonts w:hint="eastAsia" w:ascii="宋体" w:hAnsi="宋体" w:cs="宋体"/>
                <w:b/>
                <w:kern w:val="0"/>
                <w:sz w:val="24"/>
              </w:rPr>
              <w:t>元）</w:t>
            </w:r>
          </w:p>
        </w:tc>
        <w:tc>
          <w:tcPr>
            <w:tcW w:w="2886" w:type="dxa"/>
            <w:tcBorders>
              <w:top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kern w:val="0"/>
                <w:sz w:val="24"/>
                <w:szCs w:val="24"/>
              </w:rPr>
            </w:pPr>
            <w:r>
              <w:rPr>
                <w:rFonts w:hint="eastAsia" w:ascii="宋体" w:hAnsi="宋体" w:eastAsia="宋体" w:cs="宋体"/>
                <w:b/>
                <w:i w:val="0"/>
                <w:color w:val="000000"/>
                <w:kern w:val="0"/>
                <w:sz w:val="24"/>
                <w:szCs w:val="24"/>
                <w:u w:val="none"/>
                <w:lang w:val="en-US" w:eastAsia="zh-CN" w:bidi="ar"/>
              </w:rPr>
              <w:t xml:space="preserve">320669 </w:t>
            </w:r>
          </w:p>
        </w:tc>
        <w:tc>
          <w:tcPr>
            <w:tcW w:w="2568" w:type="dxa"/>
            <w:tcBorders>
              <w:top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kern w:val="0"/>
                <w:sz w:val="24"/>
                <w:szCs w:val="24"/>
              </w:rPr>
            </w:pPr>
            <w:r>
              <w:rPr>
                <w:rFonts w:hint="eastAsia" w:ascii="宋体" w:hAnsi="宋体" w:eastAsia="宋体" w:cs="宋体"/>
                <w:b/>
                <w:i w:val="0"/>
                <w:color w:val="000000"/>
                <w:kern w:val="0"/>
                <w:sz w:val="24"/>
                <w:szCs w:val="24"/>
                <w:u w:val="none"/>
                <w:lang w:val="en-US" w:eastAsia="zh-CN" w:bidi="ar"/>
              </w:rPr>
              <w:t xml:space="preserve">335322 </w:t>
            </w:r>
          </w:p>
        </w:tc>
        <w:tc>
          <w:tcPr>
            <w:tcW w:w="2477" w:type="dxa"/>
            <w:tcBorders>
              <w:top w:val="single" w:color="auto" w:sz="4"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b/>
                <w:bCs/>
                <w:kern w:val="0"/>
                <w:sz w:val="24"/>
                <w:szCs w:val="24"/>
              </w:rPr>
            </w:pPr>
            <w:r>
              <w:rPr>
                <w:rFonts w:hint="eastAsia" w:ascii="宋体" w:hAnsi="宋体" w:eastAsia="宋体" w:cs="宋体"/>
                <w:b/>
                <w:i w:val="0"/>
                <w:color w:val="000000"/>
                <w:kern w:val="0"/>
                <w:sz w:val="24"/>
                <w:szCs w:val="24"/>
                <w:u w:val="none"/>
                <w:lang w:val="en-US" w:eastAsia="zh-CN" w:bidi="ar"/>
              </w:rPr>
              <w:t xml:space="preserve">-4.4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ind w:firstLine="240" w:firstLineChars="100"/>
              <w:jc w:val="left"/>
              <w:outlineLvl w:val="9"/>
              <w:rPr>
                <w:rFonts w:ascii="宋体" w:hAnsi="宋体" w:cs="宋体"/>
                <w:kern w:val="0"/>
                <w:sz w:val="24"/>
              </w:rPr>
            </w:pPr>
            <w:r>
              <w:rPr>
                <w:rFonts w:hint="eastAsia" w:ascii="宋体" w:hAnsi="宋体" w:cs="宋体"/>
                <w:kern w:val="0"/>
                <w:sz w:val="24"/>
              </w:rPr>
              <w:t>农业产值</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185787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166232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11.8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rPr>
              <w:t xml:space="preserve">  林业产值</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lang w:eastAsia="zh-CN"/>
              </w:rPr>
            </w:pPr>
            <w:r>
              <w:rPr>
                <w:rFonts w:hint="eastAsia" w:ascii="宋体" w:hAnsi="宋体" w:eastAsia="宋体" w:cs="宋体"/>
                <w:i w:val="0"/>
                <w:color w:val="000000"/>
                <w:kern w:val="0"/>
                <w:sz w:val="24"/>
                <w:szCs w:val="24"/>
                <w:u w:val="none"/>
                <w:lang w:val="en-US" w:eastAsia="zh-CN" w:bidi="ar"/>
              </w:rPr>
              <w:t xml:space="preserve">52523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91226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-42.4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牧业产值</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62272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60701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2.6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渔业产值</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8054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6488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24.1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5523" w:type="dxa"/>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宋体" w:hAnsi="宋体" w:cs="宋体"/>
                <w:kern w:val="0"/>
                <w:sz w:val="24"/>
              </w:rPr>
            </w:pPr>
            <w:r>
              <w:rPr>
                <w:rFonts w:hint="eastAsia" w:ascii="宋体" w:hAnsi="宋体" w:cs="宋体"/>
                <w:kern w:val="0"/>
                <w:sz w:val="24"/>
                <w:lang w:val="en-US" w:eastAsia="zh-CN"/>
              </w:rPr>
              <w:t xml:space="preserve">  </w:t>
            </w:r>
            <w:r>
              <w:rPr>
                <w:rFonts w:hint="eastAsia" w:ascii="宋体" w:hAnsi="宋体" w:cs="宋体"/>
                <w:kern w:val="0"/>
                <w:sz w:val="24"/>
              </w:rPr>
              <w:t>农林牧渔</w:t>
            </w:r>
            <w:r>
              <w:rPr>
                <w:rFonts w:hint="eastAsia" w:ascii="宋体" w:hAnsi="宋体" w:cs="宋体"/>
                <w:kern w:val="0"/>
                <w:sz w:val="24"/>
                <w:lang w:eastAsia="zh-CN"/>
              </w:rPr>
              <w:t>专业及辅助性活动产值</w:t>
            </w:r>
            <w:r>
              <w:rPr>
                <w:rFonts w:hint="eastAsia" w:ascii="宋体" w:hAnsi="宋体" w:cs="宋体"/>
                <w:kern w:val="0"/>
                <w:sz w:val="24"/>
              </w:rPr>
              <w:t xml:space="preserve"> </w:t>
            </w:r>
          </w:p>
        </w:tc>
        <w:tc>
          <w:tcPr>
            <w:tcW w:w="28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12033 </w:t>
            </w:r>
          </w:p>
        </w:tc>
        <w:tc>
          <w:tcPr>
            <w:tcW w:w="2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rPr>
            </w:pPr>
            <w:r>
              <w:rPr>
                <w:rFonts w:hint="eastAsia" w:ascii="宋体" w:hAnsi="宋体" w:eastAsia="宋体" w:cs="宋体"/>
                <w:i w:val="0"/>
                <w:color w:val="000000"/>
                <w:kern w:val="0"/>
                <w:sz w:val="24"/>
                <w:szCs w:val="24"/>
                <w:u w:val="none"/>
                <w:lang w:val="en-US" w:eastAsia="zh-CN" w:bidi="ar"/>
              </w:rPr>
              <w:t xml:space="preserve">10676 </w:t>
            </w:r>
          </w:p>
        </w:tc>
        <w:tc>
          <w:tcPr>
            <w:tcW w:w="247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right"/>
              <w:textAlignment w:val="center"/>
              <w:rPr>
                <w:rFonts w:hint="eastAsia" w:ascii="宋体" w:hAnsi="宋体" w:eastAsia="宋体" w:cs="宋体"/>
                <w:kern w:val="0"/>
                <w:sz w:val="24"/>
                <w:szCs w:val="24"/>
                <w:lang w:val="en-US"/>
              </w:rPr>
            </w:pPr>
            <w:r>
              <w:rPr>
                <w:rFonts w:hint="eastAsia" w:ascii="宋体" w:hAnsi="宋体" w:eastAsia="宋体" w:cs="宋体"/>
                <w:i w:val="0"/>
                <w:color w:val="000000"/>
                <w:kern w:val="0"/>
                <w:sz w:val="24"/>
                <w:szCs w:val="24"/>
                <w:u w:val="none"/>
                <w:lang w:val="en-US" w:eastAsia="zh-CN" w:bidi="ar"/>
              </w:rPr>
              <w:t xml:space="preserve">12.7 </w:t>
            </w:r>
          </w:p>
        </w:tc>
      </w:tr>
      <w:tr>
        <w:tblPrEx>
          <w:tblBorders>
            <w:top w:val="single" w:color="auto" w:sz="12"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30" w:hRule="exact"/>
          <w:jc w:val="center"/>
        </w:trPr>
        <w:tc>
          <w:tcPr>
            <w:tcW w:w="13454" w:type="dxa"/>
            <w:gridSpan w:val="4"/>
            <w:tcBorders>
              <w:top w:val="single" w:color="auto" w:sz="12" w:space="0"/>
              <w:tl2br w:val="nil"/>
              <w:tr2bl w:val="nil"/>
            </w:tcBorders>
            <w:vAlign w:val="top"/>
          </w:tcPr>
          <w:p>
            <w:pPr>
              <w:keepNext w:val="0"/>
              <w:keepLines w:val="0"/>
              <w:pageBreakBefore w:val="0"/>
              <w:kinsoku/>
              <w:wordWrap/>
              <w:overflowPunct/>
              <w:topLinePunct w:val="0"/>
              <w:autoSpaceDE/>
              <w:autoSpaceDN/>
              <w:bidi w:val="0"/>
              <w:adjustRightInd w:val="0"/>
              <w:snapToGrid w:val="0"/>
              <w:jc w:val="left"/>
              <w:outlineLvl w:val="9"/>
              <w:rPr>
                <w:rFonts w:hint="eastAsia" w:ascii="楷体_GB2312" w:hAnsi="宋体" w:eastAsia="楷体_GB2312" w:cs="宋体"/>
                <w:bCs/>
                <w:sz w:val="24"/>
                <w:szCs w:val="24"/>
              </w:rPr>
            </w:pPr>
            <w:r>
              <w:rPr>
                <w:rFonts w:hint="eastAsia" w:ascii="楷体_GB2312" w:hAnsi="宋体" w:eastAsia="楷体_GB2312" w:cs="宋体"/>
                <w:bCs/>
                <w:sz w:val="24"/>
                <w:szCs w:val="24"/>
              </w:rPr>
              <w:t>注释：</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left="0" w:right="0"/>
              <w:outlineLvl w:val="9"/>
              <w:rPr>
                <w:rFonts w:hint="eastAsia" w:ascii="楷体_GB2312" w:hAnsi="宋体" w:eastAsia="楷体_GB2312" w:cs="宋体"/>
                <w:bCs/>
                <w:sz w:val="24"/>
                <w:szCs w:val="24"/>
              </w:rPr>
            </w:pPr>
            <w:r>
              <w:rPr>
                <w:rFonts w:hint="eastAsia" w:ascii="楷体_GB2312" w:hAnsi="宋体" w:eastAsia="楷体_GB2312" w:cs="宋体"/>
                <w:b/>
                <w:bCs/>
                <w:sz w:val="24"/>
                <w:szCs w:val="24"/>
                <w:lang w:val="en-US" w:eastAsia="zh-CN"/>
              </w:rPr>
              <w:t>1、</w:t>
            </w:r>
            <w:r>
              <w:rPr>
                <w:rFonts w:hint="eastAsia" w:ascii="楷体_GB2312" w:hAnsi="宋体" w:eastAsia="楷体_GB2312" w:cs="宋体"/>
                <w:b/>
                <w:bCs/>
                <w:sz w:val="24"/>
                <w:szCs w:val="24"/>
              </w:rPr>
              <w:t>统计范围</w:t>
            </w:r>
            <w:r>
              <w:rPr>
                <w:rFonts w:hint="eastAsia" w:ascii="楷体_GB2312" w:hAnsi="宋体" w:eastAsia="楷体_GB2312" w:cs="宋体"/>
                <w:sz w:val="24"/>
                <w:szCs w:val="24"/>
              </w:rPr>
              <w:t>：农林牧渔业单位</w:t>
            </w:r>
            <w:r>
              <w:rPr>
                <w:rFonts w:hint="eastAsia" w:ascii="楷体_GB2312" w:hAnsi="宋体" w:eastAsia="楷体_GB2312" w:cs="宋体"/>
                <w:sz w:val="24"/>
                <w:szCs w:val="24"/>
                <w:lang w:eastAsia="zh-CN"/>
              </w:rPr>
              <w:t>及农户</w:t>
            </w:r>
            <w:r>
              <w:rPr>
                <w:rFonts w:hint="eastAsia" w:ascii="楷体_GB2312" w:hAnsi="宋体" w:eastAsia="楷体_GB2312" w:cs="宋体"/>
                <w:sz w:val="24"/>
                <w:szCs w:val="24"/>
              </w:rPr>
              <w:t>。</w:t>
            </w:r>
            <w:r>
              <w:rPr>
                <w:rFonts w:hint="eastAsia" w:ascii="楷体_GB2312" w:hAnsi="宋体" w:eastAsia="楷体_GB2312" w:cs="宋体"/>
                <w:sz w:val="24"/>
                <w:szCs w:val="24"/>
              </w:rPr>
              <w:br w:type="textWrapping"/>
            </w:r>
            <w:r>
              <w:rPr>
                <w:rFonts w:hint="eastAsia" w:ascii="楷体_GB2312" w:hAnsi="宋体" w:eastAsia="楷体_GB2312" w:cs="宋体"/>
                <w:b/>
                <w:sz w:val="24"/>
                <w:szCs w:val="24"/>
              </w:rPr>
              <w:t>2</w:t>
            </w:r>
            <w:r>
              <w:rPr>
                <w:rFonts w:hint="eastAsia" w:ascii="楷体_GB2312" w:hAnsi="宋体" w:eastAsia="楷体_GB2312" w:cs="宋体"/>
                <w:b/>
                <w:bCs/>
                <w:sz w:val="24"/>
                <w:szCs w:val="24"/>
              </w:rPr>
              <w:t>、采集渠道</w:t>
            </w:r>
            <w:r>
              <w:rPr>
                <w:rFonts w:hint="eastAsia" w:ascii="楷体_GB2312" w:hAnsi="宋体" w:eastAsia="楷体_GB2312" w:cs="宋体"/>
                <w:bCs/>
                <w:sz w:val="24"/>
                <w:szCs w:val="24"/>
              </w:rPr>
              <w:t>：</w:t>
            </w:r>
            <w:r>
              <w:rPr>
                <w:rFonts w:hint="eastAsia" w:ascii="楷体_GB2312" w:hAnsi="宋体" w:eastAsia="楷体_GB2312" w:cs="宋体"/>
                <w:sz w:val="24"/>
                <w:szCs w:val="24"/>
              </w:rPr>
              <w:t>按照《郊区统计报表制度》的规定，由乡镇、区、到市级，逐级</w:t>
            </w:r>
            <w:r>
              <w:rPr>
                <w:rFonts w:hint="eastAsia" w:ascii="楷体_GB2312" w:hAnsi="宋体" w:eastAsia="楷体_GB2312" w:cs="宋体"/>
                <w:sz w:val="24"/>
                <w:szCs w:val="24"/>
                <w:lang w:eastAsia="zh-CN"/>
              </w:rPr>
              <w:t>核算</w:t>
            </w:r>
            <w:r>
              <w:rPr>
                <w:rFonts w:hint="eastAsia" w:ascii="楷体_GB2312" w:hAnsi="宋体" w:eastAsia="楷体_GB2312" w:cs="宋体"/>
                <w:sz w:val="24"/>
                <w:szCs w:val="24"/>
              </w:rPr>
              <w:t>。</w:t>
            </w:r>
            <w:r>
              <w:rPr>
                <w:rFonts w:hint="eastAsia" w:ascii="楷体_GB2312" w:hAnsi="宋体" w:eastAsia="楷体_GB2312" w:cs="宋体"/>
                <w:sz w:val="24"/>
                <w:szCs w:val="24"/>
              </w:rPr>
              <w:br w:type="textWrapping"/>
            </w:r>
            <w:r>
              <w:rPr>
                <w:rFonts w:hint="eastAsia" w:ascii="楷体_GB2312" w:hAnsi="宋体" w:eastAsia="楷体_GB2312" w:cs="宋体"/>
                <w:b/>
                <w:sz w:val="24"/>
                <w:szCs w:val="24"/>
              </w:rPr>
              <w:t>3</w:t>
            </w:r>
            <w:r>
              <w:rPr>
                <w:rFonts w:hint="eastAsia" w:ascii="楷体_GB2312" w:hAnsi="宋体" w:eastAsia="楷体_GB2312" w:cs="宋体"/>
                <w:b/>
                <w:bCs/>
                <w:sz w:val="24"/>
                <w:szCs w:val="24"/>
              </w:rPr>
              <w:t>、主要统计指标解释</w:t>
            </w:r>
            <w:r>
              <w:rPr>
                <w:rFonts w:hint="eastAsia" w:ascii="楷体_GB2312" w:hAnsi="宋体" w:eastAsia="楷体_GB2312" w:cs="宋体"/>
                <w:bCs/>
                <w:sz w:val="24"/>
                <w:szCs w:val="24"/>
              </w:rPr>
              <w:t>：农林牧渔业总产值</w:t>
            </w:r>
            <w:r>
              <w:rPr>
                <w:rFonts w:hint="eastAsia" w:ascii="楷体_GB2312" w:hAnsi="宋体" w:eastAsia="楷体_GB2312" w:cs="宋体"/>
                <w:bCs/>
                <w:sz w:val="24"/>
                <w:szCs w:val="24"/>
                <w:lang w:eastAsia="zh-CN"/>
              </w:rPr>
              <w:t>：指</w:t>
            </w:r>
            <w:r>
              <w:rPr>
                <w:rFonts w:hint="eastAsia" w:ascii="楷体_GB2312" w:hAnsi="宋体" w:eastAsia="楷体_GB2312" w:cs="宋体"/>
                <w:bCs/>
                <w:sz w:val="24"/>
                <w:szCs w:val="24"/>
              </w:rPr>
              <w:t>以货币表现的农林牧渔业的全部产品总量和对农林牧渔业生产活动进行的各种支持性服务活动的价值。</w:t>
            </w:r>
          </w:p>
          <w:p>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ind w:right="0" w:rightChars="0"/>
              <w:jc w:val="both"/>
              <w:outlineLvl w:val="9"/>
              <w:rPr>
                <w:rFonts w:hint="eastAsia" w:ascii="楷体_GB2312" w:hAnsi="宋体" w:eastAsia="楷体_GB2312" w:cs="宋体"/>
                <w:sz w:val="21"/>
                <w:szCs w:val="21"/>
              </w:rPr>
            </w:pPr>
          </w:p>
        </w:tc>
      </w:tr>
    </w:tbl>
    <w:p>
      <w:pPr>
        <w:rPr>
          <w:rFonts w:hint="eastAsia"/>
        </w:rPr>
      </w:pPr>
    </w:p>
    <w:p>
      <w:pPr>
        <w:keepNext w:val="0"/>
        <w:keepLines w:val="0"/>
        <w:pageBreakBefore w:val="0"/>
        <w:kinsoku/>
        <w:wordWrap/>
        <w:overflowPunct/>
        <w:topLinePunct w:val="0"/>
        <w:autoSpaceDE/>
        <w:autoSpaceDN/>
        <w:bidi w:val="0"/>
        <w:adjustRightInd w:val="0"/>
        <w:snapToGrid w:val="0"/>
        <w:jc w:val="center"/>
        <w:outlineLvl w:val="9"/>
        <w:rPr>
          <w:rFonts w:hint="eastAsia"/>
          <w:b/>
          <w:color w:val="0000FF"/>
          <w:sz w:val="36"/>
          <w:szCs w:val="36"/>
          <w:lang w:eastAsia="zh-CN"/>
        </w:rPr>
      </w:pPr>
    </w:p>
    <w:p>
      <w:pPr>
        <w:pStyle w:val="2"/>
        <w:rPr>
          <w:rFonts w:hint="eastAsia"/>
          <w:lang w:val="en-US" w:eastAsia="zh-CN"/>
        </w:rPr>
      </w:pPr>
      <w:bookmarkStart w:id="0" w:name="_GoBack"/>
      <w:bookmarkEnd w:id="0"/>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63459DA"/>
    <w:rsid w:val="169355EC"/>
    <w:rsid w:val="172B5C4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FA684FA"/>
    <w:rsid w:val="3FAB96BE"/>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6FE944"/>
    <w:rsid w:val="7BA3EC91"/>
    <w:rsid w:val="7BE787CF"/>
    <w:rsid w:val="7C58388D"/>
    <w:rsid w:val="7C7A5981"/>
    <w:rsid w:val="7CF5D5DB"/>
    <w:rsid w:val="7D7EC8CD"/>
    <w:rsid w:val="7E282AF5"/>
    <w:rsid w:val="7E3D82B6"/>
    <w:rsid w:val="7E7F0693"/>
    <w:rsid w:val="7EBE223A"/>
    <w:rsid w:val="7ED92472"/>
    <w:rsid w:val="7ED99CC2"/>
    <w:rsid w:val="7F1879BC"/>
    <w:rsid w:val="7F3A5975"/>
    <w:rsid w:val="7F5E5D34"/>
    <w:rsid w:val="81EB3C3A"/>
    <w:rsid w:val="8CDA845A"/>
    <w:rsid w:val="8FDD6C5D"/>
    <w:rsid w:val="99B77EE0"/>
    <w:rsid w:val="9FED37BA"/>
    <w:rsid w:val="A1F996D1"/>
    <w:rsid w:val="AB6F98F3"/>
    <w:rsid w:val="B7799B9E"/>
    <w:rsid w:val="B7FF7374"/>
    <w:rsid w:val="BB9F279F"/>
    <w:rsid w:val="BDF6F2E2"/>
    <w:rsid w:val="BF69E885"/>
    <w:rsid w:val="BFB650B6"/>
    <w:rsid w:val="C6FCE371"/>
    <w:rsid w:val="C7F7F066"/>
    <w:rsid w:val="CD3B0D55"/>
    <w:rsid w:val="D57D44D0"/>
    <w:rsid w:val="D7EE2A06"/>
    <w:rsid w:val="DBB74874"/>
    <w:rsid w:val="DDF6AF67"/>
    <w:rsid w:val="DF7BDF92"/>
    <w:rsid w:val="DF8DE048"/>
    <w:rsid w:val="DFAB23FE"/>
    <w:rsid w:val="DFB724C3"/>
    <w:rsid w:val="DFBFE4DB"/>
    <w:rsid w:val="E7DD7C91"/>
    <w:rsid w:val="E7F7B4E4"/>
    <w:rsid w:val="E7FDA2F2"/>
    <w:rsid w:val="EA6790F0"/>
    <w:rsid w:val="EBEF1CA0"/>
    <w:rsid w:val="EBF5BF5A"/>
    <w:rsid w:val="EDFE27A9"/>
    <w:rsid w:val="EEFF3E89"/>
    <w:rsid w:val="EF7D7BB4"/>
    <w:rsid w:val="EF99AF02"/>
    <w:rsid w:val="F047853D"/>
    <w:rsid w:val="F2ECBDBB"/>
    <w:rsid w:val="F5FF6C02"/>
    <w:rsid w:val="F69F3012"/>
    <w:rsid w:val="F6FE7D1F"/>
    <w:rsid w:val="F7B564CC"/>
    <w:rsid w:val="F7BFE11D"/>
    <w:rsid w:val="FBDF6E2B"/>
    <w:rsid w:val="FE3F8DB9"/>
    <w:rsid w:val="FE77F456"/>
    <w:rsid w:val="FECFFF92"/>
    <w:rsid w:val="FF76FF47"/>
    <w:rsid w:val="FF9FF837"/>
    <w:rsid w:val="FFAD37E5"/>
    <w:rsid w:val="FFD83BD6"/>
    <w:rsid w:val="FFDB47DB"/>
    <w:rsid w:val="FFDDC2DC"/>
    <w:rsid w:val="FFDF01EB"/>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0</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2020-08-12T09:20:00Z</dcterms:created>
  <dc:creator>NTKO</dc:creator>
  <cp:lastModifiedBy>zhk</cp:lastModifiedBy>
  <cp:lastPrinted>2025-01-25T14:35:00Z</cp:lastPrinted>
  <dcterms:modified xsi:type="dcterms:W3CDTF">2025-01-27T08:49:45Z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