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bookmarkStart w:id="0" w:name="_GoBack"/>
      <w:r>
        <w:rPr>
          <w:rFonts w:hint="eastAsia"/>
          <w:b/>
          <w:color w:val="0000FF"/>
          <w:sz w:val="36"/>
          <w:szCs w:val="36"/>
          <w:lang w:eastAsia="zh-CN"/>
        </w:rPr>
        <w:t>房地产开发统计数据：2024年1-12月</w:t>
      </w:r>
      <w:r>
        <w:rPr>
          <w:rFonts w:hint="eastAsia"/>
          <w:b/>
          <w:color w:val="0000FF"/>
          <w:sz w:val="36"/>
          <w:szCs w:val="36"/>
        </w:rPr>
        <w:t>房地产开发投资、销售情况</w:t>
      </w:r>
    </w:p>
    <w:bookmarkEnd w:id="0"/>
    <w:tbl>
      <w:tblPr>
        <w:tblStyle w:val="6"/>
        <w:tblW w:w="7760" w:type="dxa"/>
        <w:jc w:val="center"/>
        <w:tblLayout w:type="fixed"/>
        <w:tblCellMar>
          <w:top w:w="0" w:type="dxa"/>
          <w:left w:w="108" w:type="dxa"/>
          <w:bottom w:w="0" w:type="dxa"/>
          <w:right w:w="108" w:type="dxa"/>
        </w:tblCellMar>
      </w:tblPr>
      <w:tblGrid>
        <w:gridCol w:w="5357"/>
        <w:gridCol w:w="2403"/>
      </w:tblGrid>
      <w:tr>
        <w:tblPrEx>
          <w:tblCellMar>
            <w:top w:w="0" w:type="dxa"/>
            <w:left w:w="108" w:type="dxa"/>
            <w:bottom w:w="0" w:type="dxa"/>
            <w:right w:w="108" w:type="dxa"/>
          </w:tblCellMar>
        </w:tblPrEx>
        <w:trPr>
          <w:trHeight w:val="586" w:hRule="atLeast"/>
          <w:jc w:val="center"/>
        </w:trPr>
        <w:tc>
          <w:tcPr>
            <w:tcW w:w="5357"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403"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435" w:hRule="atLeast"/>
          <w:jc w:val="center"/>
        </w:trPr>
        <w:tc>
          <w:tcPr>
            <w:tcW w:w="535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kern w:val="0"/>
                <w:sz w:val="24"/>
              </w:rPr>
            </w:pPr>
            <w:r>
              <w:rPr>
                <w:rFonts w:hint="eastAsia" w:ascii="宋体" w:hAnsi="宋体" w:cs="宋体"/>
                <w:kern w:val="0"/>
                <w:sz w:val="24"/>
              </w:rPr>
              <w:t>房地产开发投资</w:t>
            </w:r>
          </w:p>
        </w:tc>
        <w:tc>
          <w:tcPr>
            <w:tcW w:w="2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-11.1 </w:t>
            </w:r>
          </w:p>
        </w:tc>
      </w:tr>
      <w:tr>
        <w:tblPrEx>
          <w:tblCellMar>
            <w:top w:w="0" w:type="dxa"/>
            <w:left w:w="108" w:type="dxa"/>
            <w:bottom w:w="0" w:type="dxa"/>
            <w:right w:w="108" w:type="dxa"/>
          </w:tblCellMar>
        </w:tblPrEx>
        <w:trPr>
          <w:trHeight w:val="435" w:hRule="atLeast"/>
          <w:jc w:val="center"/>
        </w:trPr>
        <w:tc>
          <w:tcPr>
            <w:tcW w:w="5357" w:type="dxa"/>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kern w:val="0"/>
                <w:sz w:val="24"/>
              </w:rPr>
            </w:pPr>
            <w:r>
              <w:rPr>
                <w:rFonts w:hint="eastAsia" w:ascii="宋体" w:hAnsi="宋体" w:cs="宋体"/>
                <w:kern w:val="0"/>
                <w:sz w:val="24"/>
              </w:rPr>
              <w:t>商品房销售面积</w:t>
            </w:r>
          </w:p>
        </w:tc>
        <w:tc>
          <w:tcPr>
            <w:tcW w:w="2403"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default" w:asciiTheme="minorEastAsia" w:hAnsiTheme="minorEastAsia" w:eastAsiaTheme="minorEastAsia" w:cstheme="minorEastAsia"/>
                <w:i w:val="0"/>
                <w:color w:val="000000"/>
                <w:kern w:val="0"/>
                <w:sz w:val="24"/>
                <w:szCs w:val="24"/>
                <w:u w:val="none"/>
                <w:lang w:val="en" w:eastAsia="zh-CN" w:bidi="ar"/>
              </w:rPr>
            </w:pPr>
            <w:r>
              <w:rPr>
                <w:rFonts w:hint="default" w:asciiTheme="minorEastAsia" w:hAnsiTheme="minorEastAsia" w:eastAsiaTheme="minorEastAsia" w:cstheme="minorEastAsia"/>
                <w:i w:val="0"/>
                <w:color w:val="000000"/>
                <w:kern w:val="0"/>
                <w:sz w:val="24"/>
                <w:szCs w:val="24"/>
                <w:u w:val="none"/>
                <w:lang w:val="en" w:eastAsia="zh-CN" w:bidi="ar"/>
              </w:rPr>
              <w:t>-7.3</w:t>
            </w:r>
          </w:p>
        </w:tc>
      </w:tr>
      <w:tr>
        <w:tblPrEx>
          <w:tblCellMar>
            <w:top w:w="0" w:type="dxa"/>
            <w:left w:w="108" w:type="dxa"/>
            <w:bottom w:w="0" w:type="dxa"/>
            <w:right w:w="108" w:type="dxa"/>
          </w:tblCellMar>
        </w:tblPrEx>
        <w:trPr>
          <w:trHeight w:val="3819" w:hRule="atLeast"/>
          <w:jc w:val="center"/>
        </w:trPr>
        <w:tc>
          <w:tcPr>
            <w:tcW w:w="7760" w:type="dxa"/>
            <w:gridSpan w:val="2"/>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辖区内有开发经营活动的全部房地产开发经营业法人单位。</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纳入统计范围的房地产开发企业按照《房地产业统计报表制度》要求，通过统计数据集中采集平台上报统计数据。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3、指标解释：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val="0"/>
                <w:bCs w:val="0"/>
                <w:sz w:val="24"/>
              </w:rPr>
              <w:t>房地产开发投资（本年完成投资）：指各种登记注册类型的房地产开发法人单位统一开发的住宅、厂房、仓库、饭店、宾馆、度假村、写字楼、办公楼等房屋建筑物，配套的服务设施，土地开发工程（如道路、给水、排水、供电、供热、通讯、平整场地等基础设施工程）和土地购置的投资。不包括单纯的土地开发和交易活动。</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商品房销售面积</w:t>
            </w:r>
            <w:r>
              <w:rPr>
                <w:rFonts w:hint="eastAsia" w:ascii="楷体_GB2312" w:hAnsi="宋体" w:eastAsia="楷体_GB2312" w:cs="宋体"/>
                <w:b w:val="0"/>
                <w:bCs w:val="0"/>
                <w:sz w:val="24"/>
                <w:lang w:eastAsia="zh-CN"/>
              </w:rPr>
              <w:t>：</w:t>
            </w:r>
            <w:r>
              <w:rPr>
                <w:rFonts w:hint="eastAsia" w:ascii="楷体_GB2312" w:hAnsi="宋体" w:eastAsia="楷体_GB2312" w:cs="宋体"/>
                <w:b w:val="0"/>
                <w:bCs w:val="0"/>
                <w:sz w:val="24"/>
              </w:rPr>
              <w:t>指报告期内出售商品房屋的合同总面积(即双方签署的正式买卖合同中所确定的建筑面积)。由现房销售建筑面积和期房销售建筑面积两部分组成。</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jc w:val="both"/>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both"/>
        <w:rPr>
          <w:rFonts w:hint="eastAsia"/>
          <w:b/>
          <w:color w:val="0000FF"/>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r>
        <w:rPr>
          <w:rFonts w:hint="eastAsia"/>
          <w:b/>
          <w:color w:val="0000FF"/>
          <w:sz w:val="36"/>
          <w:szCs w:val="36"/>
          <w:highlight w:val="none"/>
          <w:lang w:eastAsia="zh-CN"/>
        </w:rPr>
        <w:t>工业统计数据：2024年1-12月</w:t>
      </w:r>
      <w:r>
        <w:rPr>
          <w:rFonts w:hint="eastAsia"/>
          <w:b/>
          <w:color w:val="0000FF"/>
          <w:sz w:val="36"/>
          <w:szCs w:val="36"/>
          <w:highlight w:val="none"/>
        </w:rPr>
        <w:t>规模以上工业生产、销售情况</w:t>
      </w:r>
    </w:p>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2024年1-12月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2024年1-12月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2159261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-4.7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2079303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-5.2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13787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13342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-49.1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13846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13990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294479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278351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31401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29742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61432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6.3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51839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-8.8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14269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14619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412689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-0.6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396237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52496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-25.8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57993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39628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-16.3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39779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173404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-19.1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167900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-25.4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149967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12.9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144015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9.1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503493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-7.5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490467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-4.8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195964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177795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57632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2.1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57486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2.6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ind w:firstLine="361" w:firstLineChars="100"/>
        <w:jc w:val="both"/>
        <w:rPr>
          <w:rFonts w:hint="eastAsia"/>
          <w:b/>
          <w:color w:val="0000FF"/>
          <w:sz w:val="36"/>
          <w:szCs w:val="36"/>
        </w:rPr>
      </w:pPr>
      <w:r>
        <w:rPr>
          <w:rFonts w:hint="eastAsia"/>
          <w:b/>
          <w:color w:val="0000FF"/>
          <w:sz w:val="36"/>
          <w:szCs w:val="36"/>
          <w:lang w:eastAsia="zh-CN"/>
        </w:rPr>
        <w:t>批发零售、住宿餐饮统计数据：2024年1-12月</w:t>
      </w:r>
      <w:r>
        <w:rPr>
          <w:rFonts w:hint="eastAsia"/>
          <w:b/>
          <w:color w:val="0000FF"/>
          <w:sz w:val="36"/>
          <w:szCs w:val="36"/>
        </w:rPr>
        <w:t>社会消费品零售总额情况</w:t>
      </w:r>
    </w:p>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2024年1-12月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1696625 </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-7.1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1584300 </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-7.1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112325 </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-8.2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eastAsia="zh-CN"/>
        </w:rPr>
      </w:pPr>
      <w:r>
        <w:rPr>
          <w:rFonts w:hint="eastAsia"/>
          <w:b/>
          <w:color w:val="0000FF"/>
          <w:sz w:val="36"/>
          <w:szCs w:val="36"/>
          <w:highlight w:val="none"/>
          <w:lang w:val="en-US" w:eastAsia="zh-CN"/>
        </w:rPr>
        <w:t>GDP核算数据：</w:t>
      </w:r>
      <w:r>
        <w:rPr>
          <w:rFonts w:hint="eastAsia"/>
          <w:b/>
          <w:color w:val="0000FF"/>
          <w:sz w:val="36"/>
          <w:szCs w:val="36"/>
          <w:highlight w:val="none"/>
          <w:lang w:eastAsia="zh-CN"/>
        </w:rPr>
        <w:t>2024年1-4季度</w:t>
      </w:r>
      <w:r>
        <w:rPr>
          <w:rFonts w:hint="eastAsia"/>
          <w:b/>
          <w:color w:val="0000FF"/>
          <w:sz w:val="36"/>
          <w:szCs w:val="36"/>
          <w:highlight w:val="none"/>
        </w:rPr>
        <w:t>地区生产总值</w:t>
      </w:r>
      <w:r>
        <w:rPr>
          <w:rFonts w:hint="eastAsia"/>
          <w:b/>
          <w:color w:val="0000FF"/>
          <w:sz w:val="36"/>
          <w:szCs w:val="36"/>
          <w:highlight w:val="none"/>
          <w:lang w:eastAsia="zh-CN"/>
        </w:rPr>
        <w:t>情况</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108"/>
        <w:gridCol w:w="3535"/>
        <w:gridCol w:w="3466"/>
        <w:gridCol w:w="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715" w:hRule="atLeast"/>
        </w:trPr>
        <w:tc>
          <w:tcPr>
            <w:tcW w:w="2302" w:type="pct"/>
            <w:tcBorders>
              <w:top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项  目</w:t>
            </w:r>
          </w:p>
        </w:tc>
        <w:tc>
          <w:tcPr>
            <w:tcW w:w="1332" w:type="pc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lang w:eastAsia="zh-CN"/>
              </w:rPr>
              <w:t>2024年1-4季度</w:t>
            </w:r>
          </w:p>
        </w:tc>
        <w:tc>
          <w:tcPr>
            <w:tcW w:w="1306" w:type="pct"/>
            <w:tcBorders>
              <w:top w:val="single" w:color="000000" w:sz="12"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single" w:color="000000" w:sz="4" w:space="0"/>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地区生产总值（万元）</w:t>
            </w:r>
          </w:p>
        </w:tc>
        <w:tc>
          <w:tcPr>
            <w:tcW w:w="3535" w:type="dxa"/>
            <w:tcBorders>
              <w:top w:val="single" w:color="000000" w:sz="4" w:space="0"/>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lang w:val="en-US" w:eastAsia="zh-CN"/>
              </w:rPr>
            </w:pPr>
            <w:r>
              <w:rPr>
                <w:rFonts w:hint="eastAsia" w:ascii="宋体" w:hAnsi="宋体" w:eastAsia="宋体" w:cs="宋体"/>
                <w:b/>
                <w:i w:val="0"/>
                <w:color w:val="000000"/>
                <w:kern w:val="0"/>
                <w:sz w:val="22"/>
                <w:szCs w:val="22"/>
                <w:u w:val="none"/>
                <w:lang w:val="en-US" w:eastAsia="zh-CN" w:bidi="ar"/>
              </w:rPr>
              <w:t xml:space="preserve">4571078 </w:t>
            </w:r>
          </w:p>
        </w:tc>
        <w:tc>
          <w:tcPr>
            <w:tcW w:w="3466" w:type="dxa"/>
            <w:tcBorders>
              <w:top w:val="single" w:color="000000" w:sz="4" w:space="0"/>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lang w:val="en-US" w:eastAsia="zh-CN"/>
              </w:rPr>
            </w:pPr>
            <w:r>
              <w:rPr>
                <w:rFonts w:hint="eastAsia" w:ascii="宋体" w:hAnsi="宋体" w:eastAsia="宋体" w:cs="宋体"/>
                <w:b/>
                <w:i w:val="0"/>
                <w:color w:val="000000"/>
                <w:kern w:val="0"/>
                <w:sz w:val="22"/>
                <w:szCs w:val="22"/>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按产业分</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kern w:val="0"/>
                <w:sz w:val="24"/>
                <w:szCs w:val="24"/>
              </w:rPr>
            </w:pPr>
          </w:p>
        </w:tc>
        <w:tc>
          <w:tcPr>
            <w:tcW w:w="3466" w:type="dxa"/>
            <w:tcBorders>
              <w:top w:val="nil"/>
              <w:left w:val="single" w:color="000000" w:sz="6" w:space="0"/>
              <w:bottom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第一产业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146344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第二产业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1007054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第三产业</w:t>
            </w:r>
          </w:p>
        </w:tc>
        <w:tc>
          <w:tcPr>
            <w:tcW w:w="3535" w:type="dxa"/>
            <w:tcBorders>
              <w:top w:val="nil"/>
              <w:left w:val="single" w:color="000000" w:sz="6"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3417680 </w:t>
            </w:r>
          </w:p>
        </w:tc>
        <w:tc>
          <w:tcPr>
            <w:tcW w:w="3466" w:type="dxa"/>
            <w:tcBorders>
              <w:top w:val="nil"/>
              <w:left w:val="single" w:color="000000" w:sz="6" w:space="0"/>
              <w:bottom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00" w:type="pct"/>
            <w:gridSpan w:val="4"/>
            <w:tcBorders>
              <w:top w:val="single" w:color="000000" w:sz="12" w:space="0"/>
              <w:bottom w:val="nil"/>
            </w:tcBorders>
            <w:vAlign w:val="center"/>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val="0"/>
                <w:bCs w:val="0"/>
                <w:sz w:val="24"/>
                <w:lang w:eastAsia="zh-CN"/>
              </w:rPr>
              <w:t>地区生产总值数据由北京市统计局统一核算反馈，增加值绝对额以现价计算，增速以不变价计算，表中数据未做机械调整。产业划分依据国家统计局2018年修订的《三次产业划分规定》（国统设管函〔2018〕74号），行业分类采用《国民经济行业分类（GB/T4754 - 2017）》。根据我国国民经济核算制度和第五次全国经济普查结果，</w:t>
            </w:r>
            <w:r>
              <w:rPr>
                <w:rFonts w:hint="eastAsia" w:ascii="楷体_GB2312" w:hAnsi="宋体" w:eastAsia="楷体_GB2312" w:cs="宋体"/>
                <w:b w:val="0"/>
                <w:bCs w:val="0"/>
                <w:sz w:val="24"/>
                <w:lang w:val="en-US" w:eastAsia="zh-CN"/>
              </w:rPr>
              <w:t>2023年密云区地区生产总值修订为437.2亿元。</w:t>
            </w:r>
          </w:p>
          <w:p>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bCs/>
                <w:sz w:val="24"/>
              </w:rPr>
              <w:t>统计范围：</w:t>
            </w:r>
            <w:r>
              <w:rPr>
                <w:rFonts w:hint="eastAsia" w:ascii="楷体_GB2312" w:hAnsi="宋体" w:eastAsia="楷体_GB2312" w:cs="宋体"/>
                <w:b w:val="0"/>
                <w:bCs w:val="0"/>
                <w:sz w:val="24"/>
              </w:rPr>
              <w:t>所有在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经济领土内部具有经济利益</w:t>
            </w:r>
            <w:r>
              <w:rPr>
                <w:rFonts w:hint="eastAsia" w:ascii="楷体_GB2312" w:hAnsi="宋体" w:eastAsia="楷体_GB2312" w:cs="宋体"/>
                <w:b w:val="0"/>
                <w:bCs w:val="0"/>
                <w:sz w:val="24"/>
                <w:highlight w:val="none"/>
              </w:rPr>
              <w:t>中心的经济单位都应该纳入地</w:t>
            </w:r>
            <w:r>
              <w:rPr>
                <w:rFonts w:hint="eastAsia" w:ascii="楷体_GB2312" w:hAnsi="宋体" w:eastAsia="楷体_GB2312" w:cs="宋体"/>
                <w:b w:val="0"/>
                <w:bCs w:val="0"/>
                <w:sz w:val="24"/>
              </w:rPr>
              <w:t>区生产总值（GDP）统计范围，即在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经济领土内拥有一定的活动场所，从事一定规模的经济活动，并超过一定时期的经济单位创造的最终产品和服务的价值。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rPr>
            </w:pPr>
            <w:r>
              <w:rPr>
                <w:rFonts w:hint="eastAsia" w:ascii="楷体_GB2312" w:hAnsi="宋体" w:eastAsia="楷体_GB2312" w:cs="宋体"/>
                <w:b/>
                <w:sz w:val="24"/>
              </w:rPr>
              <w:t>3</w:t>
            </w:r>
            <w:r>
              <w:rPr>
                <w:rFonts w:hint="eastAsia" w:ascii="楷体_GB2312" w:hAnsi="宋体" w:eastAsia="楷体_GB2312" w:cs="宋体"/>
                <w:b/>
                <w:bCs/>
                <w:sz w:val="24"/>
              </w:rPr>
              <w:t>、</w:t>
            </w:r>
            <w:r>
              <w:rPr>
                <w:rFonts w:hint="eastAsia" w:ascii="楷体_GB2312" w:hAnsi="宋体" w:eastAsia="楷体_GB2312" w:cs="宋体"/>
                <w:b/>
                <w:bCs/>
                <w:sz w:val="24"/>
                <w:lang w:eastAsia="zh-CN"/>
              </w:rPr>
              <w:t>核算方式</w:t>
            </w:r>
            <w:r>
              <w:rPr>
                <w:rFonts w:hint="eastAsia" w:ascii="楷体_GB2312" w:hAnsi="宋体" w:eastAsia="楷体_GB2312" w:cs="宋体"/>
                <w:bCs/>
                <w:sz w:val="24"/>
              </w:rPr>
              <w:t>：</w:t>
            </w:r>
            <w:r>
              <w:rPr>
                <w:rFonts w:hint="eastAsia" w:ascii="楷体_GB2312" w:hAnsi="宋体" w:eastAsia="楷体_GB2312" w:cs="宋体"/>
                <w:b w:val="0"/>
                <w:bCs w:val="0"/>
                <w:sz w:val="24"/>
              </w:rPr>
              <w:t>根据《北京市人民政府办公厅转发市统计局关于改进地区生产总值核算工作意见的通知》（京政办发[2005]5号）要求，由北京市统计局统一核算各区地区生产总值。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eastAsia="zh-CN"/>
              </w:rPr>
            </w:pPr>
            <w:r>
              <w:rPr>
                <w:rFonts w:hint="eastAsia" w:ascii="楷体_GB2312" w:hAnsi="宋体" w:eastAsia="楷体_GB2312" w:cs="宋体"/>
                <w:b/>
                <w:sz w:val="24"/>
                <w:lang w:val="en-US" w:eastAsia="zh-CN"/>
              </w:rPr>
              <w:t>4、</w:t>
            </w:r>
            <w:r>
              <w:rPr>
                <w:rFonts w:hint="eastAsia" w:ascii="楷体_GB2312" w:hAnsi="宋体" w:eastAsia="楷体_GB2312" w:cs="宋体"/>
                <w:b/>
                <w:bCs/>
                <w:sz w:val="24"/>
              </w:rPr>
              <w:t>主要统计指标解释</w:t>
            </w:r>
            <w:r>
              <w:rPr>
                <w:rFonts w:hint="eastAsia" w:ascii="楷体_GB2312" w:hAnsi="宋体" w:eastAsia="楷体_GB2312" w:cs="宋体"/>
                <w:bCs/>
                <w:sz w:val="24"/>
              </w:rPr>
              <w:t>：</w:t>
            </w:r>
            <w:r>
              <w:rPr>
                <w:rFonts w:hint="eastAsia" w:ascii="楷体_GB2312" w:hAnsi="宋体" w:eastAsia="楷体_GB2312" w:cs="宋体"/>
                <w:b w:val="0"/>
                <w:bCs w:val="0"/>
                <w:sz w:val="24"/>
              </w:rPr>
              <w:t>地区生产总值（Gross Domestic Product，简称GDP）：是一个地区的所有常住单位在一定时期内所生产的全部最终产品和服务的价值总和，是反映经济总体状况的重要指标。地区生产总值</w:t>
            </w:r>
            <w:r>
              <w:rPr>
                <w:rFonts w:hint="eastAsia" w:ascii="楷体_GB2312" w:hAnsi="宋体" w:eastAsia="楷体_GB2312" w:cs="宋体"/>
                <w:b w:val="0"/>
                <w:bCs w:val="0"/>
                <w:sz w:val="24"/>
                <w:lang w:eastAsia="zh-CN"/>
              </w:rPr>
              <w:t>按现价计算，增速按可比价计算。</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pPr>
            <w:r>
              <w:rPr>
                <w:rFonts w:hint="eastAsia" w:ascii="楷体_GB2312" w:hAnsi="宋体" w:eastAsia="楷体_GB2312" w:cs="宋体"/>
                <w:b/>
                <w:sz w:val="24"/>
                <w:lang w:val="en-US" w:eastAsia="zh-CN"/>
              </w:rPr>
              <w:t>5、</w:t>
            </w:r>
            <w:r>
              <w:rPr>
                <w:rFonts w:hint="eastAsia" w:ascii="楷体_GB2312" w:hAnsi="宋体" w:eastAsia="楷体_GB2312" w:cs="宋体"/>
                <w:b w:val="0"/>
                <w:bCs w:val="0"/>
                <w:sz w:val="24"/>
                <w:lang w:val="en-US" w:eastAsia="zh-CN"/>
              </w:rPr>
              <w:t>按照我国地区生产总值统一核算和数据发布制度规定，地区生产总值核算包括初步核算和最终核实两个步骤。</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val="en-US" w:eastAsia="zh-CN"/>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农业统计数据：2024年1-4季度</w:t>
      </w:r>
      <w:r>
        <w:rPr>
          <w:rFonts w:hint="eastAsia"/>
          <w:b/>
          <w:color w:val="0000FF"/>
          <w:sz w:val="36"/>
          <w:szCs w:val="36"/>
        </w:rPr>
        <w:t>农林牧渔业生产情况</w:t>
      </w:r>
    </w:p>
    <w:tbl>
      <w:tblPr>
        <w:tblStyle w:val="6"/>
        <w:tblW w:w="13454" w:type="dxa"/>
        <w:jc w:val="center"/>
        <w:tblBorders>
          <w:top w:val="single" w:color="auto" w:sz="12"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523"/>
        <w:gridCol w:w="2886"/>
        <w:gridCol w:w="2568"/>
        <w:gridCol w:w="2477"/>
      </w:tblGrid>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16" w:hRule="exact"/>
          <w:jc w:val="center"/>
        </w:trPr>
        <w:tc>
          <w:tcPr>
            <w:tcW w:w="552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项  目</w:t>
            </w:r>
          </w:p>
        </w:tc>
        <w:tc>
          <w:tcPr>
            <w:tcW w:w="288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highlight w:val="none"/>
              </w:rPr>
            </w:pPr>
            <w:r>
              <w:rPr>
                <w:rFonts w:hint="eastAsia" w:ascii="宋体" w:hAnsi="宋体" w:cs="宋体"/>
                <w:kern w:val="0"/>
                <w:sz w:val="24"/>
                <w:lang w:eastAsia="zh-CN"/>
              </w:rPr>
              <w:t>2024年1-4季度</w:t>
            </w:r>
          </w:p>
        </w:tc>
        <w:tc>
          <w:tcPr>
            <w:tcW w:w="256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b/>
                <w:bCs/>
                <w:kern w:val="0"/>
                <w:sz w:val="24"/>
                <w:highlight w:val="none"/>
              </w:rPr>
            </w:pPr>
            <w:r>
              <w:rPr>
                <w:rFonts w:hint="eastAsia" w:ascii="宋体" w:hAnsi="宋体" w:cs="宋体"/>
                <w:kern w:val="0"/>
                <w:sz w:val="24"/>
                <w:lang w:eastAsia="zh-CN"/>
              </w:rPr>
              <w:t>2024年1-3季度</w:t>
            </w:r>
          </w:p>
        </w:tc>
        <w:tc>
          <w:tcPr>
            <w:tcW w:w="247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highlight w:val="none"/>
              </w:rPr>
            </w:pPr>
            <w:r>
              <w:rPr>
                <w:rFonts w:hint="eastAsia" w:ascii="宋体" w:hAnsi="宋体" w:cs="宋体"/>
                <w:kern w:val="0"/>
                <w:sz w:val="24"/>
                <w:highlight w:val="none"/>
              </w:rPr>
              <w:t>同比增长（%）</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outlineLvl w:val="9"/>
              <w:rPr>
                <w:rFonts w:ascii="宋体" w:hAnsi="宋体" w:cs="宋体"/>
                <w:b/>
                <w:kern w:val="0"/>
                <w:sz w:val="24"/>
              </w:rPr>
            </w:pPr>
            <w:r>
              <w:rPr>
                <w:rFonts w:hint="eastAsia" w:ascii="宋体" w:hAnsi="宋体" w:cs="宋体"/>
                <w:b/>
                <w:kern w:val="0"/>
                <w:sz w:val="24"/>
              </w:rPr>
              <w:t>农林牧渔业总产值（</w:t>
            </w:r>
            <w:r>
              <w:rPr>
                <w:rFonts w:hint="eastAsia" w:ascii="宋体" w:hAnsi="宋体" w:cs="宋体"/>
                <w:b/>
                <w:kern w:val="0"/>
                <w:sz w:val="24"/>
                <w:lang w:eastAsia="zh-CN"/>
              </w:rPr>
              <w:t>万</w:t>
            </w:r>
            <w:r>
              <w:rPr>
                <w:rFonts w:hint="eastAsia" w:ascii="宋体" w:hAnsi="宋体" w:cs="宋体"/>
                <w:b/>
                <w:kern w:val="0"/>
                <w:sz w:val="24"/>
              </w:rPr>
              <w:t>元）</w:t>
            </w:r>
          </w:p>
        </w:tc>
        <w:tc>
          <w:tcPr>
            <w:tcW w:w="2886"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320669 </w:t>
            </w:r>
          </w:p>
        </w:tc>
        <w:tc>
          <w:tcPr>
            <w:tcW w:w="2568"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335322 </w:t>
            </w:r>
          </w:p>
        </w:tc>
        <w:tc>
          <w:tcPr>
            <w:tcW w:w="2477"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-4.4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240" w:firstLineChars="100"/>
              <w:jc w:val="left"/>
              <w:outlineLvl w:val="9"/>
              <w:rPr>
                <w:rFonts w:ascii="宋体" w:hAnsi="宋体" w:cs="宋体"/>
                <w:kern w:val="0"/>
                <w:sz w:val="24"/>
              </w:rPr>
            </w:pPr>
            <w:r>
              <w:rPr>
                <w:rFonts w:hint="eastAsia" w:ascii="宋体" w:hAnsi="宋体" w:cs="宋体"/>
                <w:kern w:val="0"/>
                <w:sz w:val="24"/>
              </w:rPr>
              <w:t>农业产值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185787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166232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11.8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rPr>
              <w:t xml:space="preserve">  林业产值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4"/>
                <w:szCs w:val="24"/>
                <w:u w:val="none"/>
                <w:lang w:val="en-US" w:eastAsia="zh-CN" w:bidi="ar"/>
              </w:rPr>
              <w:t xml:space="preserve">52523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91226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-42.4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牧业产值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62272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60701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2.6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渔业产值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8054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6488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24.1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农林牧渔</w:t>
            </w:r>
            <w:r>
              <w:rPr>
                <w:rFonts w:hint="eastAsia" w:ascii="宋体" w:hAnsi="宋体" w:cs="宋体"/>
                <w:kern w:val="0"/>
                <w:sz w:val="24"/>
                <w:lang w:eastAsia="zh-CN"/>
              </w:rPr>
              <w:t>专业及辅助性活动产值</w:t>
            </w:r>
            <w:r>
              <w:rPr>
                <w:rFonts w:hint="eastAsia" w:ascii="宋体" w:hAnsi="宋体" w:cs="宋体"/>
                <w:kern w:val="0"/>
                <w:sz w:val="24"/>
              </w:rPr>
              <w:t xml:space="preserve"> </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12033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10676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lang w:val="en-US"/>
              </w:rPr>
            </w:pPr>
            <w:r>
              <w:rPr>
                <w:rFonts w:hint="eastAsia" w:ascii="宋体" w:hAnsi="宋体" w:eastAsia="宋体" w:cs="宋体"/>
                <w:i w:val="0"/>
                <w:color w:val="000000"/>
                <w:kern w:val="0"/>
                <w:sz w:val="24"/>
                <w:szCs w:val="24"/>
                <w:u w:val="none"/>
                <w:lang w:val="en-US" w:eastAsia="zh-CN" w:bidi="ar"/>
              </w:rPr>
              <w:t xml:space="preserve">12.7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30" w:hRule="exact"/>
          <w:jc w:val="center"/>
        </w:trPr>
        <w:tc>
          <w:tcPr>
            <w:tcW w:w="13454" w:type="dxa"/>
            <w:gridSpan w:val="4"/>
            <w:tcBorders>
              <w:top w:val="single" w:color="auto" w:sz="12" w:space="0"/>
              <w:tl2br w:val="nil"/>
              <w:tr2bl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szCs w:val="24"/>
              </w:rPr>
            </w:pPr>
            <w:r>
              <w:rPr>
                <w:rFonts w:hint="eastAsia" w:ascii="楷体_GB2312" w:hAnsi="宋体" w:eastAsia="楷体_GB2312" w:cs="宋体"/>
                <w:bCs/>
                <w:sz w:val="24"/>
                <w:szCs w:val="24"/>
              </w:rPr>
              <w:t>注释：</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Cs/>
                <w:sz w:val="24"/>
                <w:szCs w:val="24"/>
              </w:rPr>
            </w:pPr>
            <w:r>
              <w:rPr>
                <w:rFonts w:hint="eastAsia" w:ascii="楷体_GB2312" w:hAnsi="宋体" w:eastAsia="楷体_GB2312" w:cs="宋体"/>
                <w:b/>
                <w:bCs/>
                <w:sz w:val="24"/>
                <w:szCs w:val="24"/>
                <w:lang w:val="en-US" w:eastAsia="zh-CN"/>
              </w:rPr>
              <w:t>1、</w:t>
            </w:r>
            <w:r>
              <w:rPr>
                <w:rFonts w:hint="eastAsia" w:ascii="楷体_GB2312" w:hAnsi="宋体" w:eastAsia="楷体_GB2312" w:cs="宋体"/>
                <w:b/>
                <w:bCs/>
                <w:sz w:val="24"/>
                <w:szCs w:val="24"/>
              </w:rPr>
              <w:t>统计范围</w:t>
            </w:r>
            <w:r>
              <w:rPr>
                <w:rFonts w:hint="eastAsia" w:ascii="楷体_GB2312" w:hAnsi="宋体" w:eastAsia="楷体_GB2312" w:cs="宋体"/>
                <w:sz w:val="24"/>
                <w:szCs w:val="24"/>
              </w:rPr>
              <w:t>：农林牧渔业单位</w:t>
            </w:r>
            <w:r>
              <w:rPr>
                <w:rFonts w:hint="eastAsia" w:ascii="楷体_GB2312" w:hAnsi="宋体" w:eastAsia="楷体_GB2312" w:cs="宋体"/>
                <w:sz w:val="24"/>
                <w:szCs w:val="24"/>
                <w:lang w:eastAsia="zh-CN"/>
              </w:rPr>
              <w:t>及农户</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2</w:t>
            </w:r>
            <w:r>
              <w:rPr>
                <w:rFonts w:hint="eastAsia" w:ascii="楷体_GB2312" w:hAnsi="宋体" w:eastAsia="楷体_GB2312" w:cs="宋体"/>
                <w:b/>
                <w:bCs/>
                <w:sz w:val="24"/>
                <w:szCs w:val="24"/>
              </w:rPr>
              <w:t>、采集渠道</w:t>
            </w:r>
            <w:r>
              <w:rPr>
                <w:rFonts w:hint="eastAsia" w:ascii="楷体_GB2312" w:hAnsi="宋体" w:eastAsia="楷体_GB2312" w:cs="宋体"/>
                <w:bCs/>
                <w:sz w:val="24"/>
                <w:szCs w:val="24"/>
              </w:rPr>
              <w:t>：</w:t>
            </w:r>
            <w:r>
              <w:rPr>
                <w:rFonts w:hint="eastAsia" w:ascii="楷体_GB2312" w:hAnsi="宋体" w:eastAsia="楷体_GB2312" w:cs="宋体"/>
                <w:sz w:val="24"/>
                <w:szCs w:val="24"/>
              </w:rPr>
              <w:t>按照《郊区统计报表制度》的规定，由乡镇、区、到市级，逐级</w:t>
            </w:r>
            <w:r>
              <w:rPr>
                <w:rFonts w:hint="eastAsia" w:ascii="楷体_GB2312" w:hAnsi="宋体" w:eastAsia="楷体_GB2312" w:cs="宋体"/>
                <w:sz w:val="24"/>
                <w:szCs w:val="24"/>
                <w:lang w:eastAsia="zh-CN"/>
              </w:rPr>
              <w:t>核算</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3</w:t>
            </w:r>
            <w:r>
              <w:rPr>
                <w:rFonts w:hint="eastAsia" w:ascii="楷体_GB2312" w:hAnsi="宋体" w:eastAsia="楷体_GB2312" w:cs="宋体"/>
                <w:b/>
                <w:bCs/>
                <w:sz w:val="24"/>
                <w:szCs w:val="24"/>
              </w:rPr>
              <w:t>、主要统计指标解释</w:t>
            </w:r>
            <w:r>
              <w:rPr>
                <w:rFonts w:hint="eastAsia" w:ascii="楷体_GB2312" w:hAnsi="宋体" w:eastAsia="楷体_GB2312" w:cs="宋体"/>
                <w:bCs/>
                <w:sz w:val="24"/>
                <w:szCs w:val="24"/>
              </w:rPr>
              <w:t>：农林牧渔业总产值</w:t>
            </w:r>
            <w:r>
              <w:rPr>
                <w:rFonts w:hint="eastAsia" w:ascii="楷体_GB2312" w:hAnsi="宋体" w:eastAsia="楷体_GB2312" w:cs="宋体"/>
                <w:bCs/>
                <w:sz w:val="24"/>
                <w:szCs w:val="24"/>
                <w:lang w:eastAsia="zh-CN"/>
              </w:rPr>
              <w:t>：指</w:t>
            </w:r>
            <w:r>
              <w:rPr>
                <w:rFonts w:hint="eastAsia" w:ascii="楷体_GB2312" w:hAnsi="宋体" w:eastAsia="楷体_GB2312" w:cs="宋体"/>
                <w:bCs/>
                <w:sz w:val="24"/>
                <w:szCs w:val="24"/>
              </w:rPr>
              <w:t>以货币表现的农林牧渔业的全部产品总量和对农林牧渔业生产活动进行的各种支持性服务活动的价值。</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outlineLvl w:val="9"/>
              <w:rPr>
                <w:rFonts w:hint="eastAsia" w:ascii="楷体_GB2312" w:hAnsi="宋体" w:eastAsia="楷体_GB2312" w:cs="宋体"/>
                <w:sz w:val="21"/>
                <w:szCs w:val="21"/>
              </w:rPr>
            </w:pPr>
          </w:p>
        </w:tc>
      </w:tr>
    </w:tbl>
    <w:p>
      <w:pPr>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农业统计数据：2024年1-4季</w:t>
      </w:r>
      <w:r>
        <w:rPr>
          <w:rFonts w:hint="default"/>
          <w:b/>
          <w:color w:val="0000FF"/>
          <w:sz w:val="36"/>
          <w:szCs w:val="36"/>
          <w:lang w:val="en" w:eastAsia="zh-CN"/>
        </w:rPr>
        <w:t>度</w:t>
      </w:r>
      <w:r>
        <w:rPr>
          <w:rFonts w:hint="eastAsia" w:cs="Times New Roman"/>
          <w:b/>
          <w:color w:val="0000FF"/>
          <w:kern w:val="2"/>
          <w:sz w:val="36"/>
          <w:szCs w:val="36"/>
          <w:lang w:eastAsia="zh-CN"/>
        </w:rPr>
        <w:t>乡村休闲旅游经营</w:t>
      </w:r>
      <w:r>
        <w:rPr>
          <w:rFonts w:hint="eastAsia"/>
          <w:b/>
          <w:color w:val="0000FF"/>
          <w:sz w:val="36"/>
          <w:szCs w:val="36"/>
        </w:rPr>
        <w:t>情况</w:t>
      </w:r>
    </w:p>
    <w:tbl>
      <w:tblPr>
        <w:tblStyle w:val="6"/>
        <w:tblW w:w="4998" w:type="pct"/>
        <w:jc w:val="center"/>
        <w:tblBorders>
          <w:top w:val="single" w:color="auto" w:sz="12"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5234"/>
        <w:gridCol w:w="4080"/>
        <w:gridCol w:w="4135"/>
      </w:tblGrid>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40" w:hRule="exact"/>
          <w:jc w:val="center"/>
        </w:trPr>
        <w:tc>
          <w:tcPr>
            <w:tcW w:w="1946" w:type="pct"/>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项  目</w:t>
            </w:r>
          </w:p>
        </w:tc>
        <w:tc>
          <w:tcPr>
            <w:tcW w:w="1517" w:type="pct"/>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highlight w:val="none"/>
                <w:lang w:val="en"/>
              </w:rPr>
            </w:pPr>
            <w:r>
              <w:rPr>
                <w:rFonts w:hint="eastAsia" w:ascii="宋体" w:hAnsi="宋体" w:cs="宋体"/>
                <w:kern w:val="0"/>
                <w:sz w:val="24"/>
                <w:highlight w:val="none"/>
                <w:lang w:eastAsia="zh-CN"/>
              </w:rPr>
              <w:t>2024年1-4季</w:t>
            </w:r>
            <w:r>
              <w:rPr>
                <w:rFonts w:hint="default" w:ascii="宋体" w:hAnsi="宋体" w:cs="宋体"/>
                <w:kern w:val="0"/>
                <w:sz w:val="24"/>
                <w:highlight w:val="none"/>
                <w:lang w:val="en" w:eastAsia="zh-CN"/>
              </w:rPr>
              <w:t>度</w:t>
            </w:r>
          </w:p>
        </w:tc>
        <w:tc>
          <w:tcPr>
            <w:tcW w:w="1535" w:type="pct"/>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highlight w:val="none"/>
                <w:lang w:eastAsia="zh-CN"/>
              </w:rPr>
            </w:pPr>
            <w:r>
              <w:rPr>
                <w:rFonts w:hint="eastAsia" w:ascii="宋体" w:hAnsi="宋体" w:cs="宋体"/>
                <w:kern w:val="0"/>
                <w:sz w:val="24"/>
                <w:highlight w:val="none"/>
              </w:rPr>
              <w:t>同比增长（%）</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02" w:hRule="exact"/>
          <w:jc w:val="center"/>
        </w:trPr>
        <w:tc>
          <w:tcPr>
            <w:tcW w:w="194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宋体" w:hAnsi="宋体" w:cs="宋体"/>
                <w:kern w:val="0"/>
                <w:sz w:val="24"/>
                <w:lang w:val="en-US" w:eastAsia="zh-CN"/>
              </w:rPr>
            </w:pPr>
            <w:r>
              <w:rPr>
                <w:rFonts w:hint="eastAsia" w:ascii="宋体" w:hAnsi="宋体" w:eastAsia="宋体" w:cs="宋体"/>
                <w:b w:val="0"/>
                <w:bCs/>
                <w:i w:val="0"/>
                <w:color w:val="000000"/>
                <w:kern w:val="0"/>
                <w:sz w:val="24"/>
                <w:szCs w:val="24"/>
                <w:u w:val="none"/>
                <w:lang w:val="en-US" w:eastAsia="zh-CN" w:bidi="ar-SA"/>
              </w:rPr>
              <w:t xml:space="preserve">  </w:t>
            </w:r>
            <w:r>
              <w:rPr>
                <w:rFonts w:hint="eastAsia" w:asciiTheme="minorEastAsia" w:hAnsiTheme="minorEastAsia" w:eastAsiaTheme="minorEastAsia" w:cstheme="minorEastAsia"/>
                <w:b w:val="0"/>
                <w:bCs/>
                <w:i w:val="0"/>
                <w:color w:val="000000"/>
                <w:kern w:val="0"/>
                <w:sz w:val="24"/>
                <w:szCs w:val="24"/>
                <w:u w:val="none"/>
                <w:lang w:val="en-US" w:eastAsia="zh-CN" w:bidi="ar-SA"/>
              </w:rPr>
              <w:t>总收入（万元</w:t>
            </w:r>
            <w:r>
              <w:rPr>
                <w:rFonts w:hint="eastAsia" w:asciiTheme="minorEastAsia" w:hAnsiTheme="minorEastAsia" w:eastAsiaTheme="minorEastAsia" w:cstheme="minorEastAsia"/>
                <w:kern w:val="0"/>
                <w:sz w:val="24"/>
                <w:lang w:val="en-US" w:eastAsia="zh-CN"/>
              </w:rPr>
              <w:t>）</w:t>
            </w:r>
          </w:p>
        </w:tc>
        <w:tc>
          <w:tcPr>
            <w:tcW w:w="4080" w:type="dxa"/>
            <w:tcBorders>
              <w:tl2br w:val="nil"/>
              <w:tr2bl w:val="nil"/>
            </w:tcBorders>
            <w:vAlign w:val="center"/>
          </w:tcPr>
          <w:p>
            <w:pPr>
              <w:keepNext w:val="0"/>
              <w:keepLines w:val="0"/>
              <w:widowControl/>
              <w:suppressLineNumbers w:val="0"/>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84191.7 </w:t>
            </w:r>
          </w:p>
        </w:tc>
        <w:tc>
          <w:tcPr>
            <w:tcW w:w="4135" w:type="dxa"/>
            <w:tcBorders>
              <w:tl2br w:val="nil"/>
              <w:tr2bl w:val="nil"/>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0.2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6" w:hRule="exact"/>
          <w:jc w:val="center"/>
        </w:trPr>
        <w:tc>
          <w:tcPr>
            <w:tcW w:w="1946" w:type="pct"/>
            <w:tcBorders>
              <w:bottom w:val="single" w:color="auto" w:sz="12" w:space="0"/>
            </w:tcBorders>
            <w:vAlign w:val="center"/>
          </w:tcPr>
          <w:p>
            <w:pPr>
              <w:jc w:val="both"/>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b w:val="0"/>
                <w:bCs/>
                <w:i w:val="0"/>
                <w:color w:val="000000"/>
                <w:kern w:val="0"/>
                <w:sz w:val="24"/>
                <w:szCs w:val="24"/>
                <w:u w:val="none"/>
                <w:lang w:val="en-US" w:eastAsia="zh-CN" w:bidi="ar-SA"/>
              </w:rPr>
              <w:t>接待人次（万人次）</w:t>
            </w:r>
          </w:p>
        </w:tc>
        <w:tc>
          <w:tcPr>
            <w:tcW w:w="4080" w:type="dxa"/>
            <w:tcBorders>
              <w:bottom w:val="single" w:color="auto" w:sz="12" w:space="0"/>
            </w:tcBorders>
            <w:vAlign w:val="center"/>
          </w:tcPr>
          <w:p>
            <w:pPr>
              <w:keepNext w:val="0"/>
              <w:keepLines w:val="0"/>
              <w:widowControl/>
              <w:suppressLineNumbers w:val="0"/>
              <w:jc w:val="right"/>
              <w:textAlignment w:val="center"/>
              <w:rPr>
                <w:sz w:val="24"/>
                <w:szCs w:val="24"/>
              </w:rPr>
            </w:pPr>
            <w:r>
              <w:rPr>
                <w:rFonts w:hint="eastAsia" w:ascii="宋体" w:hAnsi="宋体" w:eastAsia="宋体" w:cs="宋体"/>
                <w:i w:val="0"/>
                <w:color w:val="000000"/>
                <w:kern w:val="0"/>
                <w:sz w:val="24"/>
                <w:szCs w:val="24"/>
                <w:u w:val="none"/>
                <w:lang w:val="en-US" w:eastAsia="zh-CN" w:bidi="ar"/>
              </w:rPr>
              <w:t xml:space="preserve">490.8 </w:t>
            </w:r>
          </w:p>
        </w:tc>
        <w:tc>
          <w:tcPr>
            <w:tcW w:w="4135" w:type="dxa"/>
            <w:tcBorders>
              <w:bottom w:val="single" w:color="auto" w:sz="12"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998" w:hRule="exact"/>
          <w:jc w:val="center"/>
        </w:trPr>
        <w:tc>
          <w:tcPr>
            <w:tcW w:w="5000" w:type="pct"/>
            <w:gridSpan w:val="3"/>
            <w:tcBorders>
              <w:top w:val="single" w:color="auto" w:sz="12" w:space="0"/>
              <w:tl2br w:val="nil"/>
              <w:tr2bl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szCs w:val="24"/>
              </w:rPr>
            </w:pPr>
            <w:r>
              <w:rPr>
                <w:rFonts w:hint="eastAsia" w:ascii="楷体_GB2312" w:hAnsi="宋体" w:eastAsia="楷体_GB2312" w:cs="宋体"/>
                <w:bCs/>
                <w:sz w:val="24"/>
                <w:szCs w:val="24"/>
              </w:rPr>
              <w:t>注释：</w:t>
            </w:r>
          </w:p>
          <w:p>
            <w:pPr>
              <w:keepNext w:val="0"/>
              <w:keepLines w:val="0"/>
              <w:pageBreakBefore w:val="0"/>
              <w:kinsoku/>
              <w:wordWrap/>
              <w:overflowPunct/>
              <w:topLinePunct w:val="0"/>
              <w:autoSpaceDE/>
              <w:autoSpaceDN/>
              <w:bidi w:val="0"/>
              <w:adjustRightInd w:val="0"/>
              <w:snapToGrid w:val="0"/>
              <w:spacing w:beforeLines="0" w:afterLines="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b/>
                <w:bCs/>
                <w:sz w:val="24"/>
                <w:szCs w:val="24"/>
                <w:lang w:val="en-US" w:eastAsia="zh-CN"/>
              </w:rPr>
              <w:t>1、</w:t>
            </w:r>
            <w:r>
              <w:rPr>
                <w:rFonts w:hint="eastAsia" w:ascii="楷体_GB2312" w:hAnsi="宋体" w:eastAsia="楷体_GB2312" w:cs="宋体"/>
                <w:b/>
                <w:bCs/>
                <w:sz w:val="24"/>
                <w:szCs w:val="24"/>
              </w:rPr>
              <w:t>统计范围</w:t>
            </w:r>
            <w:r>
              <w:rPr>
                <w:rFonts w:hint="eastAsia" w:ascii="楷体_GB2312" w:hAnsi="宋体" w:eastAsia="楷体_GB2312" w:cs="宋体"/>
                <w:sz w:val="24"/>
                <w:szCs w:val="24"/>
              </w:rPr>
              <w:t>：</w:t>
            </w:r>
            <w:r>
              <w:rPr>
                <w:rFonts w:hint="eastAsia" w:ascii="楷体_GB2312" w:hAnsi="宋体" w:eastAsia="楷体_GB2312" w:cs="宋体"/>
                <w:kern w:val="0"/>
                <w:sz w:val="24"/>
                <w:szCs w:val="24"/>
                <w:lang w:val="en-US" w:eastAsia="zh-CN" w:bidi="ar-SA"/>
              </w:rPr>
              <w:t>行政村范围内乡村休闲旅游经营主体。</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Cs/>
                <w:sz w:val="24"/>
                <w:szCs w:val="24"/>
                <w:lang w:val="en-US" w:eastAsia="zh-CN"/>
              </w:rPr>
            </w:pPr>
            <w:r>
              <w:rPr>
                <w:rFonts w:hint="eastAsia" w:ascii="楷体_GB2312" w:hAnsi="宋体" w:eastAsia="楷体_GB2312" w:cs="宋体"/>
                <w:b/>
                <w:sz w:val="24"/>
                <w:szCs w:val="24"/>
              </w:rPr>
              <w:t>2</w:t>
            </w:r>
            <w:r>
              <w:rPr>
                <w:rFonts w:hint="eastAsia" w:ascii="楷体_GB2312" w:hAnsi="宋体" w:eastAsia="楷体_GB2312" w:cs="宋体"/>
                <w:b/>
                <w:bCs/>
                <w:sz w:val="24"/>
                <w:szCs w:val="24"/>
              </w:rPr>
              <w:t>、采集渠道</w:t>
            </w:r>
            <w:r>
              <w:rPr>
                <w:rFonts w:hint="eastAsia" w:ascii="楷体_GB2312" w:hAnsi="宋体" w:eastAsia="楷体_GB2312" w:cs="宋体"/>
                <w:bCs/>
                <w:sz w:val="24"/>
                <w:szCs w:val="24"/>
              </w:rPr>
              <w:t>：</w:t>
            </w:r>
            <w:r>
              <w:rPr>
                <w:rFonts w:hint="eastAsia" w:ascii="楷体_GB2312" w:hAnsi="宋体" w:eastAsia="楷体_GB2312" w:cs="宋体"/>
                <w:sz w:val="24"/>
                <w:szCs w:val="24"/>
              </w:rPr>
              <w:t>按照《郊区统计报表制度》的规定，由村、乡镇、区、到市级，逐级汇总。</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3</w:t>
            </w:r>
            <w:r>
              <w:rPr>
                <w:rFonts w:hint="eastAsia" w:ascii="楷体_GB2312" w:hAnsi="宋体" w:eastAsia="楷体_GB2312" w:cs="宋体"/>
                <w:b/>
                <w:bCs/>
                <w:sz w:val="24"/>
                <w:szCs w:val="24"/>
              </w:rPr>
              <w:t>、主要统计指标解释</w:t>
            </w:r>
            <w:r>
              <w:rPr>
                <w:rFonts w:hint="eastAsia" w:ascii="楷体_GB2312" w:hAnsi="宋体" w:eastAsia="楷体_GB2312" w:cs="宋体"/>
                <w:bCs/>
                <w:sz w:val="24"/>
                <w:szCs w:val="24"/>
              </w:rPr>
              <w:t>：</w:t>
            </w:r>
            <w:r>
              <w:rPr>
                <w:rFonts w:hint="eastAsia" w:ascii="楷体_GB2312" w:hAnsi="宋体" w:eastAsia="楷体_GB2312" w:cs="宋体"/>
                <w:bCs/>
                <w:sz w:val="24"/>
                <w:szCs w:val="24"/>
                <w:lang w:val="en-US" w:eastAsia="zh-CN"/>
              </w:rPr>
              <w:t>接待人次：指规定调查期内经营主体接待的人次。总收入：指经营主体从事各类业务活动取得的收入。具体包括门票收入、采摘收入、出售农产品收入、出售其他商品收入、休闲娱乐收入、餐饮收入、住宿收入和其他收入</w:t>
            </w:r>
          </w:p>
        </w:tc>
      </w:tr>
    </w:tbl>
    <w:p>
      <w:pPr>
        <w:jc w:val="center"/>
        <w:rPr>
          <w:rFonts w:hint="eastAsia"/>
          <w:b/>
          <w:color w:val="0000FF"/>
          <w:sz w:val="36"/>
          <w:szCs w:val="36"/>
          <w:lang w:eastAsia="zh-CN"/>
        </w:rPr>
      </w:pPr>
    </w:p>
    <w:p>
      <w:pPr>
        <w:pStyle w:val="2"/>
        <w:rPr>
          <w:rFonts w:hint="eastAsia"/>
          <w:b/>
          <w:color w:val="0000FF"/>
          <w:sz w:val="36"/>
          <w:szCs w:val="36"/>
          <w:lang w:eastAsia="zh-CN"/>
        </w:rPr>
      </w:pPr>
    </w:p>
    <w:p>
      <w:pPr>
        <w:rPr>
          <w:rFonts w:hint="eastAsia"/>
          <w:b/>
          <w:color w:val="0000FF"/>
          <w:sz w:val="36"/>
          <w:szCs w:val="36"/>
          <w:lang w:eastAsia="zh-CN"/>
        </w:rPr>
      </w:pPr>
    </w:p>
    <w:p>
      <w:pPr>
        <w:pStyle w:val="2"/>
        <w:rPr>
          <w:rFonts w:hint="eastAsia"/>
          <w:b/>
          <w:color w:val="0000FF"/>
          <w:sz w:val="36"/>
          <w:szCs w:val="36"/>
          <w:lang w:eastAsia="zh-CN"/>
        </w:rPr>
      </w:pPr>
    </w:p>
    <w:p>
      <w:pPr>
        <w:rPr>
          <w:rFonts w:hint="eastAsia"/>
          <w:lang w:eastAsia="zh-CN"/>
        </w:rPr>
      </w:pPr>
    </w:p>
    <w:p>
      <w:pPr>
        <w:rPr>
          <w:rFonts w:hint="eastAsia"/>
          <w:b/>
          <w:color w:val="0000FF"/>
          <w:sz w:val="36"/>
          <w:szCs w:val="36"/>
          <w:lang w:eastAsia="zh-CN"/>
        </w:rPr>
      </w:pPr>
    </w:p>
    <w:p>
      <w:pPr>
        <w:pStyle w:val="2"/>
        <w:rPr>
          <w:rFonts w:hint="eastAsia"/>
          <w:lang w:eastAsia="zh-CN"/>
        </w:rPr>
      </w:pPr>
    </w:p>
    <w:p>
      <w:pPr>
        <w:pStyle w:val="2"/>
        <w:rPr>
          <w:rFonts w:hint="eastAsia"/>
          <w:lang w:eastAsia="zh-CN"/>
        </w:rPr>
      </w:pPr>
    </w:p>
    <w:p>
      <w:pPr>
        <w:rPr>
          <w:rFonts w:hint="eastAsia"/>
          <w:lang w:eastAsia="zh-CN"/>
        </w:rPr>
      </w:pPr>
    </w:p>
    <w:p>
      <w:pPr>
        <w:jc w:val="center"/>
        <w:rPr>
          <w:rFonts w:hint="eastAsia"/>
          <w:b/>
          <w:color w:val="0000FF"/>
          <w:sz w:val="36"/>
          <w:szCs w:val="36"/>
        </w:rPr>
      </w:pPr>
      <w:r>
        <w:rPr>
          <w:rFonts w:hint="eastAsia"/>
          <w:b/>
          <w:color w:val="0000FF"/>
          <w:sz w:val="36"/>
          <w:szCs w:val="36"/>
          <w:lang w:eastAsia="zh-CN"/>
        </w:rPr>
        <w:t>建筑业统计数据：2024年1-4季度</w:t>
      </w:r>
      <w:r>
        <w:rPr>
          <w:rFonts w:hint="eastAsia"/>
          <w:b/>
          <w:color w:val="0000FF"/>
          <w:sz w:val="36"/>
          <w:szCs w:val="36"/>
        </w:rPr>
        <w:t>资质建筑业企业</w:t>
      </w:r>
      <w:r>
        <w:rPr>
          <w:rFonts w:hint="eastAsia"/>
          <w:b/>
          <w:color w:val="0000FF"/>
          <w:sz w:val="36"/>
          <w:szCs w:val="36"/>
          <w:lang w:eastAsia="zh-CN"/>
        </w:rPr>
        <w:t>生产</w:t>
      </w:r>
      <w:r>
        <w:rPr>
          <w:rFonts w:hint="eastAsia"/>
          <w:b/>
          <w:color w:val="0000FF"/>
          <w:sz w:val="36"/>
          <w:szCs w:val="36"/>
        </w:rPr>
        <w:t>情况</w:t>
      </w:r>
    </w:p>
    <w:tbl>
      <w:tblPr>
        <w:tblStyle w:val="6"/>
        <w:tblW w:w="13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
        <w:gridCol w:w="3560"/>
        <w:gridCol w:w="1536"/>
        <w:gridCol w:w="1680"/>
        <w:gridCol w:w="1560"/>
        <w:gridCol w:w="1692"/>
        <w:gridCol w:w="1740"/>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3592" w:type="dxa"/>
            <w:gridSpan w:val="2"/>
            <w:vMerge w:val="restart"/>
            <w:tcBorders>
              <w:top w:val="single" w:color="auto" w:sz="1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指 标 名 称</w:t>
            </w:r>
          </w:p>
        </w:tc>
        <w:tc>
          <w:tcPr>
            <w:tcW w:w="3216"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签订合同额</w:t>
            </w:r>
          </w:p>
        </w:tc>
        <w:tc>
          <w:tcPr>
            <w:tcW w:w="3252"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建筑业总产值</w:t>
            </w:r>
          </w:p>
        </w:tc>
        <w:tc>
          <w:tcPr>
            <w:tcW w:w="3208" w:type="dxa"/>
            <w:gridSpan w:val="2"/>
            <w:tcBorders>
              <w:top w:val="single" w:color="auto" w:sz="1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竣工产值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exact"/>
        </w:trPr>
        <w:tc>
          <w:tcPr>
            <w:tcW w:w="3592" w:type="dxa"/>
            <w:gridSpan w:val="2"/>
            <w:vMerge w:val="continue"/>
            <w:tcBorders>
              <w:top w:val="single" w:color="auto" w:sz="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p>
        </w:tc>
        <w:tc>
          <w:tcPr>
            <w:tcW w:w="15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5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9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7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468" w:type="dxa"/>
            <w:tcBorders>
              <w:top w:val="single" w:color="auto" w:sz="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single" w:color="auto" w:sz="2" w:space="0"/>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全区合计</w:t>
            </w:r>
          </w:p>
        </w:tc>
        <w:tc>
          <w:tcPr>
            <w:tcW w:w="1536"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2831932 </w:t>
            </w:r>
          </w:p>
        </w:tc>
        <w:tc>
          <w:tcPr>
            <w:tcW w:w="168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12.4 </w:t>
            </w:r>
          </w:p>
        </w:tc>
        <w:tc>
          <w:tcPr>
            <w:tcW w:w="156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1604107 </w:t>
            </w:r>
          </w:p>
        </w:tc>
        <w:tc>
          <w:tcPr>
            <w:tcW w:w="1692"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-12.0 </w:t>
            </w:r>
          </w:p>
        </w:tc>
        <w:tc>
          <w:tcPr>
            <w:tcW w:w="174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1280077 </w:t>
            </w:r>
          </w:p>
        </w:tc>
        <w:tc>
          <w:tcPr>
            <w:tcW w:w="1468" w:type="dxa"/>
            <w:tcBorders>
              <w:top w:val="single" w:color="auto" w:sz="2" w:space="0"/>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按行业类别</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房屋建筑业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1048573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26.5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395897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2.2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552390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土木工程建筑业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1107221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5.8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673785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-26.0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430673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建筑安装业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158334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11.5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89215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-7.9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62788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建筑装饰、装修和其他建筑业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517803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3.0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445210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3.9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234227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按资质等级</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施工总承包</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2105330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16.2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712917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-6.8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856997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08" w:hRule="exact"/>
        </w:trPr>
        <w:tc>
          <w:tcPr>
            <w:tcW w:w="3592" w:type="dxa"/>
            <w:gridSpan w:val="2"/>
            <w:tcBorders>
              <w:top w:val="nil"/>
              <w:left w:val="nil"/>
              <w:bottom w:val="single" w:color="auto" w:sz="12" w:space="0"/>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专业承包</w:t>
            </w:r>
          </w:p>
        </w:tc>
        <w:tc>
          <w:tcPr>
            <w:tcW w:w="1536"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726602 </w:t>
            </w:r>
          </w:p>
        </w:tc>
        <w:tc>
          <w:tcPr>
            <w:tcW w:w="168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2.5 </w:t>
            </w:r>
          </w:p>
        </w:tc>
        <w:tc>
          <w:tcPr>
            <w:tcW w:w="156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891190 </w:t>
            </w:r>
          </w:p>
        </w:tc>
        <w:tc>
          <w:tcPr>
            <w:tcW w:w="1692"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-15.8 </w:t>
            </w:r>
          </w:p>
        </w:tc>
        <w:tc>
          <w:tcPr>
            <w:tcW w:w="174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423080 </w:t>
            </w:r>
          </w:p>
        </w:tc>
        <w:tc>
          <w:tcPr>
            <w:tcW w:w="1468" w:type="dxa"/>
            <w:tcBorders>
              <w:top w:val="nil"/>
              <w:left w:val="single" w:color="auto" w:sz="2" w:space="0"/>
              <w:bottom w:val="single" w:color="auto"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90" w:hRule="atLeast"/>
        </w:trPr>
        <w:tc>
          <w:tcPr>
            <w:tcW w:w="13236"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_GB2312" w:hAnsi="宋体" w:eastAsia="楷体_GB2312" w:cs="宋体"/>
                <w:kern w:val="0"/>
                <w:sz w:val="24"/>
              </w:rPr>
            </w:pPr>
            <w:r>
              <w:rPr>
                <w:rFonts w:hint="eastAsia" w:ascii="楷体_GB2312" w:hAnsi="宋体" w:eastAsia="楷体_GB2312" w:cs="宋体"/>
                <w:kern w:val="0"/>
                <w:sz w:val="24"/>
              </w:rPr>
              <w:t>注释：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color w:val="000000"/>
                <w:sz w:val="20"/>
                <w:szCs w:val="20"/>
                <w:u w:val="none"/>
              </w:rPr>
            </w:pPr>
            <w:r>
              <w:rPr>
                <w:rFonts w:hint="eastAsia" w:ascii="楷体_GB2312" w:hAnsi="宋体" w:eastAsia="楷体_GB2312" w:cs="宋体"/>
                <w:b/>
                <w:bCs/>
                <w:kern w:val="0"/>
                <w:sz w:val="24"/>
                <w:lang w:val="en-US" w:eastAsia="zh-CN"/>
              </w:rPr>
              <w:t>1、</w:t>
            </w:r>
            <w:r>
              <w:rPr>
                <w:rFonts w:hint="eastAsia" w:ascii="楷体_GB2312" w:hAnsi="宋体" w:eastAsia="楷体_GB2312" w:cs="宋体"/>
                <w:b/>
                <w:bCs/>
                <w:kern w:val="0"/>
                <w:sz w:val="24"/>
              </w:rPr>
              <w:t>统计范围：</w:t>
            </w:r>
            <w:r>
              <w:rPr>
                <w:rFonts w:hint="eastAsia" w:ascii="楷体_GB2312" w:hAnsi="宋体" w:eastAsia="楷体_GB2312" w:cs="宋体"/>
                <w:kern w:val="0"/>
                <w:sz w:val="24"/>
              </w:rPr>
              <w:t>统</w:t>
            </w:r>
            <w:r>
              <w:rPr>
                <w:rFonts w:hint="eastAsia" w:ascii="楷体_GB2312" w:hAnsi="宋体" w:eastAsia="楷体_GB2312" w:cs="宋体"/>
                <w:bCs/>
                <w:kern w:val="0"/>
                <w:sz w:val="24"/>
                <w:szCs w:val="24"/>
                <w:lang w:val="en-US" w:eastAsia="zh-CN" w:bidi="ar-SA"/>
              </w:rPr>
              <w:t>计范围为具有资质的建筑业法人单位，即指领取了《企业法人营业执照》，并经各级建设行政主管部门审核批准，获得总承包、专业承包《建筑业企业资质证书》的建筑业法人单位。</w:t>
            </w:r>
            <w:r>
              <w:rPr>
                <w:rFonts w:hint="eastAsia" w:ascii="楷体_GB2312" w:hAnsi="宋体" w:eastAsia="楷体_GB2312" w:cs="宋体"/>
                <w:bCs/>
                <w:kern w:val="0"/>
                <w:sz w:val="24"/>
                <w:szCs w:val="24"/>
                <w:lang w:val="en-US" w:eastAsia="zh-CN" w:bidi="ar-SA"/>
              </w:rPr>
              <w:br w:type="textWrapping"/>
            </w:r>
            <w:r>
              <w:rPr>
                <w:rFonts w:hint="eastAsia" w:ascii="楷体_GB2312" w:hAnsi="宋体" w:eastAsia="楷体_GB2312" w:cs="宋体"/>
                <w:b/>
                <w:bCs/>
                <w:kern w:val="0"/>
                <w:sz w:val="24"/>
              </w:rPr>
              <w:t>2、采集渠道：</w:t>
            </w:r>
            <w:r>
              <w:rPr>
                <w:rFonts w:hint="eastAsia" w:ascii="楷体_GB2312" w:hAnsi="宋体" w:eastAsia="楷体_GB2312" w:cs="宋体"/>
                <w:kern w:val="0"/>
                <w:sz w:val="24"/>
              </w:rPr>
              <w:t>纳入统计范围的建筑业企业按照《建筑业统计报表制度》要求，通过统计数据集中采集平台上报统计数据。</w:t>
            </w:r>
            <w:r>
              <w:rPr>
                <w:rFonts w:hint="eastAsia" w:ascii="楷体_GB2312" w:eastAsia="楷体_GB2312"/>
                <w:color w:val="000000"/>
                <w:sz w:val="24"/>
              </w:rPr>
              <w:t>经北京市统计局统一审核评估后对外发布</w:t>
            </w:r>
            <w:r>
              <w:rPr>
                <w:rFonts w:hint="eastAsia" w:ascii="楷体_GB2312" w:eastAsia="楷体_GB2312"/>
                <w:color w:val="000000"/>
                <w:sz w:val="24"/>
                <w:lang w:eastAsia="zh-CN"/>
              </w:rPr>
              <w:t>。</w:t>
            </w:r>
            <w:r>
              <w:rPr>
                <w:rFonts w:hint="eastAsia" w:ascii="楷体_GB2312" w:hAnsi="宋体" w:eastAsia="楷体_GB2312" w:cs="宋体"/>
                <w:kern w:val="0"/>
                <w:sz w:val="24"/>
              </w:rPr>
              <w:br w:type="textWrapping"/>
            </w:r>
            <w:r>
              <w:rPr>
                <w:rFonts w:hint="eastAsia" w:ascii="楷体_GB2312" w:hAnsi="宋体" w:eastAsia="楷体_GB2312" w:cs="宋体"/>
                <w:b/>
                <w:bCs/>
                <w:kern w:val="0"/>
                <w:sz w:val="24"/>
              </w:rPr>
              <w:t>3、主要统计指标解释：</w:t>
            </w:r>
            <w:r>
              <w:rPr>
                <w:rFonts w:hint="eastAsia" w:ascii="楷体_GB2312" w:hAnsi="宋体" w:eastAsia="楷体_GB2312" w:cs="宋体"/>
                <w:b w:val="0"/>
                <w:bCs/>
                <w:kern w:val="0"/>
                <w:sz w:val="24"/>
                <w:szCs w:val="24"/>
              </w:rPr>
              <w:t>签订合同额</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指建筑业企业在报告期直接同建设单位签订的各种国内工程合同的总价款和以前年度同建设单位签订的各种国内工程合同的未完工程跨入本年度继续施工工程合同的总价款余额。建筑业总产值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指以货币表现的建筑业企业在一定时期内生产的建筑业产品和服务的总和。建筑业总产值包括建筑工程产值、安装工程产值和其他产值三部分内容</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竣工产值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一般是以单位工程为对象，当该工程按照设计所规定的工程内容全部完成，达到了设计规定的交工条件，经有关部门检查验收鉴定合格的单位工程价值，即为竣工产值。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90" w:hRule="atLeast"/>
        </w:trPr>
        <w:tc>
          <w:tcPr>
            <w:tcW w:w="13236" w:type="dxa"/>
            <w:gridSpan w:val="7"/>
            <w:tcBorders>
              <w:tl2br w:val="nil"/>
              <w:tr2bl w:val="nil"/>
            </w:tcBorders>
            <w:vAlign w:val="center"/>
          </w:tcPr>
          <w:tbl>
            <w:tblPr>
              <w:tblStyle w:val="6"/>
              <w:tblpPr w:leftFromText="180" w:rightFromText="180" w:vertAnchor="text" w:horzAnchor="page" w:tblpX="3" w:tblpY="-3244"/>
              <w:tblOverlap w:val="never"/>
              <w:tblW w:w="13191" w:type="dxa"/>
              <w:tblInd w:w="0" w:type="dxa"/>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
            <w:tblGrid>
              <w:gridCol w:w="4767"/>
              <w:gridCol w:w="2013"/>
              <w:gridCol w:w="2087"/>
              <w:gridCol w:w="2129"/>
              <w:gridCol w:w="1040"/>
              <w:gridCol w:w="1155"/>
            </w:tblGrid>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gridAfter w:val="1"/>
                <w:wAfter w:w="1155" w:type="dxa"/>
                <w:trHeight w:val="476" w:hRule="atLeast"/>
              </w:trPr>
              <w:tc>
                <w:tcPr>
                  <w:tcW w:w="12036" w:type="dxa"/>
                  <w:gridSpan w:val="5"/>
                  <w:tcBorders>
                    <w:tl2br w:val="nil"/>
                    <w:tr2bl w:val="nil"/>
                  </w:tcBorders>
                  <w:tcMar>
                    <w:left w:w="84" w:type="dxa"/>
                    <w:right w:w="84" w:type="dxa"/>
                  </w:tcMar>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eastAsia="宋体"/>
                      <w:b/>
                      <w:color w:val="404040"/>
                      <w:sz w:val="30"/>
                      <w:szCs w:val="30"/>
                      <w:highlight w:val="none"/>
                      <w:lang w:eastAsia="zh-CN"/>
                    </w:rPr>
                  </w:pPr>
                  <w:r>
                    <w:rPr>
                      <w:rFonts w:hint="eastAsia"/>
                      <w:b/>
                      <w:color w:val="0000FF"/>
                      <w:sz w:val="36"/>
                      <w:szCs w:val="36"/>
                      <w:highlight w:val="none"/>
                      <w:lang w:val="en-US" w:eastAsia="zh-CN"/>
                    </w:rPr>
                    <w:t xml:space="preserve">       居民收支统计数据：</w:t>
                  </w:r>
                  <w:r>
                    <w:rPr>
                      <w:rFonts w:hint="eastAsia"/>
                      <w:b/>
                      <w:color w:val="0000FF"/>
                      <w:sz w:val="36"/>
                      <w:szCs w:val="36"/>
                      <w:highlight w:val="none"/>
                      <w:lang w:eastAsia="zh-CN"/>
                    </w:rPr>
                    <w:t>2024年1-4季度居民人均可支配收入情况</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431" w:hRule="atLeast"/>
              </w:trPr>
              <w:tc>
                <w:tcPr>
                  <w:tcW w:w="4767" w:type="dxa"/>
                  <w:vMerge w:val="restart"/>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highlight w:val="none"/>
                    </w:rPr>
                  </w:pPr>
                  <w:r>
                    <w:rPr>
                      <w:rStyle w:val="8"/>
                      <w:rFonts w:hint="eastAsia" w:ascii="宋体" w:hAnsi="宋体" w:eastAsia="宋体" w:cs="宋体"/>
                      <w:b w:val="0"/>
                      <w:bCs/>
                      <w:color w:val="404040"/>
                      <w:sz w:val="24"/>
                      <w:szCs w:val="24"/>
                      <w:highlight w:val="none"/>
                    </w:rPr>
                    <w:t>指 标 名 称</w:t>
                  </w:r>
                </w:p>
              </w:tc>
              <w:tc>
                <w:tcPr>
                  <w:tcW w:w="4100" w:type="dxa"/>
                  <w:gridSpan w:val="2"/>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highlight w:val="none"/>
                    </w:rPr>
                  </w:pPr>
                  <w:r>
                    <w:rPr>
                      <w:rStyle w:val="8"/>
                      <w:rFonts w:hint="eastAsia" w:ascii="宋体" w:hAnsi="宋体" w:eastAsia="宋体" w:cs="宋体"/>
                      <w:b w:val="0"/>
                      <w:bCs/>
                      <w:color w:val="404040"/>
                      <w:sz w:val="24"/>
                      <w:szCs w:val="24"/>
                      <w:highlight w:val="none"/>
                    </w:rPr>
                    <w:t>全区居民</w:t>
                  </w:r>
                </w:p>
              </w:tc>
              <w:tc>
                <w:tcPr>
                  <w:tcW w:w="4324" w:type="dxa"/>
                  <w:gridSpan w:val="3"/>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highlight w:val="none"/>
                    </w:rPr>
                  </w:pPr>
                  <w:r>
                    <w:rPr>
                      <w:rStyle w:val="8"/>
                      <w:rFonts w:hint="eastAsia" w:ascii="宋体" w:hAnsi="宋体" w:eastAsia="宋体" w:cs="宋体"/>
                      <w:b w:val="0"/>
                      <w:bCs/>
                      <w:color w:val="404040"/>
                      <w:sz w:val="24"/>
                      <w:szCs w:val="24"/>
                      <w:highlight w:val="none"/>
                    </w:rPr>
                    <w:t>城镇居民</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atLeast"/>
              </w:trPr>
              <w:tc>
                <w:tcPr>
                  <w:tcW w:w="4767" w:type="dxa"/>
                  <w:vMerge w:val="continue"/>
                  <w:tcBorders>
                    <w:top w:val="single" w:color="auto" w:sz="2" w:space="0"/>
                    <w:bottom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outlineLvl w:val="9"/>
                    <w:rPr>
                      <w:rFonts w:hint="eastAsia" w:ascii="宋体" w:hAnsi="宋体" w:eastAsia="宋体" w:cs="宋体"/>
                      <w:b w:val="0"/>
                      <w:bCs/>
                      <w:sz w:val="24"/>
                      <w:szCs w:val="24"/>
                      <w:highlight w:val="none"/>
                    </w:rPr>
                  </w:pPr>
                </w:p>
              </w:tc>
              <w:tc>
                <w:tcPr>
                  <w:tcW w:w="2013"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eastAsia="zh-CN"/>
                    </w:rPr>
                  </w:pPr>
                  <w:r>
                    <w:rPr>
                      <w:rStyle w:val="8"/>
                      <w:rFonts w:hint="eastAsia" w:ascii="宋体" w:hAnsi="宋体" w:eastAsia="宋体" w:cs="宋体"/>
                      <w:b w:val="0"/>
                      <w:bCs/>
                      <w:color w:val="404040"/>
                      <w:sz w:val="24"/>
                      <w:szCs w:val="24"/>
                      <w:highlight w:val="none"/>
                      <w:lang w:eastAsia="zh-CN"/>
                    </w:rPr>
                    <w:t>2024年1-4季度</w:t>
                  </w:r>
                </w:p>
              </w:tc>
              <w:tc>
                <w:tcPr>
                  <w:tcW w:w="2087"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eastAsia="zh-CN"/>
                    </w:rPr>
                  </w:pPr>
                  <w:r>
                    <w:rPr>
                      <w:rStyle w:val="8"/>
                      <w:rFonts w:hint="eastAsia" w:ascii="宋体" w:hAnsi="宋体" w:eastAsia="宋体" w:cs="宋体"/>
                      <w:b w:val="0"/>
                      <w:bCs/>
                      <w:color w:val="404040"/>
                      <w:sz w:val="24"/>
                      <w:szCs w:val="24"/>
                      <w:highlight w:val="none"/>
                      <w:lang w:eastAsia="zh-CN"/>
                    </w:rPr>
                    <w:t>同比增长（%）</w:t>
                  </w:r>
                </w:p>
              </w:tc>
              <w:tc>
                <w:tcPr>
                  <w:tcW w:w="2129"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val="en-US" w:eastAsia="zh-CN"/>
                    </w:rPr>
                  </w:pPr>
                  <w:r>
                    <w:rPr>
                      <w:rStyle w:val="8"/>
                      <w:rFonts w:hint="eastAsia" w:ascii="宋体" w:hAnsi="宋体" w:eastAsia="宋体" w:cs="宋体"/>
                      <w:b w:val="0"/>
                      <w:bCs/>
                      <w:color w:val="404040"/>
                      <w:sz w:val="24"/>
                      <w:szCs w:val="24"/>
                      <w:highlight w:val="none"/>
                      <w:lang w:eastAsia="zh-CN"/>
                    </w:rPr>
                    <w:t>2024年1-4季度</w:t>
                  </w:r>
                </w:p>
              </w:tc>
              <w:tc>
                <w:tcPr>
                  <w:tcW w:w="2195" w:type="dxa"/>
                  <w:gridSpan w:val="2"/>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eastAsia="zh-CN"/>
                    </w:rPr>
                  </w:pPr>
                  <w:r>
                    <w:rPr>
                      <w:rStyle w:val="8"/>
                      <w:rFonts w:hint="eastAsia" w:ascii="宋体" w:hAnsi="宋体" w:eastAsia="宋体" w:cs="宋体"/>
                      <w:b w:val="0"/>
                      <w:bCs/>
                      <w:color w:val="404040"/>
                      <w:sz w:val="24"/>
                      <w:szCs w:val="24"/>
                      <w:highlight w:val="none"/>
                      <w:lang w:eastAsia="zh-CN"/>
                    </w:rPr>
                    <w:t>同比增长（%）</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single" w:color="auto" w:sz="2" w:space="0"/>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b/>
                      <w:bCs/>
                      <w:color w:val="404040"/>
                      <w:sz w:val="24"/>
                      <w:szCs w:val="24"/>
                      <w:highlight w:val="none"/>
                      <w:lang w:eastAsia="zh-CN"/>
                    </w:rPr>
                  </w:pPr>
                  <w:r>
                    <w:rPr>
                      <w:rStyle w:val="8"/>
                      <w:rFonts w:hint="eastAsia" w:ascii="宋体" w:hAnsi="宋体" w:eastAsia="宋体" w:cs="宋体"/>
                      <w:b/>
                      <w:bCs/>
                      <w:color w:val="404040"/>
                      <w:sz w:val="24"/>
                      <w:szCs w:val="24"/>
                      <w:highlight w:val="none"/>
                    </w:rPr>
                    <w:t> </w:t>
                  </w:r>
                  <w:r>
                    <w:rPr>
                      <w:rStyle w:val="8"/>
                      <w:rFonts w:hint="eastAsia" w:ascii="宋体" w:hAnsi="宋体" w:eastAsia="宋体" w:cs="宋体"/>
                      <w:b/>
                      <w:bCs/>
                      <w:color w:val="404040"/>
                      <w:sz w:val="24"/>
                      <w:szCs w:val="24"/>
                      <w:highlight w:val="none"/>
                      <w:lang w:val="en-US" w:eastAsia="zh-CN"/>
                    </w:rPr>
                    <w:t xml:space="preserve"> </w:t>
                  </w:r>
                  <w:r>
                    <w:rPr>
                      <w:rStyle w:val="8"/>
                      <w:rFonts w:hint="eastAsia" w:ascii="宋体" w:hAnsi="宋体" w:eastAsia="宋体" w:cs="宋体"/>
                      <w:b/>
                      <w:bCs/>
                      <w:color w:val="404040"/>
                      <w:sz w:val="24"/>
                      <w:szCs w:val="24"/>
                      <w:highlight w:val="none"/>
                    </w:rPr>
                    <w:t>人均可支配收入</w:t>
                  </w:r>
                  <w:r>
                    <w:rPr>
                      <w:rStyle w:val="8"/>
                      <w:rFonts w:hint="eastAsia" w:ascii="宋体" w:hAnsi="宋体" w:eastAsia="宋体" w:cs="宋体"/>
                      <w:b/>
                      <w:bCs/>
                      <w:color w:val="404040"/>
                      <w:sz w:val="24"/>
                      <w:szCs w:val="24"/>
                      <w:highlight w:val="none"/>
                      <w:lang w:eastAsia="zh-CN"/>
                    </w:rPr>
                    <w:t>（元）</w:t>
                  </w:r>
                </w:p>
              </w:tc>
              <w:tc>
                <w:tcPr>
                  <w:tcW w:w="2013"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highlight w:val="none"/>
                      <w:lang w:val="en-US" w:eastAsia="zh-CN"/>
                    </w:rPr>
                  </w:pPr>
                  <w:r>
                    <w:rPr>
                      <w:rFonts w:hint="default" w:ascii="宋体" w:hAnsi="宋体" w:cs="宋体"/>
                      <w:b/>
                      <w:bCs/>
                      <w:sz w:val="24"/>
                      <w:szCs w:val="24"/>
                      <w:highlight w:val="none"/>
                      <w:lang w:val="en-US" w:eastAsia="zh-CN"/>
                    </w:rPr>
                    <w:t>49341</w:t>
                  </w:r>
                </w:p>
              </w:tc>
              <w:tc>
                <w:tcPr>
                  <w:tcW w:w="2087"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highlight w:val="none"/>
                      <w:lang w:val="en-US" w:eastAsia="zh-CN"/>
                    </w:rPr>
                  </w:pPr>
                  <w:r>
                    <w:rPr>
                      <w:rFonts w:hint="default" w:ascii="宋体" w:hAnsi="宋体" w:cs="宋体"/>
                      <w:b/>
                      <w:bCs/>
                      <w:color w:val="auto"/>
                      <w:sz w:val="24"/>
                      <w:szCs w:val="24"/>
                      <w:highlight w:val="none"/>
                      <w:lang w:val="en-US" w:eastAsia="zh-CN"/>
                    </w:rPr>
                    <w:t>5.1</w:t>
                  </w:r>
                </w:p>
              </w:tc>
              <w:tc>
                <w:tcPr>
                  <w:tcW w:w="2129"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highlight w:val="none"/>
                      <w:lang w:val="en-US" w:eastAsia="zh-CN"/>
                    </w:rPr>
                  </w:pPr>
                  <w:r>
                    <w:rPr>
                      <w:rFonts w:hint="default" w:ascii="宋体" w:hAnsi="宋体" w:cs="宋体"/>
                      <w:b/>
                      <w:bCs/>
                      <w:color w:val="auto"/>
                      <w:sz w:val="24"/>
                      <w:szCs w:val="24"/>
                      <w:highlight w:val="none"/>
                      <w:lang w:val="en-US" w:eastAsia="zh-CN"/>
                    </w:rPr>
                    <w:t>60767</w:t>
                  </w:r>
                </w:p>
              </w:tc>
              <w:tc>
                <w:tcPr>
                  <w:tcW w:w="2195" w:type="dxa"/>
                  <w:gridSpan w:val="2"/>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highlight w:val="none"/>
                      <w:lang w:val="en-US" w:eastAsia="zh-CN"/>
                    </w:rPr>
                  </w:pPr>
                  <w:r>
                    <w:rPr>
                      <w:rFonts w:hint="default" w:ascii="宋体" w:hAnsi="宋体" w:cs="宋体"/>
                      <w:b/>
                      <w:bCs/>
                      <w:color w:val="auto"/>
                      <w:sz w:val="24"/>
                      <w:szCs w:val="24"/>
                      <w:highlight w:val="none"/>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工资性收入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39814</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3.6</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53308</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经营净收入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2456</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8.6</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1079</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55.5</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财产净收入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2710</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21.2</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4452</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22.9</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single" w:color="auto" w:sz="1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转移净收入</w:t>
                  </w:r>
                </w:p>
              </w:tc>
              <w:tc>
                <w:tcPr>
                  <w:tcW w:w="2013"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4361</w:t>
                  </w:r>
                </w:p>
              </w:tc>
              <w:tc>
                <w:tcPr>
                  <w:tcW w:w="2087"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9.2</w:t>
                  </w:r>
                </w:p>
              </w:tc>
              <w:tc>
                <w:tcPr>
                  <w:tcW w:w="2129"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default" w:ascii="宋体" w:hAnsi="宋体" w:cs="宋体"/>
                      <w:color w:val="auto"/>
                      <w:sz w:val="24"/>
                      <w:szCs w:val="24"/>
                      <w:highlight w:val="none"/>
                      <w:lang w:val="en-US" w:eastAsia="zh-CN"/>
                    </w:rPr>
                    <w:t>1928</w:t>
                  </w:r>
                </w:p>
              </w:tc>
              <w:tc>
                <w:tcPr>
                  <w:tcW w:w="2195" w:type="dxa"/>
                  <w:gridSpan w:val="2"/>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default" w:ascii="宋体" w:hAnsi="宋体" w:cs="宋体"/>
                      <w:color w:val="auto"/>
                      <w:sz w:val="24"/>
                      <w:szCs w:val="24"/>
                      <w:highlight w:val="none"/>
                      <w:lang w:val="en-US" w:eastAsia="zh-CN"/>
                    </w:rPr>
                    <w:t>13.2</w:t>
                  </w:r>
                </w:p>
              </w:tc>
            </w:tr>
          </w:tbl>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5639" w:hRule="atLeast"/>
        </w:trPr>
        <w:tc>
          <w:tcPr>
            <w:tcW w:w="13236" w:type="dxa"/>
            <w:gridSpan w:val="7"/>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ascii="楷体_GB2312" w:hAnsi="宋体" w:eastAsia="楷体_GB2312" w:cs="宋体"/>
                <w:kern w:val="0"/>
                <w:sz w:val="24"/>
                <w:szCs w:val="24"/>
              </w:rPr>
            </w:pPr>
            <w:r>
              <w:rPr>
                <w:rFonts w:hint="eastAsia" w:ascii="楷体_GB2312" w:hAnsi="宋体" w:eastAsia="楷体_GB2312" w:cs="宋体"/>
                <w:kern w:val="0"/>
                <w:sz w:val="24"/>
                <w:szCs w:val="24"/>
              </w:rPr>
              <w:t>注释：</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kern w:val="0"/>
                <w:sz w:val="24"/>
                <w:szCs w:val="24"/>
              </w:rPr>
            </w:pPr>
            <w:r>
              <w:rPr>
                <w:rFonts w:hint="eastAsia" w:ascii="楷体_GB2312" w:hAnsi="宋体" w:eastAsia="楷体_GB2312" w:cs="宋体"/>
                <w:b/>
                <w:kern w:val="0"/>
                <w:sz w:val="24"/>
                <w:szCs w:val="24"/>
              </w:rPr>
              <w:t>统计范围：</w:t>
            </w:r>
            <w:r>
              <w:rPr>
                <w:rFonts w:hint="eastAsia" w:ascii="楷体_GB2312" w:hAnsi="宋体" w:eastAsia="楷体_GB2312" w:cs="宋体"/>
                <w:b w:val="0"/>
                <w:bCs/>
                <w:kern w:val="0"/>
                <w:sz w:val="24"/>
                <w:szCs w:val="24"/>
              </w:rPr>
              <w:t>住户调查对象为中华人民共和国境内的住户，既包括城镇住户，也包括农村住户；既包括以家庭形式居住的户，也包括以集体形式居住的户。调查对象按照常住地确定，既包括户口在本地的住户，也包括户口在外地、但在本地居住一定时间（通常为半年）以上的住户。城镇范围为《统计上划分城乡的规定》中被界定为“城镇”的区域，农村范围为《统计上划分城乡的规定》中被界定为“乡村”的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2、</w:t>
            </w:r>
            <w:r>
              <w:rPr>
                <w:rFonts w:hint="eastAsia" w:ascii="楷体_GB2312" w:hAnsi="宋体" w:eastAsia="楷体_GB2312" w:cs="宋体"/>
                <w:b/>
                <w:kern w:val="0"/>
                <w:sz w:val="24"/>
                <w:szCs w:val="24"/>
              </w:rPr>
              <w:t>采集渠道：</w:t>
            </w:r>
            <w:r>
              <w:rPr>
                <w:rFonts w:hint="eastAsia" w:ascii="楷体_GB2312" w:hAnsi="宋体" w:eastAsia="楷体_GB2312" w:cs="宋体"/>
                <w:b w:val="0"/>
                <w:bCs/>
                <w:kern w:val="0"/>
                <w:sz w:val="24"/>
                <w:szCs w:val="24"/>
              </w:rPr>
              <w:t>住户调查采用日记账和问卷调查相结合的方式采集基础数据。其中，居民现金收入与支出、实物收入与支出等内容主要使用记账方式采集。住户成员及劳动力从业情况、住房和耐用品拥有量情况、家庭经营和生产投资情况、社区基本情况及其他民生状况等资料使用问卷调查方式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3</w:t>
            </w:r>
            <w:r>
              <w:rPr>
                <w:rFonts w:hint="eastAsia" w:ascii="楷体_GB2312" w:hAnsi="宋体" w:eastAsia="楷体_GB2312" w:cs="宋体"/>
                <w:b/>
                <w:kern w:val="0"/>
                <w:sz w:val="24"/>
                <w:szCs w:val="24"/>
              </w:rPr>
              <w:t>、主要统计指标解释：</w:t>
            </w:r>
            <w:r>
              <w:rPr>
                <w:rFonts w:hint="eastAsia" w:ascii="楷体_GB2312" w:hAnsi="宋体" w:eastAsia="楷体_GB2312" w:cs="宋体"/>
                <w:b w:val="0"/>
                <w:bCs/>
                <w:kern w:val="0"/>
                <w:sz w:val="24"/>
                <w:szCs w:val="24"/>
              </w:rPr>
              <w:t>可支配收入：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可支配收入＝工资性收入+经营净收入+财产净收入+转移净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lang w:val="en-US" w:eastAsia="zh-CN"/>
              </w:rPr>
            </w:pPr>
            <w:r>
              <w:rPr>
                <w:rFonts w:hint="eastAsia" w:ascii="楷体_GB2312" w:hAnsi="宋体" w:eastAsia="楷体_GB2312" w:cs="宋体"/>
                <w:b w:val="0"/>
                <w:bCs/>
                <w:kern w:val="0"/>
                <w:sz w:val="24"/>
                <w:szCs w:val="24"/>
              </w:rPr>
              <w:t>工资性收入：指就业人员通过各种途径得到的全部劳动报酬和各种福利，包括受雇于单位或个人、从事各种自由职业、兼职和零星劳动得到的全部劳动报酬和福利。 经营净收入：指住户或住户成员从事生产经营活动所获得的净收入，是全部经营收入中扣除经营费用、生产性固定资产折旧和生产税之后得到的净收入。财产净收入：指住户或住户成员将其所拥有的金融资产、住房等非金融资产和自然资源交由其他机构单位、住户或个人支配而获得的回报并扣除相关的费用之后得到的净收入。财产净收入不包括转让资产所有权的溢价所得，这应该计入“非收入所得”</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转移净收入：指国家、单位、社会团体对住户的各种经常性转移支付和住户之间的经常性收入转移，在扣减调查户对国家、单位、住户或者个人的经常性或义务性转移支付后的净收入。</w:t>
            </w:r>
          </w:p>
        </w:tc>
      </w:tr>
    </w:tbl>
    <w:tbl>
      <w:tblPr>
        <w:tblStyle w:val="6"/>
        <w:tblpPr w:leftFromText="180" w:rightFromText="180" w:vertAnchor="text" w:horzAnchor="page" w:tblpX="1790" w:tblpY="296"/>
        <w:tblOverlap w:val="never"/>
        <w:tblW w:w="13600" w:type="dxa"/>
        <w:tblInd w:w="0" w:type="dxa"/>
        <w:tblLayout w:type="fixed"/>
        <w:tblCellMar>
          <w:top w:w="0" w:type="dxa"/>
          <w:left w:w="0" w:type="dxa"/>
          <w:bottom w:w="0" w:type="dxa"/>
          <w:right w:w="0" w:type="dxa"/>
        </w:tblCellMar>
      </w:tblPr>
      <w:tblGrid>
        <w:gridCol w:w="5045"/>
        <w:gridCol w:w="2194"/>
        <w:gridCol w:w="2193"/>
        <w:gridCol w:w="1974"/>
        <w:gridCol w:w="2194"/>
      </w:tblGrid>
      <w:tr>
        <w:tblPrEx>
          <w:tblCellMar>
            <w:top w:w="0" w:type="dxa"/>
            <w:left w:w="0" w:type="dxa"/>
            <w:bottom w:w="0" w:type="dxa"/>
            <w:right w:w="0" w:type="dxa"/>
          </w:tblCellMar>
        </w:tblPrEx>
        <w:trPr>
          <w:trHeight w:val="694" w:hRule="exact"/>
        </w:trPr>
        <w:tc>
          <w:tcPr>
            <w:tcW w:w="13600" w:type="dxa"/>
            <w:gridSpan w:val="5"/>
            <w:tcBorders>
              <w:top w:val="nil"/>
              <w:left w:val="nil"/>
              <w:bottom w:val="single" w:color="auto" w:sz="12" w:space="0"/>
              <w:right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color w:val="404040"/>
                <w:sz w:val="30"/>
                <w:szCs w:val="30"/>
              </w:rPr>
            </w:pPr>
            <w:r>
              <w:rPr>
                <w:rFonts w:hint="eastAsia" w:ascii="Times New Roman" w:hAnsi="Times New Roman" w:eastAsia="宋体" w:cs="Times New Roman"/>
                <w:b/>
                <w:color w:val="0000FF"/>
                <w:kern w:val="2"/>
                <w:sz w:val="36"/>
                <w:szCs w:val="36"/>
                <w:highlight w:val="none"/>
                <w:lang w:val="en-US" w:eastAsia="zh-CN" w:bidi="ar-SA"/>
              </w:rPr>
              <w:t>居民收支统计数据：2024年1-4季度居民人均消费支出情况</w:t>
            </w:r>
          </w:p>
        </w:tc>
      </w:tr>
      <w:tr>
        <w:tblPrEx>
          <w:tblCellMar>
            <w:top w:w="0" w:type="dxa"/>
            <w:left w:w="0" w:type="dxa"/>
            <w:bottom w:w="0" w:type="dxa"/>
            <w:right w:w="0" w:type="dxa"/>
          </w:tblCellMar>
        </w:tblPrEx>
        <w:trPr>
          <w:trHeight w:val="487" w:hRule="exact"/>
        </w:trPr>
        <w:tc>
          <w:tcPr>
            <w:tcW w:w="5045" w:type="dxa"/>
            <w:vMerge w:val="restart"/>
            <w:tcBorders>
              <w:top w:val="single" w:color="auto" w:sz="12" w:space="0"/>
              <w:left w:val="nil"/>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Fonts w:hint="eastAsia" w:ascii="宋体" w:hAnsi="宋体" w:eastAsia="宋体" w:cs="宋体"/>
                <w:sz w:val="24"/>
                <w:szCs w:val="24"/>
              </w:rPr>
            </w:pPr>
            <w:r>
              <w:rPr>
                <w:rFonts w:hint="eastAsia" w:ascii="宋体" w:hAnsi="宋体" w:eastAsia="宋体" w:cs="宋体"/>
                <w:sz w:val="24"/>
                <w:szCs w:val="24"/>
              </w:rPr>
              <w:t>指 标 名 称</w:t>
            </w:r>
          </w:p>
        </w:tc>
        <w:tc>
          <w:tcPr>
            <w:tcW w:w="4387" w:type="dxa"/>
            <w:gridSpan w:val="2"/>
            <w:tcBorders>
              <w:top w:val="single" w:color="auto" w:sz="12" w:space="0"/>
              <w:left w:val="single" w:color="auto" w:sz="2" w:space="0"/>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全区居民</w:t>
            </w:r>
          </w:p>
        </w:tc>
        <w:tc>
          <w:tcPr>
            <w:tcW w:w="4168" w:type="dxa"/>
            <w:gridSpan w:val="2"/>
            <w:tcBorders>
              <w:top w:val="single" w:color="auto" w:sz="12" w:space="0"/>
              <w:left w:val="single" w:color="auto" w:sz="2" w:space="0"/>
              <w:bottom w:val="single" w:color="auto" w:sz="2" w:space="0"/>
              <w:right w:val="nil"/>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城镇居民</w:t>
            </w:r>
          </w:p>
        </w:tc>
      </w:tr>
      <w:tr>
        <w:tblPrEx>
          <w:tblCellMar>
            <w:top w:w="0" w:type="dxa"/>
            <w:left w:w="0" w:type="dxa"/>
            <w:bottom w:w="0" w:type="dxa"/>
            <w:right w:w="0" w:type="dxa"/>
          </w:tblCellMar>
        </w:tblPrEx>
        <w:trPr>
          <w:trHeight w:val="536" w:hRule="exact"/>
        </w:trPr>
        <w:tc>
          <w:tcPr>
            <w:tcW w:w="5045" w:type="dxa"/>
            <w:vMerge w:val="continue"/>
            <w:tcBorders>
              <w:top w:val="single" w:color="auto" w:sz="2" w:space="0"/>
              <w:left w:val="nil"/>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Fonts w:hint="eastAsia" w:ascii="宋体" w:hAnsi="宋体" w:eastAsia="宋体" w:cs="宋体"/>
                <w:sz w:val="24"/>
                <w:szCs w:val="24"/>
              </w:rPr>
            </w:pPr>
          </w:p>
        </w:tc>
        <w:tc>
          <w:tcPr>
            <w:tcW w:w="2194" w:type="dxa"/>
            <w:tcBorders>
              <w:top w:val="single" w:color="auto" w:sz="2" w:space="0"/>
              <w:left w:val="single" w:color="auto" w:sz="2" w:space="0"/>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cs="宋体"/>
                <w:b w:val="0"/>
                <w:bCs/>
                <w:color w:val="404040"/>
                <w:sz w:val="24"/>
                <w:szCs w:val="24"/>
                <w:lang w:eastAsia="zh-CN"/>
              </w:rPr>
              <w:t>2024年1-4季度</w:t>
            </w:r>
          </w:p>
        </w:tc>
        <w:tc>
          <w:tcPr>
            <w:tcW w:w="2193" w:type="dxa"/>
            <w:tcBorders>
              <w:top w:val="single" w:color="auto" w:sz="2" w:space="0"/>
              <w:left w:val="single" w:color="auto" w:sz="2" w:space="0"/>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c>
          <w:tcPr>
            <w:tcW w:w="1974" w:type="dxa"/>
            <w:tcBorders>
              <w:top w:val="single" w:color="auto" w:sz="2" w:space="0"/>
              <w:left w:val="single" w:color="auto" w:sz="2" w:space="0"/>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cs="宋体"/>
                <w:b w:val="0"/>
                <w:bCs/>
                <w:color w:val="404040"/>
                <w:sz w:val="24"/>
                <w:szCs w:val="24"/>
                <w:lang w:eastAsia="zh-CN"/>
              </w:rPr>
              <w:t>2024年1-4季度</w:t>
            </w:r>
          </w:p>
        </w:tc>
        <w:tc>
          <w:tcPr>
            <w:tcW w:w="2194" w:type="dxa"/>
            <w:tcBorders>
              <w:top w:val="single" w:color="auto" w:sz="2" w:space="0"/>
              <w:left w:val="single" w:color="auto" w:sz="2" w:space="0"/>
              <w:bottom w:val="single" w:color="auto" w:sz="2" w:space="0"/>
              <w:right w:val="nil"/>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r>
      <w:tr>
        <w:tblPrEx>
          <w:tblCellMar>
            <w:top w:w="0" w:type="dxa"/>
            <w:left w:w="0" w:type="dxa"/>
            <w:bottom w:w="0" w:type="dxa"/>
            <w:right w:w="0" w:type="dxa"/>
          </w:tblCellMar>
        </w:tblPrEx>
        <w:trPr>
          <w:trHeight w:val="413" w:hRule="exact"/>
        </w:trPr>
        <w:tc>
          <w:tcPr>
            <w:tcW w:w="5045" w:type="dxa"/>
            <w:tcBorders>
              <w:top w:val="single" w:color="auto" w:sz="2" w:space="0"/>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240" w:firstLineChars="100"/>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人均消费支出</w:t>
            </w:r>
            <w:r>
              <w:rPr>
                <w:rFonts w:hint="eastAsia" w:ascii="宋体" w:hAnsi="宋体" w:cs="宋体"/>
                <w:b/>
                <w:bCs/>
                <w:sz w:val="24"/>
                <w:szCs w:val="24"/>
                <w:lang w:eastAsia="zh-CN"/>
              </w:rPr>
              <w:t>（元）</w:t>
            </w:r>
          </w:p>
        </w:tc>
        <w:tc>
          <w:tcPr>
            <w:tcW w:w="2194" w:type="dxa"/>
            <w:tcBorders>
              <w:top w:val="single" w:color="auto" w:sz="2" w:space="0"/>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lang w:val="en-US" w:eastAsia="zh-CN"/>
              </w:rPr>
            </w:pPr>
            <w:r>
              <w:rPr>
                <w:rFonts w:hint="default" w:ascii="宋体" w:hAnsi="宋体" w:cs="宋体"/>
                <w:b/>
                <w:bCs/>
                <w:sz w:val="24"/>
                <w:szCs w:val="24"/>
                <w:lang w:val="en-US" w:eastAsia="zh-CN"/>
              </w:rPr>
              <w:t>30838</w:t>
            </w:r>
          </w:p>
        </w:tc>
        <w:tc>
          <w:tcPr>
            <w:tcW w:w="2193" w:type="dxa"/>
            <w:tcBorders>
              <w:top w:val="single" w:color="auto" w:sz="2" w:space="0"/>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lang w:val="en-US" w:eastAsia="zh-CN"/>
              </w:rPr>
            </w:pPr>
            <w:r>
              <w:rPr>
                <w:rFonts w:hint="default" w:ascii="宋体" w:hAnsi="宋体" w:cs="宋体"/>
                <w:b/>
                <w:bCs/>
                <w:color w:val="auto"/>
                <w:sz w:val="24"/>
                <w:szCs w:val="24"/>
                <w:lang w:val="en-US" w:eastAsia="zh-CN"/>
              </w:rPr>
              <w:t>4.4</w:t>
            </w:r>
          </w:p>
        </w:tc>
        <w:tc>
          <w:tcPr>
            <w:tcW w:w="1974" w:type="dxa"/>
            <w:tcBorders>
              <w:top w:val="single" w:color="auto" w:sz="2" w:space="0"/>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lang w:val="en-US" w:eastAsia="zh-CN"/>
              </w:rPr>
            </w:pPr>
            <w:r>
              <w:rPr>
                <w:rFonts w:hint="default" w:ascii="宋体" w:hAnsi="宋体" w:cs="宋体"/>
                <w:b/>
                <w:bCs/>
                <w:sz w:val="24"/>
                <w:szCs w:val="24"/>
                <w:lang w:val="en-US" w:eastAsia="zh-CN"/>
              </w:rPr>
              <w:t>37541</w:t>
            </w:r>
          </w:p>
        </w:tc>
        <w:tc>
          <w:tcPr>
            <w:tcW w:w="2194" w:type="dxa"/>
            <w:tcBorders>
              <w:top w:val="single" w:color="auto" w:sz="2" w:space="0"/>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lang w:val="en-US" w:eastAsia="zh-CN"/>
              </w:rPr>
            </w:pPr>
            <w:r>
              <w:rPr>
                <w:rFonts w:hint="default" w:ascii="宋体" w:hAnsi="宋体" w:cs="宋体"/>
                <w:b/>
                <w:bCs/>
                <w:color w:val="auto"/>
                <w:sz w:val="24"/>
                <w:szCs w:val="24"/>
                <w:lang w:val="en-US" w:eastAsia="zh-CN"/>
              </w:rPr>
              <w:t>5.1</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食品烟酒</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7384</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2.1</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8389</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0.6</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衣着</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1400</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-12.3</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1838</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-14.8</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居住</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9018</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2.0</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11241</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8.1</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生活用品及服务</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1590</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-18.7</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1982</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-12.0</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交通和通信</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4264</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1.2</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4712</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-14.8</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教育文化娱乐</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2278</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20.9</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3343</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27.2</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医疗保健</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4092</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37.4</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4869</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52.3</w:t>
            </w:r>
          </w:p>
        </w:tc>
      </w:tr>
      <w:tr>
        <w:tblPrEx>
          <w:tblCellMar>
            <w:top w:w="0" w:type="dxa"/>
            <w:left w:w="0" w:type="dxa"/>
            <w:bottom w:w="0" w:type="dxa"/>
            <w:right w:w="0" w:type="dxa"/>
          </w:tblCellMar>
        </w:tblPrEx>
        <w:trPr>
          <w:trHeight w:val="413" w:hRule="exact"/>
        </w:trPr>
        <w:tc>
          <w:tcPr>
            <w:tcW w:w="5045" w:type="dxa"/>
            <w:tcBorders>
              <w:top w:val="nil"/>
              <w:left w:val="nil"/>
              <w:bottom w:val="single" w:color="auto" w:sz="1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其他用品及服务</w:t>
            </w:r>
          </w:p>
        </w:tc>
        <w:tc>
          <w:tcPr>
            <w:tcW w:w="2194" w:type="dxa"/>
            <w:tcBorders>
              <w:top w:val="nil"/>
              <w:left w:val="single" w:color="auto" w:sz="2" w:space="0"/>
              <w:bottom w:val="single" w:color="auto" w:sz="12" w:space="0"/>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812</w:t>
            </w:r>
          </w:p>
        </w:tc>
        <w:tc>
          <w:tcPr>
            <w:tcW w:w="2193" w:type="dxa"/>
            <w:tcBorders>
              <w:top w:val="nil"/>
              <w:left w:val="single" w:color="auto" w:sz="2" w:space="0"/>
              <w:bottom w:val="single" w:color="auto" w:sz="12" w:space="0"/>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-2.1</w:t>
            </w:r>
          </w:p>
        </w:tc>
        <w:tc>
          <w:tcPr>
            <w:tcW w:w="1974" w:type="dxa"/>
            <w:tcBorders>
              <w:top w:val="nil"/>
              <w:left w:val="single" w:color="auto" w:sz="2" w:space="0"/>
              <w:bottom w:val="single" w:color="auto" w:sz="12" w:space="0"/>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sz w:val="24"/>
                <w:szCs w:val="24"/>
                <w:lang w:val="en-US" w:eastAsia="zh-CN"/>
              </w:rPr>
              <w:t>1168</w:t>
            </w:r>
          </w:p>
        </w:tc>
        <w:tc>
          <w:tcPr>
            <w:tcW w:w="2194" w:type="dxa"/>
            <w:tcBorders>
              <w:top w:val="nil"/>
              <w:left w:val="single" w:color="auto" w:sz="2" w:space="0"/>
              <w:bottom w:val="single" w:color="auto" w:sz="12" w:space="0"/>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rPr>
            </w:pPr>
            <w:r>
              <w:rPr>
                <w:rFonts w:hint="default" w:ascii="宋体" w:hAnsi="宋体" w:cs="宋体"/>
                <w:color w:val="auto"/>
                <w:sz w:val="24"/>
                <w:szCs w:val="24"/>
                <w:lang w:val="en-US" w:eastAsia="zh-CN"/>
              </w:rPr>
              <w:t>-4.1</w:t>
            </w:r>
          </w:p>
        </w:tc>
      </w:tr>
    </w:tbl>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rPr>
      </w:pPr>
      <w:r>
        <w:rPr>
          <w:rFonts w:hint="eastAsia" w:ascii="楷体_GB2312" w:hAnsi="宋体" w:eastAsia="楷体_GB2312" w:cs="宋体"/>
          <w:kern w:val="0"/>
          <w:sz w:val="24"/>
          <w:szCs w:val="24"/>
        </w:rPr>
        <w:t>注释：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textAlignment w:val="auto"/>
        <w:rPr>
          <w:rFonts w:hint="default" w:ascii="楷体_GB2312" w:hAnsi="宋体" w:eastAsia="楷体_GB2312" w:cs="宋体"/>
          <w:b w:val="0"/>
          <w:bCs/>
          <w:kern w:val="0"/>
          <w:sz w:val="24"/>
          <w:szCs w:val="24"/>
          <w:lang w:val="en" w:eastAsia="zh-CN" w:bidi="ar-SA"/>
        </w:rPr>
      </w:pPr>
      <w:r>
        <w:rPr>
          <w:rFonts w:hint="eastAsia" w:hAnsi="宋体" w:eastAsia="楷体_GB2312" w:cs="宋体"/>
          <w:b/>
          <w:kern w:val="0"/>
          <w:sz w:val="24"/>
          <w:szCs w:val="24"/>
          <w:lang w:val="en-US" w:eastAsia="zh-CN" w:bidi="ar-SA"/>
        </w:rPr>
        <w:t>1、</w:t>
      </w:r>
      <w:r>
        <w:rPr>
          <w:rFonts w:hint="default" w:ascii="楷体_GB2312" w:hAnsi="宋体" w:eastAsia="楷体_GB2312" w:cs="宋体"/>
          <w:b/>
          <w:kern w:val="0"/>
          <w:sz w:val="24"/>
          <w:szCs w:val="24"/>
          <w:lang w:val="en" w:eastAsia="zh-CN" w:bidi="ar-SA"/>
        </w:rPr>
        <w:t>统计范围：</w:t>
      </w:r>
      <w:r>
        <w:rPr>
          <w:rFonts w:hint="default" w:ascii="楷体_GB2312" w:hAnsi="宋体" w:eastAsia="楷体_GB2312" w:cs="宋体"/>
          <w:b w:val="0"/>
          <w:bCs/>
          <w:kern w:val="0"/>
          <w:sz w:val="24"/>
          <w:szCs w:val="24"/>
          <w:lang w:val="en" w:eastAsia="zh-CN" w:bidi="ar-SA"/>
        </w:rPr>
        <w:t>住户调查对象为中华人民共和国境内的住户，既包括城镇住户，也包括农村住户；既包括以家庭形式居住的户，也包括以集体形式居住的户。调查对象按照常住地确定，既包括户口在本地的住户，也包括户口在外地、但在本地居住一定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textAlignment w:val="auto"/>
        <w:rPr>
          <w:rFonts w:hint="default" w:ascii="楷体_GB2312" w:hAnsi="宋体" w:eastAsia="楷体_GB2312" w:cs="宋体"/>
          <w:b w:val="0"/>
          <w:bCs/>
          <w:kern w:val="0"/>
          <w:sz w:val="24"/>
          <w:szCs w:val="24"/>
          <w:lang w:val="en" w:eastAsia="zh-CN" w:bidi="ar-SA"/>
        </w:rPr>
      </w:pPr>
      <w:r>
        <w:rPr>
          <w:rFonts w:hint="default" w:ascii="楷体_GB2312" w:hAnsi="宋体" w:eastAsia="楷体_GB2312" w:cs="宋体"/>
          <w:b w:val="0"/>
          <w:bCs/>
          <w:kern w:val="0"/>
          <w:sz w:val="24"/>
          <w:szCs w:val="24"/>
          <w:lang w:val="en" w:eastAsia="zh-CN" w:bidi="ar-SA"/>
        </w:rPr>
        <w:t>间（通常为半年）以上的住户。城镇范围为《统计上划分城乡的规定》中被界定为“城镇”的区域，农村范围为《统计上划分城乡的规定》中被界定为“乡村”的区域。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rPr>
        <w:t>2、采集渠道：</w:t>
      </w:r>
      <w:r>
        <w:rPr>
          <w:rFonts w:hint="eastAsia" w:ascii="楷体_GB2312" w:hAnsi="宋体" w:eastAsia="楷体_GB2312" w:cs="宋体"/>
          <w:b w:val="0"/>
          <w:bCs/>
          <w:kern w:val="0"/>
          <w:sz w:val="24"/>
          <w:szCs w:val="24"/>
        </w:rPr>
        <w:t>住户调查采用日记账和问卷调查相结合的方式采集基础数据。其中，居民现金收入与支出、实物收入与支出等内容主要使用记账方式采集。住户成员及劳动力从业情况、住房和耐用品拥有量情况、家庭经营和生产投资情况、社区基本情况及其他民生状况等资料使用问卷调查方式采集。</w:t>
      </w:r>
    </w:p>
    <w:p>
      <w:pPr>
        <w:keepNext w:val="0"/>
        <w:keepLines w:val="0"/>
        <w:pageBreakBefore w:val="0"/>
        <w:kinsoku/>
        <w:wordWrap/>
        <w:overflowPunct/>
        <w:topLinePunct w:val="0"/>
        <w:autoSpaceDE/>
        <w:autoSpaceDN/>
        <w:bidi w:val="0"/>
        <w:adjustRightInd w:val="0"/>
        <w:snapToGrid w:val="0"/>
        <w:jc w:val="left"/>
        <w:outlineLvl w:val="9"/>
        <w:rPr>
          <w:rFonts w:hint="eastAsia"/>
          <w:b/>
          <w:color w:val="0000FF"/>
          <w:sz w:val="24"/>
          <w:szCs w:val="24"/>
          <w:lang w:eastAsia="zh-CN"/>
        </w:rPr>
      </w:pPr>
      <w:r>
        <w:rPr>
          <w:rFonts w:hint="eastAsia" w:ascii="楷体_GB2312" w:hAnsi="宋体" w:eastAsia="楷体_GB2312" w:cs="宋体"/>
          <w:b/>
          <w:kern w:val="0"/>
          <w:sz w:val="24"/>
          <w:szCs w:val="24"/>
          <w:lang w:val="en-US" w:eastAsia="zh-CN"/>
        </w:rPr>
        <w:t>3、</w:t>
      </w:r>
      <w:r>
        <w:rPr>
          <w:rFonts w:hint="eastAsia" w:ascii="楷体_GB2312" w:hAnsi="宋体" w:eastAsia="楷体_GB2312" w:cs="宋体"/>
          <w:b/>
          <w:kern w:val="0"/>
          <w:sz w:val="24"/>
          <w:szCs w:val="24"/>
        </w:rPr>
        <w:t>主要统计指标解释：</w:t>
      </w:r>
      <w:r>
        <w:rPr>
          <w:rFonts w:hint="eastAsia" w:ascii="楷体_GB2312" w:hAnsi="宋体" w:eastAsia="楷体_GB2312" w:cs="宋体"/>
          <w:b w:val="0"/>
          <w:bCs/>
          <w:kern w:val="0"/>
          <w:sz w:val="24"/>
          <w:szCs w:val="24"/>
        </w:rPr>
        <w:t>消费支出：指住户用于满足家庭日常生活消费需要的全部支出，包括用于消费品的支出和用于服务性消费的支出。根据用途不同，消费支出可划分为食品烟酒、衣着、居住、生活用品及服务、交通通信、教育文化娱乐、医疗保健、其他用品及服务八大类。食品烟酒：指用于各种食品和烟草、酒类的支出。衣着：指与居民穿着有关的支出，包括服装、服装材料、鞋类、其他衣类及配件、衣着相关加工服务的支出。居住：指与居住相关的支出，包括房租、水、电、燃料、物业管理等方面的支出，也包括自有住房折算租金。生活用品及服务：指家庭及个人的各类生活品及家庭服务。包括家具及室内装饰品、家用器具、家用纺织品、家庭日用杂品、个人用品和家庭服务。交通通信：指用于交通和通信工具及相关的各种服务费、维修费和车辆保险等支出。教育文化娱乐：指用于教育和文化娱乐方面的支出。医疗保健：指用于医疗和保健的药品、用品和服务的总费用。包括医疗器具及药品，以及医疗服务。其他用品及服务：指无法直接归入上述各类支出的其他用品和服务支出。</w:t>
      </w:r>
    </w:p>
    <w:p>
      <w:pPr>
        <w:pStyle w:val="2"/>
        <w:keepNext w:val="0"/>
        <w:keepLines w:val="0"/>
        <w:pageBreakBefore w:val="0"/>
        <w:kinsoku/>
        <w:wordWrap/>
        <w:overflowPunct/>
        <w:topLinePunct w:val="0"/>
        <w:autoSpaceDE/>
        <w:autoSpaceDN/>
        <w:bidi w:val="0"/>
        <w:adjustRightInd w:val="0"/>
        <w:snapToGrid w:val="0"/>
        <w:outlineLvl w:val="9"/>
        <w:rPr>
          <w:rFonts w:hint="eastAsia"/>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F65CD"/>
    <w:multiLevelType w:val="singleLevel"/>
    <w:tmpl w:val="EFDF65CD"/>
    <w:lvl w:ilvl="0" w:tentative="0">
      <w:start w:val="1"/>
      <w:numFmt w:val="decimal"/>
      <w:suff w:val="nothing"/>
      <w:lvlText w:val="%1、"/>
      <w:lvlJc w:val="left"/>
    </w:lvl>
  </w:abstractNum>
  <w:abstractNum w:abstractNumId="1">
    <w:nsid w:val="16658446"/>
    <w:multiLevelType w:val="singleLevel"/>
    <w:tmpl w:val="1665844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81EB3C3A"/>
    <w:rsid w:val="8CDA845A"/>
    <w:rsid w:val="99B77EE0"/>
    <w:rsid w:val="9FED37BA"/>
    <w:rsid w:val="A1F996D1"/>
    <w:rsid w:val="A79F92C3"/>
    <w:rsid w:val="AB6F98F3"/>
    <w:rsid w:val="B7799B9E"/>
    <w:rsid w:val="B7FF7374"/>
    <w:rsid w:val="BB9F279F"/>
    <w:rsid w:val="BDF6F2E2"/>
    <w:rsid w:val="BF69E885"/>
    <w:rsid w:val="BFB650B6"/>
    <w:rsid w:val="C6FCE371"/>
    <w:rsid w:val="CD3B0D55"/>
    <w:rsid w:val="D57D44D0"/>
    <w:rsid w:val="D7EE2A06"/>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FE7D1F"/>
    <w:rsid w:val="F7B564CC"/>
    <w:rsid w:val="F7BFE11D"/>
    <w:rsid w:val="FBDF6E2B"/>
    <w:rsid w:val="FE3F8DB9"/>
    <w:rsid w:val="FE77F456"/>
    <w:rsid w:val="FECFFF92"/>
    <w:rsid w:val="FF9FF837"/>
    <w:rsid w:val="FFAD37E5"/>
    <w:rsid w:val="FFD83BD6"/>
    <w:rsid w:val="FFDB47DB"/>
    <w:rsid w:val="FFDDC2DC"/>
    <w:rsid w:val="FFDF4CDE"/>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2020-08-11T17:20:00Z</dcterms:created>
  <dc:creator>NTKO</dc:creator>
  <cp:lastModifiedBy>zhk</cp:lastModifiedBy>
  <cp:lastPrinted>2025-01-24T22:35:00Z</cp:lastPrinted>
  <dcterms:modified xsi:type="dcterms:W3CDTF">2025-01-24T10:19:19Z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