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90" w:tblpY="296"/>
        <w:tblOverlap w:val="never"/>
        <w:tblW w:w="13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2194"/>
        <w:gridCol w:w="2193"/>
        <w:gridCol w:w="1974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360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jc w:val="center"/>
              <w:outlineLvl w:val="9"/>
              <w:rPr>
                <w:color w:val="404040"/>
                <w:sz w:val="30"/>
                <w:szCs w:val="30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lang w:val="en-US" w:eastAsia="zh-CN" w:bidi="ar-SA"/>
              </w:rPr>
              <w:t>居民收支统计数据：2024年</w:t>
            </w:r>
            <w:r>
              <w:rPr>
                <w:rFonts w:hint="default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lang w:val="en" w:eastAsia="zh-CN" w:bidi="ar-SA"/>
              </w:rPr>
              <w:t>1季度</w:t>
            </w: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lang w:val="en-US" w:eastAsia="zh-CN" w:bidi="ar-SA"/>
              </w:rPr>
              <w:t>居民人均消费支出情况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5045" w:type="dxa"/>
            <w:vMerge w:val="restart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 标 名 称</w:t>
            </w:r>
          </w:p>
        </w:tc>
        <w:tc>
          <w:tcPr>
            <w:tcW w:w="438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全区居民</w:t>
            </w:r>
          </w:p>
        </w:tc>
        <w:tc>
          <w:tcPr>
            <w:tcW w:w="416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城镇居民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5045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default" w:ascii="宋体" w:hAnsi="宋体" w:eastAsia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2024年</w:t>
            </w:r>
            <w:r>
              <w:rPr>
                <w:rStyle w:val="8"/>
                <w:rFonts w:hint="default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1季度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default" w:ascii="宋体" w:hAnsi="宋体" w:eastAsia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2024年</w:t>
            </w:r>
            <w:r>
              <w:rPr>
                <w:rStyle w:val="8"/>
                <w:rFonts w:hint="default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1季度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人均消费支出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8046 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9540 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食品烟酒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2308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2570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衣着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-6.6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2295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2686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交通和通信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1103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1372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教育文化娱乐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医疗保健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845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962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-9.5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-23.7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注释：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eastAsia" w:hAnsi="宋体" w:eastAsia="楷体_GB2312" w:cs="宋体"/>
          <w:b/>
          <w:kern w:val="0"/>
          <w:sz w:val="24"/>
          <w:szCs w:val="24"/>
          <w:lang w:val="en-US" w:eastAsia="zh-CN" w:bidi="ar-SA"/>
        </w:rPr>
        <w:t>1、</w:t>
      </w:r>
      <w:r>
        <w:rPr>
          <w:rFonts w:hint="default" w:ascii="楷体_GB2312" w:hAnsi="宋体" w:eastAsia="楷体_GB2312" w:cs="宋体"/>
          <w:b/>
          <w:kern w:val="0"/>
          <w:sz w:val="24"/>
          <w:szCs w:val="24"/>
          <w:lang w:val="en" w:eastAsia="zh-CN" w:bidi="ar-SA"/>
        </w:rPr>
        <w:t>统计范围：</w:t>
      </w: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住户调查对象为中华人民共和国境内的住户，既包括城镇住户，也包括农村住户；既包括以家庭形式居住的户，也包括以集体形式居住的户。调查对象按照常住地确定，既包括户口在本地的住户，也包括户口在外地、但在本地居住一定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间（通常为半年）以上的住户。城镇范围为《统计上划分城乡的规定》中被界定为“城镇”的区域，农村范围为《统计上划分城乡的规定》中被界定为“乡村”的区域。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2、采集渠道：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住户调查采用日记账和问卷调查相结合的方式采集基础数据。其中，居民现金收入与支出、实物收入与支出等内容主要使用记账方式采集。住户成员及劳动力从业情况、住房和耐用品拥有量情况、家庭经营和生产投资情况、社区基本情况及其他民生状况等资料使用问卷调查方式采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/>
          <w:b/>
          <w:color w:val="0000FF"/>
          <w:sz w:val="24"/>
          <w:szCs w:val="24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  <w:lang w:val="en-US" w:eastAsia="zh-CN"/>
        </w:rPr>
        <w:t>3、</w:t>
      </w: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主要统计指标解释：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消费支出：指住户用于满足家庭日常生活消费需要的全部支出，包括用于消费品的支出和用于服务性消费的支出。根据用途不同，消费支出可划分为食品烟酒、衣着、居住、生活用品及服务、交通通信、教育文化娱乐、医疗保健、其他用品及服务八大类。食品烟酒：指用于各种食品和烟草、酒类的支出。衣着：指与居民穿着有关的支出，包括服装、服装材料、鞋类、其他衣类及配件、衣着相关加工服务的支出。居住：指与居住相关的支出，包括房租、水、电、燃料、物业管理等方面的支出，也包括自有住房折算租金。生活用品及服务：指家庭及个人的各类生活品及家庭服务。包括家具及室内装饰品、家用器具、家用纺织品、家庭日用杂品、个人用品和家庭服务。交通通信：指用于交通和通信工具及相关的各种服务费、维修费和车辆保险等支出。教育文化娱乐：指用于教育和文化娱乐方面的支出。医疗保健：指用于医疗和保健的药品、用品和服务的总费用。包括医疗器具及药品，以及医疗服务。其他用品及服务：指无法直接归入上述各类支出的其他用品和服务支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9FBF154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9D3E27"/>
    <w:rsid w:val="50D8657E"/>
    <w:rsid w:val="51512E17"/>
    <w:rsid w:val="526977BB"/>
    <w:rsid w:val="52FB1BC2"/>
    <w:rsid w:val="53BA8191"/>
    <w:rsid w:val="53F57A86"/>
    <w:rsid w:val="54895C40"/>
    <w:rsid w:val="54F42AFF"/>
    <w:rsid w:val="55600A1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333191"/>
    <w:rsid w:val="6FBF1FE6"/>
    <w:rsid w:val="6FC7354D"/>
    <w:rsid w:val="6FFEDE62"/>
    <w:rsid w:val="6FFF682D"/>
    <w:rsid w:val="71080D89"/>
    <w:rsid w:val="7175080B"/>
    <w:rsid w:val="7186F4B4"/>
    <w:rsid w:val="726A1098"/>
    <w:rsid w:val="737B2704"/>
    <w:rsid w:val="73CC0211"/>
    <w:rsid w:val="73EFABBB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9F31615"/>
    <w:rsid w:val="7A100E94"/>
    <w:rsid w:val="7A7F2461"/>
    <w:rsid w:val="7AC2683B"/>
    <w:rsid w:val="7B423B59"/>
    <w:rsid w:val="7BA3EC91"/>
    <w:rsid w:val="7BD7D5FA"/>
    <w:rsid w:val="7C58388D"/>
    <w:rsid w:val="7C7A5981"/>
    <w:rsid w:val="7CF5D5DB"/>
    <w:rsid w:val="7D97E7E2"/>
    <w:rsid w:val="7DEDBE7E"/>
    <w:rsid w:val="7E282AF5"/>
    <w:rsid w:val="7E7F0693"/>
    <w:rsid w:val="7ED92472"/>
    <w:rsid w:val="7EFC0917"/>
    <w:rsid w:val="7F1879BC"/>
    <w:rsid w:val="7F3A5975"/>
    <w:rsid w:val="7F735FE4"/>
    <w:rsid w:val="7F7FDEE6"/>
    <w:rsid w:val="81EB3C3A"/>
    <w:rsid w:val="9BF76748"/>
    <w:rsid w:val="A6BBEDD8"/>
    <w:rsid w:val="BA7B23C6"/>
    <w:rsid w:val="BDFF181F"/>
    <w:rsid w:val="BF6D6132"/>
    <w:rsid w:val="BF6F1579"/>
    <w:rsid w:val="BFB650B6"/>
    <w:rsid w:val="C9B3AE1A"/>
    <w:rsid w:val="CD3B0D55"/>
    <w:rsid w:val="D57D44D0"/>
    <w:rsid w:val="D7CF60E8"/>
    <w:rsid w:val="D7EE2A06"/>
    <w:rsid w:val="DDF6AF67"/>
    <w:rsid w:val="DEEF33A5"/>
    <w:rsid w:val="DF7BDF92"/>
    <w:rsid w:val="DF9FEF24"/>
    <w:rsid w:val="DFAB23FE"/>
    <w:rsid w:val="DFBFE4DB"/>
    <w:rsid w:val="E7F7B4E4"/>
    <w:rsid w:val="E7FDA2F2"/>
    <w:rsid w:val="EA6790F0"/>
    <w:rsid w:val="EDFE27A9"/>
    <w:rsid w:val="EEFF3E89"/>
    <w:rsid w:val="EF7D7BB4"/>
    <w:rsid w:val="F047853D"/>
    <w:rsid w:val="F69F3012"/>
    <w:rsid w:val="F6FE7D1F"/>
    <w:rsid w:val="F6FFF9CA"/>
    <w:rsid w:val="F7BC9939"/>
    <w:rsid w:val="F7BFE11D"/>
    <w:rsid w:val="FBB75A6A"/>
    <w:rsid w:val="FBDF6E2B"/>
    <w:rsid w:val="FBFFA73F"/>
    <w:rsid w:val="FEED9217"/>
    <w:rsid w:val="FEEF24D6"/>
    <w:rsid w:val="FFD83BD6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6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2020-08-07T09:20:00Z</dcterms:created>
  <dc:creator>NTKO</dc:creator>
  <cp:lastModifiedBy>zhk</cp:lastModifiedBy>
  <cp:lastPrinted>2024-04-29T07:06:00Z</cp:lastPrinted>
  <dcterms:modified xsi:type="dcterms:W3CDTF">2024-04-29T11:04:54Z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