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eastAsia="zh-CN"/>
        </w:rPr>
      </w:pPr>
      <w:bookmarkStart w:id="0" w:name="_GoBack"/>
      <w:r>
        <w:rPr>
          <w:rFonts w:hint="eastAsia"/>
          <w:b/>
          <w:color w:val="0000FF"/>
          <w:sz w:val="36"/>
          <w:szCs w:val="36"/>
          <w:highlight w:val="none"/>
          <w:lang w:val="en-US" w:eastAsia="zh-CN"/>
        </w:rPr>
        <w:t>GDP核算数据：</w:t>
      </w:r>
      <w:r>
        <w:rPr>
          <w:rFonts w:hint="eastAsia"/>
          <w:b/>
          <w:color w:val="0000FF"/>
          <w:sz w:val="36"/>
          <w:szCs w:val="36"/>
          <w:highlight w:val="none"/>
          <w:lang w:eastAsia="zh-CN"/>
        </w:rPr>
        <w:t>2024年</w:t>
      </w:r>
      <w:r>
        <w:rPr>
          <w:rFonts w:hint="default"/>
          <w:b/>
          <w:color w:val="0000FF"/>
          <w:sz w:val="36"/>
          <w:szCs w:val="36"/>
          <w:highlight w:val="none"/>
          <w:lang w:val="en" w:eastAsia="zh-CN"/>
        </w:rPr>
        <w:t>1季度</w:t>
      </w:r>
      <w:r>
        <w:rPr>
          <w:rFonts w:hint="eastAsia"/>
          <w:b/>
          <w:color w:val="0000FF"/>
          <w:sz w:val="36"/>
          <w:szCs w:val="36"/>
          <w:highlight w:val="none"/>
        </w:rPr>
        <w:t>地区生产总值</w:t>
      </w:r>
      <w:r>
        <w:rPr>
          <w:rFonts w:hint="eastAsia"/>
          <w:b/>
          <w:color w:val="0000FF"/>
          <w:sz w:val="36"/>
          <w:szCs w:val="36"/>
          <w:highlight w:val="none"/>
          <w:lang w:eastAsia="zh-CN"/>
        </w:rPr>
        <w:t>情况</w:t>
      </w:r>
    </w:p>
    <w:bookmarkEnd w:id="0"/>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08"/>
        <w:gridCol w:w="3535"/>
        <w:gridCol w:w="3466"/>
        <w:gridCol w:w="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715" w:hRule="atLeast"/>
        </w:trPr>
        <w:tc>
          <w:tcPr>
            <w:tcW w:w="2302" w:type="pct"/>
            <w:tcBorders>
              <w:top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项  目</w:t>
            </w:r>
          </w:p>
        </w:tc>
        <w:tc>
          <w:tcPr>
            <w:tcW w:w="1332" w:type="pc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lang w:val="en"/>
              </w:rPr>
            </w:pPr>
            <w:r>
              <w:rPr>
                <w:rFonts w:hint="eastAsia" w:ascii="宋体" w:hAnsi="宋体" w:cs="宋体"/>
                <w:kern w:val="0"/>
                <w:sz w:val="24"/>
                <w:lang w:eastAsia="zh-CN"/>
              </w:rPr>
              <w:t>2024年</w:t>
            </w:r>
            <w:r>
              <w:rPr>
                <w:rFonts w:hint="default" w:ascii="宋体" w:hAnsi="宋体" w:cs="宋体"/>
                <w:kern w:val="0"/>
                <w:sz w:val="24"/>
                <w:lang w:val="en" w:eastAsia="zh-CN"/>
              </w:rPr>
              <w:t>1季度</w:t>
            </w:r>
          </w:p>
        </w:tc>
        <w:tc>
          <w:tcPr>
            <w:tcW w:w="1306"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single" w:color="000000" w:sz="4" w:space="0"/>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地区生产总值（万元）</w:t>
            </w:r>
          </w:p>
        </w:tc>
        <w:tc>
          <w:tcPr>
            <w:tcW w:w="3535" w:type="dxa"/>
            <w:tcBorders>
              <w:top w:val="single" w:color="000000" w:sz="4" w:space="0"/>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927349 </w:t>
            </w:r>
          </w:p>
        </w:tc>
        <w:tc>
          <w:tcPr>
            <w:tcW w:w="3466" w:type="dxa"/>
            <w:tcBorders>
              <w:top w:val="single" w:color="000000" w:sz="4" w:space="0"/>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按产业分</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kern w:val="0"/>
                <w:sz w:val="24"/>
                <w:szCs w:val="24"/>
              </w:rPr>
            </w:pPr>
          </w:p>
        </w:tc>
        <w:tc>
          <w:tcPr>
            <w:tcW w:w="3466" w:type="dxa"/>
            <w:tcBorders>
              <w:top w:val="nil"/>
              <w:left w:val="single" w:color="000000" w:sz="6" w:space="0"/>
              <w:bottom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第一产业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21391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第二产业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207815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第三产业</w:t>
            </w:r>
          </w:p>
        </w:tc>
        <w:tc>
          <w:tcPr>
            <w:tcW w:w="3535" w:type="dxa"/>
            <w:tcBorders>
              <w:top w:val="nil"/>
              <w:left w:val="single" w:color="000000" w:sz="6"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698143 </w:t>
            </w:r>
          </w:p>
        </w:tc>
        <w:tc>
          <w:tcPr>
            <w:tcW w:w="3466" w:type="dxa"/>
            <w:tcBorders>
              <w:top w:val="nil"/>
              <w:left w:val="single" w:color="000000" w:sz="6"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4"/>
            <w:tcBorders>
              <w:top w:val="single" w:color="000000" w:sz="12" w:space="0"/>
              <w:bottom w:val="nil"/>
            </w:tcBorders>
            <w:vAlign w:val="center"/>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经济领土内部具有经济利益中心的经济单位都应该纳入地区生产总值（GDP）统计范围，即在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rPr>
            </w:pPr>
            <w:r>
              <w:rPr>
                <w:rFonts w:hint="eastAsia" w:ascii="楷体_GB2312" w:hAnsi="宋体" w:eastAsia="楷体_GB2312" w:cs="宋体"/>
                <w:b/>
                <w:sz w:val="24"/>
              </w:rPr>
              <w:t>2</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eastAsia="zh-CN"/>
              </w:rPr>
            </w:pPr>
            <w:r>
              <w:rPr>
                <w:rFonts w:hint="eastAsia" w:ascii="楷体_GB2312" w:hAnsi="宋体" w:eastAsia="楷体_GB2312" w:cs="宋体"/>
                <w:b/>
                <w:sz w:val="24"/>
              </w:rPr>
              <w:t>3</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val="en-US" w:eastAsia="zh-CN"/>
              </w:rPr>
            </w:pPr>
            <w:r>
              <w:rPr>
                <w:rFonts w:hint="eastAsia" w:ascii="楷体_GB2312" w:hAnsi="宋体" w:eastAsia="楷体_GB2312" w:cs="宋体"/>
                <w:b/>
                <w:sz w:val="24"/>
                <w:lang w:val="en-US" w:eastAsia="zh-CN"/>
              </w:rPr>
              <w:t>4、</w:t>
            </w:r>
            <w:r>
              <w:rPr>
                <w:rFonts w:hint="eastAsia" w:ascii="楷体_GB2312" w:hAnsi="宋体" w:eastAsia="楷体_GB2312" w:cs="宋体"/>
                <w:b w:val="0"/>
                <w:bCs w:val="0"/>
                <w:sz w:val="24"/>
                <w:lang w:val="en-US" w:eastAsia="zh-CN"/>
              </w:rPr>
              <w:t>按照我国地区生产总值统一核算和数据发布制度规定，地区生产总值核算包括初步核算和最终核实两个步骤。</w:t>
            </w:r>
          </w:p>
        </w:tc>
      </w:tr>
    </w:tbl>
    <w:p>
      <w:pPr>
        <w:pStyle w:val="2"/>
        <w:rPr>
          <w:rFonts w:hint="eastAsia"/>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9FBF154"/>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4F9D3E27"/>
    <w:rsid w:val="50D8657E"/>
    <w:rsid w:val="51512E17"/>
    <w:rsid w:val="526977BB"/>
    <w:rsid w:val="52FB1BC2"/>
    <w:rsid w:val="53BA8191"/>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333191"/>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9F31615"/>
    <w:rsid w:val="7A100E94"/>
    <w:rsid w:val="7A7F2461"/>
    <w:rsid w:val="7AC2683B"/>
    <w:rsid w:val="7B423B59"/>
    <w:rsid w:val="7BA3EC91"/>
    <w:rsid w:val="7BD7D5FA"/>
    <w:rsid w:val="7C58388D"/>
    <w:rsid w:val="7C7A5981"/>
    <w:rsid w:val="7CF5D5DB"/>
    <w:rsid w:val="7D97E7E2"/>
    <w:rsid w:val="7DEDBE7E"/>
    <w:rsid w:val="7E282AF5"/>
    <w:rsid w:val="7E7F0693"/>
    <w:rsid w:val="7ED92472"/>
    <w:rsid w:val="7EFC0917"/>
    <w:rsid w:val="7F1879BC"/>
    <w:rsid w:val="7F3A5975"/>
    <w:rsid w:val="7F7FDEE6"/>
    <w:rsid w:val="81EB3C3A"/>
    <w:rsid w:val="9BF76748"/>
    <w:rsid w:val="A6BBEDD8"/>
    <w:rsid w:val="BA7B23C6"/>
    <w:rsid w:val="BDFF181F"/>
    <w:rsid w:val="BF6D6132"/>
    <w:rsid w:val="BF6F1579"/>
    <w:rsid w:val="BFB650B6"/>
    <w:rsid w:val="C9B3AE1A"/>
    <w:rsid w:val="CD3B0D55"/>
    <w:rsid w:val="D57D44D0"/>
    <w:rsid w:val="D7CF60E8"/>
    <w:rsid w:val="D7EE2A06"/>
    <w:rsid w:val="DDF6AF67"/>
    <w:rsid w:val="DEEF33A5"/>
    <w:rsid w:val="DF7BDF92"/>
    <w:rsid w:val="DF9FEF24"/>
    <w:rsid w:val="DFAB23FE"/>
    <w:rsid w:val="DFBFE4DB"/>
    <w:rsid w:val="E7F7B4E4"/>
    <w:rsid w:val="E7FDA2F2"/>
    <w:rsid w:val="EA6790F0"/>
    <w:rsid w:val="EA6BB719"/>
    <w:rsid w:val="EDFE27A9"/>
    <w:rsid w:val="EEFF3E89"/>
    <w:rsid w:val="EF7D7BB4"/>
    <w:rsid w:val="F047853D"/>
    <w:rsid w:val="F69F3012"/>
    <w:rsid w:val="F6FE7D1F"/>
    <w:rsid w:val="F6FFF9CA"/>
    <w:rsid w:val="F7BC9939"/>
    <w:rsid w:val="F7BFE11D"/>
    <w:rsid w:val="FBB75A6A"/>
    <w:rsid w:val="FBDF6E2B"/>
    <w:rsid w:val="FBFFA73F"/>
    <w:rsid w:val="FEED9217"/>
    <w:rsid w:val="FEEF24D6"/>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7</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2020-08-07T09:20:00Z</dcterms:created>
  <dc:creator>NTKO</dc:creator>
  <cp:lastModifiedBy>zhk</cp:lastModifiedBy>
  <cp:lastPrinted>2024-04-29T07:06:00Z</cp:lastPrinted>
  <dcterms:modified xsi:type="dcterms:W3CDTF">2024-04-29T10:57:12Z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