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bookmarkStart w:id="0" w:name="_GoBack"/>
      <w:r>
        <w:rPr>
          <w:rFonts w:hint="eastAsia"/>
          <w:b/>
          <w:color w:val="0000FF"/>
          <w:sz w:val="36"/>
          <w:szCs w:val="36"/>
          <w:lang w:eastAsia="zh-CN"/>
        </w:rPr>
        <w:t>投资统计数据：</w:t>
      </w:r>
      <w:r>
        <w:rPr>
          <w:rFonts w:hint="eastAsia"/>
          <w:b/>
          <w:color w:val="0000FF"/>
          <w:sz w:val="36"/>
          <w:szCs w:val="36"/>
          <w:lang w:val="en-US" w:eastAsia="zh-CN"/>
        </w:rPr>
        <w:t>2024年</w:t>
      </w:r>
      <w:r>
        <w:rPr>
          <w:rFonts w:hint="default"/>
          <w:b/>
          <w:color w:val="0000FF"/>
          <w:sz w:val="36"/>
          <w:szCs w:val="36"/>
          <w:lang w:val="en" w:eastAsia="zh-CN"/>
        </w:rPr>
        <w:t>1-3月</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bookmarkEnd w:id="0"/>
    <w:tbl>
      <w:tblPr>
        <w:tblStyle w:val="6"/>
        <w:tblW w:w="7900" w:type="dxa"/>
        <w:jc w:val="center"/>
        <w:tblLayout w:type="fixed"/>
        <w:tblCellMar>
          <w:top w:w="0" w:type="dxa"/>
          <w:left w:w="108" w:type="dxa"/>
          <w:bottom w:w="0" w:type="dxa"/>
          <w:right w:w="108" w:type="dxa"/>
        </w:tblCellMar>
      </w:tblPr>
      <w:tblGrid>
        <w:gridCol w:w="5408"/>
        <w:gridCol w:w="2425"/>
        <w:gridCol w:w="67"/>
      </w:tblGrid>
      <w:tr>
        <w:tblPrEx>
          <w:tblCellMar>
            <w:top w:w="0" w:type="dxa"/>
            <w:left w:w="108" w:type="dxa"/>
            <w:bottom w:w="0" w:type="dxa"/>
            <w:right w:w="108" w:type="dxa"/>
          </w:tblCellMar>
        </w:tblPrEx>
        <w:trPr>
          <w:gridAfter w:val="1"/>
          <w:wAfter w:w="67" w:type="dxa"/>
          <w:trHeight w:val="721" w:hRule="atLeast"/>
          <w:jc w:val="center"/>
        </w:trPr>
        <w:tc>
          <w:tcPr>
            <w:tcW w:w="540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425"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rPr>
          <w:gridAfter w:val="1"/>
          <w:wAfter w:w="67" w:type="dxa"/>
          <w:trHeight w:val="457" w:hRule="atLeast"/>
          <w:jc w:val="center"/>
        </w:trPr>
        <w:tc>
          <w:tcPr>
            <w:tcW w:w="540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left"/>
              <w:rPr>
                <w:rFonts w:ascii="宋体" w:hAnsi="宋体" w:cs="宋体"/>
                <w:b/>
                <w:kern w:val="0"/>
                <w:sz w:val="24"/>
              </w:rPr>
            </w:pPr>
            <w:r>
              <w:rPr>
                <w:rFonts w:hint="eastAsia" w:ascii="宋体" w:hAnsi="宋体" w:cs="宋体"/>
                <w:b/>
                <w:kern w:val="0"/>
                <w:sz w:val="24"/>
              </w:rPr>
              <w:t>固定资产投资（不含农户）</w:t>
            </w:r>
          </w:p>
        </w:tc>
        <w:tc>
          <w:tcPr>
            <w:tcW w:w="242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20.3 </w:t>
            </w:r>
          </w:p>
        </w:tc>
      </w:tr>
      <w:tr>
        <w:tblPrEx>
          <w:tblCellMar>
            <w:top w:w="0" w:type="dxa"/>
            <w:left w:w="108" w:type="dxa"/>
            <w:bottom w:w="0" w:type="dxa"/>
            <w:right w:w="108" w:type="dxa"/>
          </w:tblCellMar>
        </w:tblPrEx>
        <w:trPr>
          <w:gridAfter w:val="1"/>
          <w:wAfter w:w="67" w:type="dxa"/>
          <w:trHeight w:val="447" w:hRule="atLeast"/>
          <w:jc w:val="center"/>
        </w:trPr>
        <w:tc>
          <w:tcPr>
            <w:tcW w:w="540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42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-31.4 </w:t>
            </w:r>
          </w:p>
        </w:tc>
      </w:tr>
      <w:tr>
        <w:trPr>
          <w:gridAfter w:val="1"/>
          <w:wAfter w:w="67" w:type="dxa"/>
          <w:trHeight w:val="447" w:hRule="atLeast"/>
          <w:jc w:val="center"/>
        </w:trPr>
        <w:tc>
          <w:tcPr>
            <w:tcW w:w="540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42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 </w:t>
            </w:r>
          </w:p>
        </w:tc>
      </w:tr>
      <w:tr>
        <w:tblPrEx>
          <w:tblCellMar>
            <w:top w:w="0" w:type="dxa"/>
            <w:left w:w="108" w:type="dxa"/>
            <w:bottom w:w="0" w:type="dxa"/>
            <w:right w:w="108" w:type="dxa"/>
          </w:tblCellMar>
        </w:tblPrEx>
        <w:trPr>
          <w:gridAfter w:val="1"/>
          <w:wAfter w:w="67" w:type="dxa"/>
          <w:trHeight w:val="447" w:hRule="atLeast"/>
          <w:jc w:val="center"/>
        </w:trPr>
        <w:tc>
          <w:tcPr>
            <w:tcW w:w="5408"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425"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24.3 </w:t>
            </w:r>
          </w:p>
        </w:tc>
      </w:tr>
      <w:tr>
        <w:trPr>
          <w:trHeight w:val="4896" w:hRule="atLeast"/>
          <w:jc w:val="center"/>
        </w:trPr>
        <w:tc>
          <w:tcPr>
            <w:tcW w:w="79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辖区内规模以上工业、有资质的建筑业、限额以上批发和零售业、限额以上住宿和餐饮业、有开发经营活动的全部房地产开发经营业、规模以上服务业和其他调查单位的500万元及以上固定资产投资项目。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pPr>
            <w:r>
              <w:rPr>
                <w:rFonts w:hint="eastAsia" w:ascii="楷体_GB2312" w:hAnsi="宋体" w:eastAsia="楷体_GB2312" w:cs="宋体"/>
                <w:b w:val="0"/>
                <w:bCs w:val="0"/>
                <w:sz w:val="24"/>
              </w:rPr>
              <w:t>固定资产投资额：指以货币形式表现的在一定时期内建造和购置固定资产的工作量以及与此有关的费用的总称。</w:t>
            </w:r>
          </w:p>
          <w:p>
            <w:pPr>
              <w:keepNext w:val="0"/>
              <w:keepLines w:val="0"/>
              <w:pageBreakBefore w:val="0"/>
              <w:kinsoku/>
              <w:wordWrap/>
              <w:overflowPunct/>
              <w:topLinePunct w:val="0"/>
              <w:autoSpaceDE/>
              <w:autoSpaceDN/>
              <w:bidi w:val="0"/>
              <w:adjustRightInd w:val="0"/>
              <w:snapToGrid w:val="0"/>
            </w:pPr>
          </w:p>
          <w:p>
            <w:pPr>
              <w:keepNext w:val="0"/>
              <w:keepLines w:val="0"/>
              <w:pageBreakBefore w:val="0"/>
              <w:kinsoku/>
              <w:wordWrap/>
              <w:overflowPunct/>
              <w:topLinePunct w:val="0"/>
              <w:autoSpaceDE/>
              <w:autoSpaceDN/>
              <w:bidi w:val="0"/>
              <w:adjustRightInd w:val="0"/>
              <w:snapToGrid w:val="0"/>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Cs/>
                <w:kern w:val="2"/>
                <w:sz w:val="24"/>
                <w:szCs w:val="24"/>
                <w:lang w:val="en-US" w:eastAsia="zh-CN" w:bidi="ar-SA"/>
              </w:rPr>
            </w:pPr>
          </w:p>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9FBF154"/>
    <w:rsid w:val="3AEE30EC"/>
    <w:rsid w:val="3B4C203F"/>
    <w:rsid w:val="3B505972"/>
    <w:rsid w:val="3C094926"/>
    <w:rsid w:val="3CA06950"/>
    <w:rsid w:val="3CD34D5E"/>
    <w:rsid w:val="3DF66AB0"/>
    <w:rsid w:val="3E5544D7"/>
    <w:rsid w:val="3ED06649"/>
    <w:rsid w:val="3FA684FA"/>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4F9D3E27"/>
    <w:rsid w:val="50D8657E"/>
    <w:rsid w:val="51512E17"/>
    <w:rsid w:val="526977BB"/>
    <w:rsid w:val="52FB1BC2"/>
    <w:rsid w:val="53BA8191"/>
    <w:rsid w:val="53F57A86"/>
    <w:rsid w:val="54895C40"/>
    <w:rsid w:val="54F42AFF"/>
    <w:rsid w:val="55600A1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333191"/>
    <w:rsid w:val="6FBF1FE6"/>
    <w:rsid w:val="6FC7354D"/>
    <w:rsid w:val="6FFEDE62"/>
    <w:rsid w:val="6FFF682D"/>
    <w:rsid w:val="71080D89"/>
    <w:rsid w:val="7175080B"/>
    <w:rsid w:val="7186F4B4"/>
    <w:rsid w:val="726A1098"/>
    <w:rsid w:val="737B2704"/>
    <w:rsid w:val="73CC0211"/>
    <w:rsid w:val="73EFABBB"/>
    <w:rsid w:val="741F23A4"/>
    <w:rsid w:val="74501C96"/>
    <w:rsid w:val="75E61BEE"/>
    <w:rsid w:val="75F745C8"/>
    <w:rsid w:val="7607511D"/>
    <w:rsid w:val="765833C3"/>
    <w:rsid w:val="77166765"/>
    <w:rsid w:val="7720627A"/>
    <w:rsid w:val="778962BC"/>
    <w:rsid w:val="779A77AC"/>
    <w:rsid w:val="77E9D9C2"/>
    <w:rsid w:val="77F30C7B"/>
    <w:rsid w:val="78B553DE"/>
    <w:rsid w:val="78E85C94"/>
    <w:rsid w:val="791B108A"/>
    <w:rsid w:val="797D4315"/>
    <w:rsid w:val="79F31615"/>
    <w:rsid w:val="7A100E94"/>
    <w:rsid w:val="7A7F2461"/>
    <w:rsid w:val="7AC2683B"/>
    <w:rsid w:val="7B423B59"/>
    <w:rsid w:val="7BA3EC91"/>
    <w:rsid w:val="7BD7D5FA"/>
    <w:rsid w:val="7C58388D"/>
    <w:rsid w:val="7C7A5981"/>
    <w:rsid w:val="7CF5D5DB"/>
    <w:rsid w:val="7D97E7E2"/>
    <w:rsid w:val="7DEDBE7E"/>
    <w:rsid w:val="7E282AF5"/>
    <w:rsid w:val="7E7F0693"/>
    <w:rsid w:val="7ED92472"/>
    <w:rsid w:val="7EFC0917"/>
    <w:rsid w:val="7F1879BC"/>
    <w:rsid w:val="7F3A5975"/>
    <w:rsid w:val="7F7FDEE6"/>
    <w:rsid w:val="81EB3C3A"/>
    <w:rsid w:val="9BF76748"/>
    <w:rsid w:val="A6BBEDD8"/>
    <w:rsid w:val="BA7B23C6"/>
    <w:rsid w:val="BDFF181F"/>
    <w:rsid w:val="BF6D6132"/>
    <w:rsid w:val="BF6F1579"/>
    <w:rsid w:val="BFB650B6"/>
    <w:rsid w:val="C9B3AE1A"/>
    <w:rsid w:val="CD3B0D55"/>
    <w:rsid w:val="D57D44D0"/>
    <w:rsid w:val="D7CF60E8"/>
    <w:rsid w:val="D7EE2A06"/>
    <w:rsid w:val="DDF6AF67"/>
    <w:rsid w:val="DEEF33A5"/>
    <w:rsid w:val="DF7BDF92"/>
    <w:rsid w:val="DF9FEF24"/>
    <w:rsid w:val="DFAB23FE"/>
    <w:rsid w:val="DFBFE4DB"/>
    <w:rsid w:val="E7F7B4E4"/>
    <w:rsid w:val="E7FDA2F2"/>
    <w:rsid w:val="EA6790F0"/>
    <w:rsid w:val="EDFE27A9"/>
    <w:rsid w:val="EEFF3E89"/>
    <w:rsid w:val="EF7D7BB4"/>
    <w:rsid w:val="F047853D"/>
    <w:rsid w:val="F69F3012"/>
    <w:rsid w:val="F6FE7D1F"/>
    <w:rsid w:val="F6FFF9CA"/>
    <w:rsid w:val="F7BC9939"/>
    <w:rsid w:val="F7BFE11D"/>
    <w:rsid w:val="FBB75A6A"/>
    <w:rsid w:val="FBDF6E2B"/>
    <w:rsid w:val="FBFFA73F"/>
    <w:rsid w:val="FCDFE69F"/>
    <w:rsid w:val="FEED9217"/>
    <w:rsid w:val="FEEF24D6"/>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6</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2020-08-07T09:20:00Z</dcterms:created>
  <dc:creator>NTKO</dc:creator>
  <cp:lastModifiedBy>zhk</cp:lastModifiedBy>
  <cp:lastPrinted>2024-04-29T07:06:00Z</cp:lastPrinted>
  <dcterms:modified xsi:type="dcterms:W3CDTF">2024-04-29T10:42:00Z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