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jc w:val="center"/>
        <w:rPr>
          <w:rFonts w:hint="eastAsia" w:eastAsia="宋体"/>
          <w:b/>
          <w:color w:val="0000FF"/>
          <w:sz w:val="36"/>
          <w:szCs w:val="36"/>
          <w:lang w:val="en-US" w:eastAsia="zh-CN"/>
        </w:rPr>
      </w:pPr>
      <w:r>
        <w:rPr>
          <w:rFonts w:hint="eastAsia"/>
          <w:b/>
          <w:color w:val="0000FF"/>
          <w:sz w:val="36"/>
          <w:szCs w:val="36"/>
          <w:lang w:eastAsia="zh-CN"/>
        </w:rPr>
        <w:t>投资统计数据：</w:t>
      </w:r>
      <w:r>
        <w:rPr>
          <w:rFonts w:hint="eastAsia"/>
          <w:b/>
          <w:color w:val="0000FF"/>
          <w:sz w:val="36"/>
          <w:szCs w:val="36"/>
          <w:lang w:val="en-US" w:eastAsia="zh-CN"/>
        </w:rPr>
        <w:t>2023年1-7月</w:t>
      </w:r>
      <w:r>
        <w:rPr>
          <w:rFonts w:hint="eastAsia"/>
          <w:b/>
          <w:color w:val="0000FF"/>
          <w:sz w:val="36"/>
          <w:szCs w:val="36"/>
        </w:rPr>
        <w:t>固定资产投资</w:t>
      </w:r>
      <w:r>
        <w:rPr>
          <w:rFonts w:hint="eastAsia"/>
          <w:b/>
          <w:color w:val="0000FF"/>
          <w:sz w:val="36"/>
          <w:szCs w:val="36"/>
          <w:lang w:eastAsia="zh-CN"/>
        </w:rPr>
        <w:t>（不含农户）</w:t>
      </w:r>
      <w:r>
        <w:rPr>
          <w:rFonts w:hint="eastAsia"/>
          <w:b/>
          <w:color w:val="0000FF"/>
          <w:sz w:val="36"/>
          <w:szCs w:val="36"/>
        </w:rPr>
        <w:t>情况</w:t>
      </w:r>
    </w:p>
    <w:tbl>
      <w:tblPr>
        <w:tblStyle w:val="6"/>
        <w:tblW w:w="7800" w:type="dxa"/>
        <w:jc w:val="center"/>
        <w:tblLayout w:type="fixed"/>
        <w:tblCellMar>
          <w:top w:w="0" w:type="dxa"/>
          <w:left w:w="108" w:type="dxa"/>
          <w:bottom w:w="0" w:type="dxa"/>
          <w:right w:w="108" w:type="dxa"/>
        </w:tblCellMar>
      </w:tblPr>
      <w:tblGrid>
        <w:gridCol w:w="5340"/>
        <w:gridCol w:w="2395"/>
        <w:gridCol w:w="65"/>
      </w:tblGrid>
      <w:tr>
        <w:trPr>
          <w:gridAfter w:val="1"/>
          <w:wAfter w:w="65" w:type="dxa"/>
          <w:trHeight w:val="754" w:hRule="atLeast"/>
          <w:jc w:val="center"/>
        </w:trPr>
        <w:tc>
          <w:tcPr>
            <w:tcW w:w="5340"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项  目</w:t>
            </w:r>
          </w:p>
        </w:tc>
        <w:tc>
          <w:tcPr>
            <w:tcW w:w="2395"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kern w:val="0"/>
                <w:sz w:val="24"/>
              </w:rPr>
            </w:pPr>
            <w:r>
              <w:rPr>
                <w:rFonts w:hint="eastAsia" w:ascii="宋体" w:hAnsi="宋体" w:cs="宋体"/>
                <w:kern w:val="0"/>
                <w:sz w:val="24"/>
              </w:rPr>
              <w:t>同比增长</w:t>
            </w:r>
          </w:p>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w:t>
            </w:r>
          </w:p>
        </w:tc>
      </w:tr>
      <w:tr>
        <w:trPr>
          <w:gridAfter w:val="1"/>
          <w:wAfter w:w="65" w:type="dxa"/>
          <w:trHeight w:val="429" w:hRule="atLeast"/>
          <w:jc w:val="center"/>
        </w:trPr>
        <w:tc>
          <w:tcPr>
            <w:tcW w:w="5340"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rPr>
                <w:rFonts w:ascii="宋体" w:hAnsi="宋体" w:cs="宋体"/>
                <w:b/>
                <w:kern w:val="0"/>
                <w:sz w:val="24"/>
              </w:rPr>
            </w:pPr>
            <w:r>
              <w:rPr>
                <w:rFonts w:hint="eastAsia" w:ascii="宋体" w:hAnsi="宋体" w:cs="宋体"/>
                <w:b/>
                <w:kern w:val="0"/>
                <w:sz w:val="24"/>
              </w:rPr>
              <w:t>固定资产投资（不含农户）</w:t>
            </w:r>
          </w:p>
        </w:tc>
        <w:tc>
          <w:tcPr>
            <w:tcW w:w="2395"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-18.8 </w:t>
            </w:r>
          </w:p>
        </w:tc>
      </w:tr>
      <w:tr>
        <w:trPr>
          <w:gridAfter w:val="1"/>
          <w:wAfter w:w="65" w:type="dxa"/>
          <w:trHeight w:val="429" w:hRule="atLeast"/>
          <w:jc w:val="center"/>
        </w:trPr>
        <w:tc>
          <w:tcPr>
            <w:tcW w:w="5340"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480" w:firstLineChars="200"/>
              <w:jc w:val="left"/>
              <w:rPr>
                <w:rFonts w:hint="eastAsia" w:ascii="宋体" w:hAnsi="宋体" w:cs="宋体"/>
                <w:kern w:val="0"/>
                <w:sz w:val="24"/>
              </w:rPr>
            </w:pPr>
            <w:r>
              <w:rPr>
                <w:rFonts w:hint="eastAsia" w:ascii="宋体" w:hAnsi="宋体" w:cs="宋体"/>
                <w:kern w:val="0"/>
                <w:sz w:val="24"/>
              </w:rPr>
              <w:t>第一产业</w:t>
            </w:r>
          </w:p>
        </w:tc>
        <w:tc>
          <w:tcPr>
            <w:tcW w:w="2395"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2.5 </w:t>
            </w:r>
          </w:p>
        </w:tc>
      </w:tr>
      <w:tr>
        <w:trPr>
          <w:gridAfter w:val="1"/>
          <w:wAfter w:w="65" w:type="dxa"/>
          <w:trHeight w:val="429" w:hRule="atLeast"/>
          <w:jc w:val="center"/>
        </w:trPr>
        <w:tc>
          <w:tcPr>
            <w:tcW w:w="5340"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480" w:firstLineChars="200"/>
              <w:jc w:val="left"/>
              <w:rPr>
                <w:rFonts w:hint="eastAsia" w:ascii="宋体" w:hAnsi="宋体" w:cs="宋体"/>
                <w:kern w:val="0"/>
                <w:sz w:val="24"/>
              </w:rPr>
            </w:pPr>
            <w:r>
              <w:rPr>
                <w:rFonts w:hint="eastAsia" w:ascii="宋体" w:hAnsi="宋体" w:cs="宋体"/>
                <w:kern w:val="0"/>
                <w:sz w:val="24"/>
              </w:rPr>
              <w:t>第二产业</w:t>
            </w:r>
          </w:p>
        </w:tc>
        <w:tc>
          <w:tcPr>
            <w:tcW w:w="2395"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40.6 </w:t>
            </w:r>
          </w:p>
        </w:tc>
      </w:tr>
      <w:tr>
        <w:trPr>
          <w:gridAfter w:val="1"/>
          <w:wAfter w:w="65" w:type="dxa"/>
          <w:trHeight w:val="429" w:hRule="atLeast"/>
          <w:jc w:val="center"/>
        </w:trPr>
        <w:tc>
          <w:tcPr>
            <w:tcW w:w="5340" w:type="dxa"/>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480" w:firstLineChars="200"/>
              <w:jc w:val="left"/>
              <w:rPr>
                <w:rFonts w:hint="eastAsia" w:ascii="宋体" w:hAnsi="宋体" w:cs="宋体"/>
                <w:kern w:val="0"/>
                <w:sz w:val="24"/>
              </w:rPr>
            </w:pPr>
            <w:r>
              <w:rPr>
                <w:rFonts w:hint="eastAsia" w:ascii="宋体" w:hAnsi="宋体" w:cs="宋体"/>
                <w:kern w:val="0"/>
                <w:sz w:val="24"/>
              </w:rPr>
              <w:t>第三产业</w:t>
            </w:r>
          </w:p>
        </w:tc>
        <w:tc>
          <w:tcPr>
            <w:tcW w:w="2395" w:type="dxa"/>
            <w:tcBorders>
              <w:top w:val="nil"/>
              <w:left w:val="nil"/>
              <w:right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-23.9 </w:t>
            </w:r>
          </w:p>
        </w:tc>
      </w:tr>
      <w:tr>
        <w:trPr>
          <w:trHeight w:val="4766" w:hRule="atLeast"/>
          <w:jc w:val="center"/>
        </w:trPr>
        <w:tc>
          <w:tcPr>
            <w:tcW w:w="7800" w:type="dxa"/>
            <w:gridSpan w:val="3"/>
            <w:tcBorders>
              <w:top w:val="single" w:color="auto" w:sz="8" w:space="0"/>
              <w:left w:val="nil"/>
            </w:tcBorders>
            <w:vAlign w:val="center"/>
          </w:tcPr>
          <w:p>
            <w:pPr>
              <w:keepNext w:val="0"/>
              <w:keepLines w:val="0"/>
              <w:pageBreakBefore w:val="0"/>
              <w:kinsoku/>
              <w:wordWrap/>
              <w:overflowPunct/>
              <w:topLinePunct w:val="0"/>
              <w:autoSpaceDE/>
              <w:autoSpaceDN/>
              <w:bidi w:val="0"/>
              <w:adjustRightInd w:val="0"/>
              <w:snapToGrid w:val="0"/>
              <w:jc w:val="left"/>
              <w:rPr>
                <w:rFonts w:hint="eastAsia" w:ascii="楷体_GB2312" w:hAnsi="宋体" w:eastAsia="楷体_GB2312" w:cs="宋体"/>
                <w:bCs/>
                <w:sz w:val="24"/>
              </w:rPr>
            </w:pPr>
            <w:r>
              <w:rPr>
                <w:rFonts w:hint="eastAsia" w:ascii="楷体_GB2312" w:hAnsi="宋体" w:eastAsia="楷体_GB2312" w:cs="宋体"/>
                <w:bCs/>
                <w:sz w:val="24"/>
              </w:rPr>
              <w:t>注释：</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val="0"/>
                <w:bCs w:val="0"/>
                <w:sz w:val="24"/>
              </w:rPr>
            </w:pPr>
            <w:r>
              <w:rPr>
                <w:rFonts w:hint="eastAsia" w:ascii="楷体_GB2312" w:hAnsi="宋体" w:eastAsia="楷体_GB2312" w:cs="宋体"/>
                <w:b/>
                <w:bCs/>
                <w:sz w:val="24"/>
              </w:rPr>
              <w:t>1、统计范围：</w:t>
            </w:r>
            <w:r>
              <w:rPr>
                <w:rFonts w:hint="eastAsia" w:ascii="楷体_GB2312" w:hAnsi="宋体" w:eastAsia="楷体_GB2312" w:cs="宋体"/>
                <w:b w:val="0"/>
                <w:bCs w:val="0"/>
                <w:sz w:val="24"/>
              </w:rPr>
              <w:t>辖区内规模以上工业、有资质的建筑业、限额以上批发和零售业、限额以上住宿和餐饮业、有开发经营活动的全部房地产开发经营业、规模以上服务业和其他调查单位的500万元及以上固定资产投资项目。</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bCs/>
                <w:sz w:val="24"/>
              </w:rPr>
            </w:pPr>
            <w:r>
              <w:rPr>
                <w:rFonts w:hint="eastAsia" w:ascii="楷体_GB2312" w:hAnsi="宋体" w:eastAsia="楷体_GB2312" w:cs="宋体"/>
                <w:b/>
                <w:bCs/>
                <w:sz w:val="24"/>
              </w:rPr>
              <w:t>2、采集渠道：</w:t>
            </w:r>
            <w:r>
              <w:rPr>
                <w:rFonts w:hint="eastAsia" w:ascii="楷体_GB2312" w:hAnsi="宋体" w:eastAsia="楷体_GB2312" w:cs="宋体"/>
                <w:b w:val="0"/>
                <w:bCs w:val="0"/>
                <w:sz w:val="24"/>
              </w:rPr>
              <w:t>符合统计范围的固定资产投资项目单位按照《固定资产投资统计报表制度》、《房地产开发统计报表制度》的要求，通过统计联网直报平台上报统计数据。</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bCs/>
                <w:sz w:val="24"/>
              </w:rPr>
            </w:pPr>
            <w:r>
              <w:rPr>
                <w:rFonts w:hint="eastAsia" w:ascii="楷体_GB2312" w:hAnsi="宋体" w:eastAsia="楷体_GB2312" w:cs="宋体"/>
                <w:b/>
                <w:bCs/>
                <w:sz w:val="24"/>
              </w:rPr>
              <w:t>3、主要统计指标解释：</w:t>
            </w:r>
          </w:p>
          <w:p>
            <w:pPr>
              <w:keepNext w:val="0"/>
              <w:keepLines w:val="0"/>
              <w:pageBreakBefore w:val="0"/>
              <w:kinsoku/>
              <w:wordWrap/>
              <w:overflowPunct/>
              <w:topLinePunct w:val="0"/>
              <w:autoSpaceDE/>
              <w:autoSpaceDN/>
              <w:bidi w:val="0"/>
              <w:adjustRightInd w:val="0"/>
              <w:snapToGrid w:val="0"/>
            </w:pPr>
            <w:r>
              <w:rPr>
                <w:rFonts w:hint="eastAsia" w:ascii="楷体_GB2312" w:hAnsi="宋体" w:eastAsia="楷体_GB2312" w:cs="宋体"/>
                <w:b w:val="0"/>
                <w:bCs w:val="0"/>
                <w:sz w:val="24"/>
              </w:rPr>
              <w:t>固定资产投资额：指以货币形式表现的在一定时期内建造和购置固定资产的工作量以及与此有关的费用的总称。</w:t>
            </w:r>
          </w:p>
          <w:p>
            <w:pPr>
              <w:keepNext w:val="0"/>
              <w:keepLines w:val="0"/>
              <w:pageBreakBefore w:val="0"/>
              <w:kinsoku/>
              <w:wordWrap/>
              <w:overflowPunct/>
              <w:topLinePunct w:val="0"/>
              <w:autoSpaceDE/>
              <w:autoSpaceDN/>
              <w:bidi w:val="0"/>
              <w:adjustRightInd w:val="0"/>
              <w:snapToGrid w:val="0"/>
            </w:pPr>
          </w:p>
          <w:p>
            <w:pPr>
              <w:keepNext w:val="0"/>
              <w:keepLines w:val="0"/>
              <w:pageBreakBefore w:val="0"/>
              <w:kinsoku/>
              <w:wordWrap/>
              <w:overflowPunct/>
              <w:topLinePunct w:val="0"/>
              <w:autoSpaceDE/>
              <w:autoSpaceDN/>
              <w:bidi w:val="0"/>
              <w:adjustRightInd w:val="0"/>
              <w:snapToGrid w:val="0"/>
            </w:pP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val="0"/>
                <w:bCs w:val="0"/>
                <w:sz w:val="24"/>
              </w:rPr>
            </w:pP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Cs/>
                <w:kern w:val="2"/>
                <w:sz w:val="24"/>
                <w:szCs w:val="24"/>
                <w:lang w:val="en-US" w:eastAsia="zh-CN" w:bidi="ar-SA"/>
              </w:rPr>
            </w:pPr>
          </w:p>
          <w:p>
            <w:pPr>
              <w:keepNext w:val="0"/>
              <w:keepLines w:val="0"/>
              <w:pageBreakBefore w:val="0"/>
              <w:kinsoku/>
              <w:wordWrap/>
              <w:overflowPunct/>
              <w:topLinePunct w:val="0"/>
              <w:autoSpaceDE/>
              <w:autoSpaceDN/>
              <w:bidi w:val="0"/>
              <w:adjustRightInd w:val="0"/>
              <w:snapToGrid w:val="0"/>
              <w:jc w:val="left"/>
              <w:rPr>
                <w:rFonts w:hint="eastAsia" w:ascii="楷体_GB2312" w:hAnsi="宋体" w:eastAsia="楷体_GB2312" w:cs="宋体"/>
                <w:bCs/>
                <w:sz w:val="24"/>
              </w:rPr>
            </w:pPr>
          </w:p>
        </w:tc>
      </w:tr>
    </w:tbl>
    <w:p>
      <w:pPr>
        <w:keepNext w:val="0"/>
        <w:keepLines w:val="0"/>
        <w:pageBreakBefore w:val="0"/>
        <w:kinsoku/>
        <w:wordWrap/>
        <w:overflowPunct/>
        <w:topLinePunct w:val="0"/>
        <w:autoSpaceDE/>
        <w:autoSpaceDN/>
        <w:bidi w:val="0"/>
        <w:adjustRightInd w:val="0"/>
        <w:snapToGrid w:val="0"/>
        <w:rPr>
          <w:rFonts w:hint="eastAsia"/>
        </w:rPr>
      </w:pPr>
    </w:p>
    <w:p>
      <w:pPr>
        <w:keepNext w:val="0"/>
        <w:keepLines w:val="0"/>
        <w:pageBreakBefore w:val="0"/>
        <w:kinsoku/>
        <w:wordWrap/>
        <w:overflowPunct/>
        <w:topLinePunct w:val="0"/>
        <w:autoSpaceDE/>
        <w:autoSpaceDN/>
        <w:bidi w:val="0"/>
        <w:adjustRightInd w:val="0"/>
        <w:snapToGrid w:val="0"/>
        <w:rPr>
          <w:rFonts w:hint="eastAsia"/>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lang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
    <w:altName w:val="汉仪叶叶相思体简"/>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叶叶相思体简">
    <w:panose1 w:val="0201050906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BD48AA"/>
    <w:rsid w:val="08FE4A5D"/>
    <w:rsid w:val="09350139"/>
    <w:rsid w:val="0979482C"/>
    <w:rsid w:val="09B712A8"/>
    <w:rsid w:val="0AC36A44"/>
    <w:rsid w:val="0B55531A"/>
    <w:rsid w:val="0B7B2A58"/>
    <w:rsid w:val="0BFA39C5"/>
    <w:rsid w:val="0C683C8D"/>
    <w:rsid w:val="0CA36702"/>
    <w:rsid w:val="0E4220D5"/>
    <w:rsid w:val="0E927B34"/>
    <w:rsid w:val="0EDD0097"/>
    <w:rsid w:val="103E310E"/>
    <w:rsid w:val="118634F1"/>
    <w:rsid w:val="12917D5A"/>
    <w:rsid w:val="13BA65BA"/>
    <w:rsid w:val="13C96186"/>
    <w:rsid w:val="141623DE"/>
    <w:rsid w:val="163459DA"/>
    <w:rsid w:val="172B5C42"/>
    <w:rsid w:val="19715261"/>
    <w:rsid w:val="1A21665C"/>
    <w:rsid w:val="1AD30A1E"/>
    <w:rsid w:val="1AD8402B"/>
    <w:rsid w:val="1B0B13DC"/>
    <w:rsid w:val="1B122FB6"/>
    <w:rsid w:val="1C0E5505"/>
    <w:rsid w:val="1C276350"/>
    <w:rsid w:val="1C56369B"/>
    <w:rsid w:val="1D8D5B77"/>
    <w:rsid w:val="1D98136E"/>
    <w:rsid w:val="1DFB1785"/>
    <w:rsid w:val="1EB84662"/>
    <w:rsid w:val="21382369"/>
    <w:rsid w:val="21784A05"/>
    <w:rsid w:val="22DB4243"/>
    <w:rsid w:val="23543D99"/>
    <w:rsid w:val="236F1C12"/>
    <w:rsid w:val="248C2EED"/>
    <w:rsid w:val="256C6363"/>
    <w:rsid w:val="25A15611"/>
    <w:rsid w:val="25E84811"/>
    <w:rsid w:val="27174A9F"/>
    <w:rsid w:val="28DD1ED1"/>
    <w:rsid w:val="29303B10"/>
    <w:rsid w:val="29763C32"/>
    <w:rsid w:val="29FB5780"/>
    <w:rsid w:val="2A94053E"/>
    <w:rsid w:val="2C644628"/>
    <w:rsid w:val="2C6C1E73"/>
    <w:rsid w:val="2D076D14"/>
    <w:rsid w:val="2E29008C"/>
    <w:rsid w:val="2E2B4EE6"/>
    <w:rsid w:val="2E6C7B7D"/>
    <w:rsid w:val="2EC71D67"/>
    <w:rsid w:val="2F457D92"/>
    <w:rsid w:val="2F5B14A5"/>
    <w:rsid w:val="2F8D73F0"/>
    <w:rsid w:val="315F1FAD"/>
    <w:rsid w:val="31767B07"/>
    <w:rsid w:val="32326294"/>
    <w:rsid w:val="32812E6E"/>
    <w:rsid w:val="32A7716C"/>
    <w:rsid w:val="33661F81"/>
    <w:rsid w:val="338177D2"/>
    <w:rsid w:val="33EA3D20"/>
    <w:rsid w:val="349C766D"/>
    <w:rsid w:val="34C40933"/>
    <w:rsid w:val="352C3131"/>
    <w:rsid w:val="36381881"/>
    <w:rsid w:val="368A245A"/>
    <w:rsid w:val="36B82B10"/>
    <w:rsid w:val="36BE5A08"/>
    <w:rsid w:val="38AC4A90"/>
    <w:rsid w:val="392A6086"/>
    <w:rsid w:val="393A7BCB"/>
    <w:rsid w:val="39C8393A"/>
    <w:rsid w:val="3AEE30EC"/>
    <w:rsid w:val="3B505972"/>
    <w:rsid w:val="3C094926"/>
    <w:rsid w:val="3CA06950"/>
    <w:rsid w:val="3CD34D5E"/>
    <w:rsid w:val="3DF66AB0"/>
    <w:rsid w:val="3E5544D7"/>
    <w:rsid w:val="3ED06649"/>
    <w:rsid w:val="401D61C0"/>
    <w:rsid w:val="414B607C"/>
    <w:rsid w:val="41A3549E"/>
    <w:rsid w:val="426042E3"/>
    <w:rsid w:val="42D90AF2"/>
    <w:rsid w:val="440C601A"/>
    <w:rsid w:val="441A04D4"/>
    <w:rsid w:val="46216826"/>
    <w:rsid w:val="475234D8"/>
    <w:rsid w:val="476A13E8"/>
    <w:rsid w:val="47790412"/>
    <w:rsid w:val="47A86E6D"/>
    <w:rsid w:val="47E027CA"/>
    <w:rsid w:val="489B5BDB"/>
    <w:rsid w:val="4937785D"/>
    <w:rsid w:val="4AE90A8D"/>
    <w:rsid w:val="4B3D5C27"/>
    <w:rsid w:val="4B4551F2"/>
    <w:rsid w:val="4C2220D4"/>
    <w:rsid w:val="4C6D69D1"/>
    <w:rsid w:val="4CEB2530"/>
    <w:rsid w:val="4D8016E5"/>
    <w:rsid w:val="4D863A49"/>
    <w:rsid w:val="4D9327C0"/>
    <w:rsid w:val="4DC718E7"/>
    <w:rsid w:val="4DD01001"/>
    <w:rsid w:val="4E665BA6"/>
    <w:rsid w:val="4F024081"/>
    <w:rsid w:val="4F560168"/>
    <w:rsid w:val="4F5746E4"/>
    <w:rsid w:val="50D8657E"/>
    <w:rsid w:val="51512E17"/>
    <w:rsid w:val="526977BB"/>
    <w:rsid w:val="52FB1BC2"/>
    <w:rsid w:val="53F57A86"/>
    <w:rsid w:val="54895C40"/>
    <w:rsid w:val="55600A1D"/>
    <w:rsid w:val="55B05FB6"/>
    <w:rsid w:val="568A0C6F"/>
    <w:rsid w:val="56BB328C"/>
    <w:rsid w:val="57370DD3"/>
    <w:rsid w:val="57605D7D"/>
    <w:rsid w:val="57B35CE2"/>
    <w:rsid w:val="58E67C05"/>
    <w:rsid w:val="590F83E0"/>
    <w:rsid w:val="59375F5C"/>
    <w:rsid w:val="59630F03"/>
    <w:rsid w:val="5A055849"/>
    <w:rsid w:val="5A271408"/>
    <w:rsid w:val="5B73140F"/>
    <w:rsid w:val="5C9300D0"/>
    <w:rsid w:val="5CD35BE5"/>
    <w:rsid w:val="5D0004C6"/>
    <w:rsid w:val="5FC37593"/>
    <w:rsid w:val="60FA610A"/>
    <w:rsid w:val="613D007B"/>
    <w:rsid w:val="61C65AFE"/>
    <w:rsid w:val="62612361"/>
    <w:rsid w:val="639114E6"/>
    <w:rsid w:val="663F737A"/>
    <w:rsid w:val="687C1C1C"/>
    <w:rsid w:val="699E7C2F"/>
    <w:rsid w:val="69F16919"/>
    <w:rsid w:val="6A294847"/>
    <w:rsid w:val="6A65276C"/>
    <w:rsid w:val="6AC47901"/>
    <w:rsid w:val="6B320384"/>
    <w:rsid w:val="6C02332D"/>
    <w:rsid w:val="6C0F7A99"/>
    <w:rsid w:val="6C257DC9"/>
    <w:rsid w:val="6C4B421F"/>
    <w:rsid w:val="6D5A4B7F"/>
    <w:rsid w:val="6FC7354D"/>
    <w:rsid w:val="71080D89"/>
    <w:rsid w:val="7175080B"/>
    <w:rsid w:val="726A1098"/>
    <w:rsid w:val="737B2704"/>
    <w:rsid w:val="73CC0211"/>
    <w:rsid w:val="74501C96"/>
    <w:rsid w:val="75E61BEE"/>
    <w:rsid w:val="7607511D"/>
    <w:rsid w:val="765833C3"/>
    <w:rsid w:val="77166765"/>
    <w:rsid w:val="7720627A"/>
    <w:rsid w:val="778962BC"/>
    <w:rsid w:val="779A77AC"/>
    <w:rsid w:val="78B553DE"/>
    <w:rsid w:val="78E85C94"/>
    <w:rsid w:val="791B108A"/>
    <w:rsid w:val="797D4315"/>
    <w:rsid w:val="7A100E94"/>
    <w:rsid w:val="7AC2683B"/>
    <w:rsid w:val="7B423B59"/>
    <w:rsid w:val="7C58388D"/>
    <w:rsid w:val="7C7A5981"/>
    <w:rsid w:val="7E282AF5"/>
    <w:rsid w:val="7ED92472"/>
    <w:rsid w:val="7F1879BC"/>
    <w:rsid w:val="7F3A5975"/>
    <w:rsid w:val="D7DF90AB"/>
    <w:rsid w:val="E7FDA2F2"/>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1</TotalTime>
  <ScaleCrop>false</ScaleCrop>
  <LinksUpToDate>false</LinksUpToDate>
  <CharactersWithSpaces>2655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2020-07-29T09:20:00Z</dcterms:created>
  <dc:creator>NTKO</dc:creator>
  <cp:lastModifiedBy>uos</cp:lastModifiedBy>
  <cp:lastPrinted>2023-06-27T00:27:00Z</cp:lastPrinted>
  <dcterms:modified xsi:type="dcterms:W3CDTF">2023-08-23T09:37:44Z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