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ighlight w:val="none"/>
        </w:rPr>
      </w:pPr>
    </w:p>
    <w:p>
      <w:pPr>
        <w:jc w:val="center"/>
        <w:rPr>
          <w:rFonts w:hint="eastAsia"/>
          <w:b/>
          <w:color w:val="0000FF"/>
          <w:sz w:val="36"/>
          <w:szCs w:val="36"/>
          <w:highlight w:val="none"/>
          <w:lang w:eastAsia="zh-CN"/>
        </w:rPr>
      </w:pPr>
      <w:r>
        <w:rPr>
          <w:rFonts w:hint="eastAsia"/>
          <w:b/>
          <w:color w:val="0000FF"/>
          <w:sz w:val="36"/>
          <w:szCs w:val="36"/>
          <w:highlight w:val="none"/>
          <w:lang w:val="en-US" w:eastAsia="zh-CN"/>
        </w:rPr>
        <w:t>GDP核算数据：</w:t>
      </w:r>
      <w:r>
        <w:rPr>
          <w:rFonts w:hint="eastAsia"/>
          <w:b/>
          <w:color w:val="0000FF"/>
          <w:sz w:val="36"/>
          <w:szCs w:val="36"/>
          <w:highlight w:val="none"/>
          <w:lang w:eastAsia="zh-CN"/>
        </w:rPr>
        <w:t>202</w:t>
      </w:r>
      <w:r>
        <w:rPr>
          <w:rFonts w:hint="eastAsia"/>
          <w:b/>
          <w:color w:val="0000FF"/>
          <w:sz w:val="36"/>
          <w:szCs w:val="36"/>
          <w:highlight w:val="none"/>
          <w:lang w:val="en-US" w:eastAsia="zh-CN"/>
        </w:rPr>
        <w:t>2</w:t>
      </w:r>
      <w:r>
        <w:rPr>
          <w:rFonts w:hint="eastAsia"/>
          <w:b/>
          <w:color w:val="0000FF"/>
          <w:sz w:val="36"/>
          <w:szCs w:val="36"/>
          <w:highlight w:val="none"/>
          <w:lang w:eastAsia="zh-CN"/>
        </w:rPr>
        <w:t>年1-</w:t>
      </w:r>
      <w:r>
        <w:rPr>
          <w:rFonts w:hint="eastAsia"/>
          <w:b/>
          <w:color w:val="0000FF"/>
          <w:sz w:val="36"/>
          <w:szCs w:val="36"/>
          <w:highlight w:val="none"/>
          <w:lang w:val="en-US" w:eastAsia="zh-CN"/>
        </w:rPr>
        <w:t>4</w:t>
      </w:r>
      <w:r>
        <w:rPr>
          <w:rFonts w:hint="eastAsia"/>
          <w:b/>
          <w:color w:val="0000FF"/>
          <w:sz w:val="36"/>
          <w:szCs w:val="36"/>
          <w:highlight w:val="none"/>
          <w:lang w:eastAsia="zh-CN"/>
        </w:rPr>
        <w:t>季度</w:t>
      </w:r>
      <w:r>
        <w:rPr>
          <w:rFonts w:hint="eastAsia"/>
          <w:b/>
          <w:color w:val="0000FF"/>
          <w:sz w:val="36"/>
          <w:szCs w:val="36"/>
          <w:highlight w:val="none"/>
        </w:rPr>
        <w:t>地区生产总值</w:t>
      </w:r>
      <w:r>
        <w:rPr>
          <w:rFonts w:hint="eastAsia"/>
          <w:b/>
          <w:color w:val="0000FF"/>
          <w:sz w:val="36"/>
          <w:szCs w:val="36"/>
          <w:highlight w:val="none"/>
          <w:lang w:eastAsia="zh-CN"/>
        </w:rPr>
        <w:t>情况</w:t>
      </w:r>
    </w:p>
    <w:tbl>
      <w:tblPr>
        <w:tblStyle w:val="9"/>
        <w:tblW w:w="10780" w:type="dxa"/>
        <w:tblInd w:w="10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65"/>
        <w:gridCol w:w="2733"/>
        <w:gridCol w:w="2957"/>
        <w:gridCol w:w="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798" w:hRule="atLeast"/>
        </w:trPr>
        <w:tc>
          <w:tcPr>
            <w:tcW w:w="4965" w:type="dxa"/>
            <w:tcBorders>
              <w:top w:val="single" w:color="000000" w:sz="12" w:space="0"/>
              <w:bottom w:val="single" w:color="000000"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项  目</w:t>
            </w:r>
          </w:p>
        </w:tc>
        <w:tc>
          <w:tcPr>
            <w:tcW w:w="2733" w:type="dxa"/>
            <w:tcBorders>
              <w:top w:val="single" w:color="000000" w:sz="12"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w:t>
            </w:r>
            <w:r>
              <w:rPr>
                <w:rFonts w:hint="eastAsia" w:ascii="宋体" w:hAnsi="宋体" w:cs="宋体"/>
                <w:kern w:val="0"/>
                <w:sz w:val="24"/>
                <w:lang w:val="en-US" w:eastAsia="zh-CN"/>
              </w:rPr>
              <w:t>4</w:t>
            </w:r>
            <w:r>
              <w:rPr>
                <w:rFonts w:hint="eastAsia" w:ascii="宋体" w:hAnsi="宋体" w:cs="宋体"/>
                <w:kern w:val="0"/>
                <w:sz w:val="24"/>
                <w:lang w:eastAsia="zh-CN"/>
              </w:rPr>
              <w:t>季度</w:t>
            </w:r>
          </w:p>
        </w:tc>
        <w:tc>
          <w:tcPr>
            <w:tcW w:w="2957" w:type="dxa"/>
            <w:tcBorders>
              <w:top w:val="single" w:color="000000" w:sz="12" w:space="0"/>
              <w:left w:val="single" w:color="000000" w:sz="4" w:space="0"/>
              <w:bottom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549" w:hRule="atLeast"/>
        </w:trPr>
        <w:tc>
          <w:tcPr>
            <w:tcW w:w="4965" w:type="dxa"/>
            <w:tcBorders>
              <w:top w:val="single" w:color="000000" w:sz="4" w:space="0"/>
              <w:bottom w:val="nil"/>
              <w:right w:val="single" w:color="000000" w:sz="6" w:space="0"/>
            </w:tcBorders>
            <w:vAlign w:val="center"/>
          </w:tcPr>
          <w:p>
            <w:pPr>
              <w:widowControl/>
              <w:jc w:val="left"/>
              <w:rPr>
                <w:rFonts w:hint="eastAsia" w:ascii="宋体" w:hAnsi="宋体" w:cs="宋体"/>
                <w:kern w:val="0"/>
                <w:sz w:val="24"/>
              </w:rPr>
            </w:pPr>
            <w:r>
              <w:rPr>
                <w:rFonts w:hint="eastAsia" w:ascii="宋体" w:hAnsi="宋体" w:cs="宋体"/>
                <w:b/>
                <w:bCs/>
                <w:kern w:val="0"/>
                <w:sz w:val="24"/>
                <w:lang w:val="en-US" w:eastAsia="zh-CN"/>
              </w:rPr>
              <w:t>地区生产总值（亿元）</w:t>
            </w:r>
          </w:p>
        </w:tc>
        <w:tc>
          <w:tcPr>
            <w:tcW w:w="2733" w:type="dxa"/>
            <w:tcBorders>
              <w:top w:val="single" w:color="000000" w:sz="4" w:space="0"/>
              <w:left w:val="single" w:color="000000" w:sz="6" w:space="0"/>
              <w:bottom w:val="nil"/>
              <w:right w:val="single" w:color="000000" w:sz="4" w:space="0"/>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cs="宋体"/>
                <w:b/>
                <w:i w:val="0"/>
                <w:color w:val="000000"/>
                <w:kern w:val="0"/>
                <w:sz w:val="24"/>
                <w:szCs w:val="24"/>
                <w:u w:val="none"/>
                <w:lang w:val="en-US" w:eastAsia="zh-CN" w:bidi="ar"/>
              </w:rPr>
              <w:t>361.9</w:t>
            </w:r>
            <w:r>
              <w:rPr>
                <w:rFonts w:hint="eastAsia" w:ascii="宋体" w:hAnsi="宋体" w:eastAsia="宋体" w:cs="宋体"/>
                <w:b/>
                <w:i w:val="0"/>
                <w:color w:val="000000"/>
                <w:kern w:val="0"/>
                <w:sz w:val="24"/>
                <w:szCs w:val="24"/>
                <w:u w:val="none"/>
                <w:lang w:val="en-US" w:eastAsia="zh-CN" w:bidi="ar"/>
              </w:rPr>
              <w:t xml:space="preserve"> </w:t>
            </w:r>
          </w:p>
        </w:tc>
        <w:tc>
          <w:tcPr>
            <w:tcW w:w="2957" w:type="dxa"/>
            <w:tcBorders>
              <w:top w:val="single" w:color="000000" w:sz="4" w:space="0"/>
              <w:left w:val="single" w:color="000000" w:sz="6" w:space="0"/>
              <w:bottom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b/>
                <w:i w:val="0"/>
                <w:color w:val="000000"/>
                <w:kern w:val="0"/>
                <w:sz w:val="24"/>
                <w:szCs w:val="24"/>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520" w:hRule="atLeast"/>
        </w:trPr>
        <w:tc>
          <w:tcPr>
            <w:tcW w:w="4965" w:type="dxa"/>
            <w:tcBorders>
              <w:top w:val="nil"/>
              <w:bottom w:val="nil"/>
              <w:right w:val="single" w:color="000000" w:sz="6" w:space="0"/>
            </w:tcBorders>
            <w:vAlign w:val="center"/>
          </w:tcPr>
          <w:p>
            <w:pPr>
              <w:widowControl/>
              <w:ind w:firstLine="241" w:firstLineChars="100"/>
              <w:jc w:val="left"/>
              <w:rPr>
                <w:rFonts w:hint="eastAsia" w:ascii="宋体" w:hAnsi="宋体" w:cs="宋体"/>
                <w:kern w:val="0"/>
                <w:sz w:val="24"/>
              </w:rPr>
            </w:pPr>
            <w:r>
              <w:rPr>
                <w:rFonts w:hint="eastAsia" w:ascii="宋体" w:hAnsi="宋体" w:cs="宋体"/>
                <w:b/>
                <w:bCs/>
                <w:kern w:val="0"/>
                <w:sz w:val="24"/>
                <w:lang w:val="en-US" w:eastAsia="zh-CN"/>
              </w:rPr>
              <w:t>按产业分</w:t>
            </w:r>
          </w:p>
        </w:tc>
        <w:tc>
          <w:tcPr>
            <w:tcW w:w="2733" w:type="dxa"/>
            <w:tcBorders>
              <w:top w:val="nil"/>
              <w:left w:val="single" w:color="000000" w:sz="6" w:space="0"/>
              <w:bottom w:val="nil"/>
              <w:right w:val="single" w:color="000000" w:sz="4" w:space="0"/>
            </w:tcBorders>
            <w:vAlign w:val="center"/>
          </w:tcPr>
          <w:p>
            <w:pPr>
              <w:rPr>
                <w:rFonts w:hint="eastAsia" w:ascii="宋体" w:hAnsi="宋体" w:cs="宋体"/>
                <w:kern w:val="0"/>
                <w:sz w:val="24"/>
                <w:szCs w:val="24"/>
              </w:rPr>
            </w:pPr>
          </w:p>
        </w:tc>
        <w:tc>
          <w:tcPr>
            <w:tcW w:w="2957" w:type="dxa"/>
            <w:tcBorders>
              <w:top w:val="nil"/>
              <w:left w:val="single" w:color="000000" w:sz="6" w:space="0"/>
              <w:bottom w:val="nil"/>
            </w:tcBorders>
            <w:vAlign w:val="center"/>
          </w:tcPr>
          <w:p>
            <w:pPr>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520" w:hRule="atLeast"/>
        </w:trPr>
        <w:tc>
          <w:tcPr>
            <w:tcW w:w="4965" w:type="dxa"/>
            <w:tcBorders>
              <w:top w:val="nil"/>
              <w:bottom w:val="nil"/>
              <w:right w:val="single" w:color="000000" w:sz="6" w:space="0"/>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 xml:space="preserve">    第一产业增加值</w:t>
            </w:r>
          </w:p>
        </w:tc>
        <w:tc>
          <w:tcPr>
            <w:tcW w:w="2733" w:type="dxa"/>
            <w:tcBorders>
              <w:top w:val="nil"/>
              <w:left w:val="single" w:color="000000" w:sz="6" w:space="0"/>
              <w:bottom w:val="nil"/>
              <w:right w:val="single" w:color="000000" w:sz="4" w:space="0"/>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14</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 </w:t>
            </w:r>
          </w:p>
        </w:tc>
        <w:tc>
          <w:tcPr>
            <w:tcW w:w="2957" w:type="dxa"/>
            <w:tcBorders>
              <w:top w:val="nil"/>
              <w:left w:val="single" w:color="000000" w:sz="6" w:space="0"/>
              <w:bottom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520" w:hRule="atLeast"/>
        </w:trPr>
        <w:tc>
          <w:tcPr>
            <w:tcW w:w="4965" w:type="dxa"/>
            <w:tcBorders>
              <w:top w:val="nil"/>
              <w:bottom w:val="nil"/>
              <w:right w:val="single" w:color="000000" w:sz="6" w:space="0"/>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 xml:space="preserve">    第二产业增加值</w:t>
            </w:r>
          </w:p>
        </w:tc>
        <w:tc>
          <w:tcPr>
            <w:tcW w:w="2733" w:type="dxa"/>
            <w:tcBorders>
              <w:top w:val="nil"/>
              <w:left w:val="single" w:color="000000" w:sz="6" w:space="0"/>
              <w:bottom w:val="nil"/>
              <w:right w:val="single" w:color="000000" w:sz="4" w:space="0"/>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9 </w:t>
            </w:r>
          </w:p>
        </w:tc>
        <w:tc>
          <w:tcPr>
            <w:tcW w:w="2957" w:type="dxa"/>
            <w:tcBorders>
              <w:top w:val="nil"/>
              <w:left w:val="single" w:color="000000" w:sz="6" w:space="0"/>
              <w:bottom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5" w:type="dxa"/>
          <w:trHeight w:val="520" w:hRule="atLeast"/>
        </w:trPr>
        <w:tc>
          <w:tcPr>
            <w:tcW w:w="4965" w:type="dxa"/>
            <w:tcBorders>
              <w:top w:val="nil"/>
              <w:bottom w:val="single" w:color="000000" w:sz="12" w:space="0"/>
              <w:right w:val="single" w:color="000000" w:sz="6" w:space="0"/>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 xml:space="preserve">    第三产业增加值</w:t>
            </w:r>
            <w:bookmarkStart w:id="0" w:name="_GoBack"/>
            <w:bookmarkEnd w:id="0"/>
          </w:p>
        </w:tc>
        <w:tc>
          <w:tcPr>
            <w:tcW w:w="2733" w:type="dxa"/>
            <w:tcBorders>
              <w:top w:val="nil"/>
              <w:left w:val="single" w:color="000000" w:sz="6" w:space="0"/>
              <w:bottom w:val="single" w:color="000000" w:sz="12" w:space="0"/>
              <w:right w:val="single" w:color="000000" w:sz="4" w:space="0"/>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251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9 </w:t>
            </w:r>
          </w:p>
        </w:tc>
        <w:tc>
          <w:tcPr>
            <w:tcW w:w="2957" w:type="dxa"/>
            <w:tcBorders>
              <w:top w:val="nil"/>
              <w:left w:val="single" w:color="000000" w:sz="6" w:space="0"/>
              <w:bottom w:val="single" w:color="000000" w:sz="12" w:space="0"/>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9" w:hRule="atLeast"/>
        </w:trPr>
        <w:tc>
          <w:tcPr>
            <w:tcW w:w="10780" w:type="dxa"/>
            <w:gridSpan w:val="4"/>
            <w:tcBorders>
              <w:top w:val="single" w:color="000000" w:sz="12" w:space="0"/>
              <w:bottom w:val="nil"/>
            </w:tcBorders>
            <w:vAlign w:val="center"/>
          </w:tcPr>
          <w:p>
            <w:pPr>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6"/>
              <w:keepNext w:val="0"/>
              <w:keepLines w:val="0"/>
              <w:widowControl/>
              <w:suppressLineNumbers w:val="0"/>
              <w:spacing w:before="0" w:beforeAutospacing="0" w:after="0" w:afterAutospacing="0"/>
              <w:ind w:left="0" w:right="0"/>
              <w:rPr>
                <w:b w:val="0"/>
                <w:bCs w:val="0"/>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经济领土内部具有经济利益中心的经济单位都应该纳入地区生产总值（GDP）统计范围，即在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sz w:val="24"/>
              </w:rPr>
              <w:t>2</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val="0"/>
                <w:bCs w:val="0"/>
                <w:sz w:val="24"/>
                <w:lang w:eastAsia="zh-CN"/>
              </w:rPr>
            </w:pPr>
            <w:r>
              <w:rPr>
                <w:rFonts w:hint="eastAsia" w:ascii="楷体_GB2312" w:hAnsi="宋体" w:eastAsia="楷体_GB2312" w:cs="宋体"/>
                <w:b/>
                <w:sz w:val="24"/>
              </w:rPr>
              <w:t>3</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val="0"/>
                <w:bCs w:val="0"/>
                <w:sz w:val="24"/>
                <w:lang w:val="en-US" w:eastAsia="zh-CN"/>
              </w:rPr>
            </w:pPr>
            <w:r>
              <w:rPr>
                <w:rFonts w:hint="eastAsia" w:ascii="楷体_GB2312" w:hAnsi="宋体" w:eastAsia="楷体_GB2312" w:cs="宋体"/>
                <w:b/>
                <w:bCs/>
                <w:sz w:val="24"/>
                <w:lang w:val="en-US" w:eastAsia="zh-CN"/>
              </w:rPr>
              <w:t>4.</w:t>
            </w:r>
            <w:r>
              <w:rPr>
                <w:rFonts w:hint="eastAsia" w:ascii="楷体_GB2312" w:hAnsi="宋体" w:eastAsia="楷体_GB2312" w:cs="宋体"/>
                <w:b w:val="0"/>
                <w:bCs w:val="0"/>
                <w:sz w:val="24"/>
                <w:lang w:val="en-US" w:eastAsia="zh-CN"/>
              </w:rPr>
              <w:t>按照我国地区生产总值统一核算和数据发布制度规定，地区生产总值核算包括初步核算和最终核实两个步骤。经最终核实，2021年密云区地区生产总值现价总量为356.4亿元，按可比价计算，比上年增长7.5%。</w:t>
            </w:r>
          </w:p>
        </w:tc>
      </w:tr>
    </w:tbl>
    <w:p>
      <w:pPr>
        <w:jc w:val="both"/>
        <w:rPr>
          <w:rFonts w:hint="eastAsia"/>
          <w:b/>
          <w:color w:val="0000FF"/>
          <w:sz w:val="24"/>
          <w:szCs w:val="24"/>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1C80F11"/>
    <w:rsid w:val="02383BF7"/>
    <w:rsid w:val="02A37F45"/>
    <w:rsid w:val="03066926"/>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EC6414"/>
    <w:rsid w:val="122A4727"/>
    <w:rsid w:val="13BA65BA"/>
    <w:rsid w:val="13C96186"/>
    <w:rsid w:val="141623DE"/>
    <w:rsid w:val="163459DA"/>
    <w:rsid w:val="172B5C42"/>
    <w:rsid w:val="19715261"/>
    <w:rsid w:val="1A21665C"/>
    <w:rsid w:val="1AD30A1E"/>
    <w:rsid w:val="1B0B13DC"/>
    <w:rsid w:val="1B122FB6"/>
    <w:rsid w:val="1C0E5505"/>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27562D"/>
    <w:rsid w:val="3B505972"/>
    <w:rsid w:val="3BF26659"/>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2B2AB4"/>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4">
    <w:name w:val="annotation text"/>
    <w:basedOn w:val="1"/>
    <w:link w:val="10"/>
    <w:qFormat/>
    <w:uiPriority w:val="0"/>
    <w:pPr>
      <w:jc w:val="left"/>
    </w:pPr>
    <w:rPr>
      <w:rFonts w:ascii="??" w:hAnsi="??" w:eastAsia="宋体" w:cs="??"/>
      <w:sz w:val="32"/>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10">
    <w:name w:val="批注文字 Char"/>
    <w:basedOn w:val="7"/>
    <w:link w:val="4"/>
    <w:qFormat/>
    <w:uiPriority w:val="0"/>
    <w:rPr>
      <w:rFonts w:ascii="??" w:hAnsi="??" w:eastAsia="宋体" w:cs="??"/>
      <w:sz w:val="32"/>
      <w:szCs w:val="21"/>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6231</Words>
  <Characters>7571</Characters>
  <Lines>0</Lines>
  <Paragraphs>0</Paragraphs>
  <TotalTime>0</TotalTime>
  <ScaleCrop>false</ScaleCrop>
  <LinksUpToDate>false</LinksUpToDate>
  <CharactersWithSpaces>8083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2020-07-28T01:20:00Z</dcterms:created>
  <dc:creator>NTKO</dc:creator>
  <cp:lastModifiedBy>zhaohuan</cp:lastModifiedBy>
  <cp:lastPrinted>2022-01-13T06:10:00Z</cp:lastPrinted>
  <dcterms:modified xsi:type="dcterms:W3CDTF">2023-01-31T03:40:06Z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D098BC3550CD41BAACC0C33B29522F21</vt:lpwstr>
  </property>
</Properties>
</file>