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年1-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密云区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经济运行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简析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sz w:val="32"/>
          <w:szCs w:val="32"/>
          <w:lang w:val="en-US" w:eastAsia="zh-CN" w:bidi="ar-SA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lang w:val="en-US" w:eastAsia="zh-CN" w:bidi="ar-SA"/>
        </w:rPr>
        <w:t>2026年1-5月，密云区经济总体平稳运行。从主要领域看，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lang w:val="en-US" w:eastAsia="zh-CN" w:bidi="ar-SA"/>
        </w:rPr>
        <w:t>工业产值保持稳步增长，固定资产投资快速增长，消费市场降幅持续收窄。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工业产值稳定增长，汽车、医药领域贡献突出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contextualSpacing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1-5月，全区实现规模以上工业总产值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亿元，同比增长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16.4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从重点行业看，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汽车制造业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57.8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43.3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，拉动全区规模以上工业总产值增长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16.5个百分点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医药制造业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拉动全区规模以上工业产值增长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个百分点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酒、饮料和精制茶制造业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561" w:firstLineChars="0"/>
        <w:contextualSpacing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二、固定资产投资实现快速增长，灾后项目带动强劲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2"/>
        </w:pBdr>
        <w:adjustRightInd w:val="0"/>
        <w:snapToGrid w:val="0"/>
        <w:spacing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1-5月,全区固定资产投资（不含农户）同比增长55.3%，较1季度（21.7%）加快33.6个百分点，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灾后项目贡献突出。从投资结构看，在灾后重建项目的带动下，反映实物工作量的建安投资同比增长1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46.4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%，占全区投资的比重达70.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设备工器具购置投资同比增长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%，占全区投资的比重为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8.8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%，主要受灾后重建项目中健身器材及体育场地修复带动。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三、消费市场降幅收窄，餐饮消费延续增长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1-5月，全区实现社会消费品零售总额66.9亿元，同比下降3.9%，降幅较1季度收窄2个百分点。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按消费形态分，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商品零售额62.7亿元，同比下降4.4%，降幅较1季度收窄2个百分点；餐饮收入4.2亿元，同比增长3.8%，较1季度加快1.6个百分点，延续今年以来的平稳增长态势。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四、服务业收入下降，居民修理、文体娱增势向好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footnoteReference w:id="0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235家</w:t>
      </w:r>
      <w:r>
        <w:rPr>
          <w:rFonts w:hint="eastAsia" w:ascii="仿宋_GB2312" w:hAnsi="仿宋_GB2312" w:eastAsia="仿宋_GB2312" w:cs="仿宋_GB2312"/>
          <w:sz w:val="32"/>
          <w:szCs w:val="32"/>
        </w:rPr>
        <w:t>规模以上服务业企业实现营业收入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114.8亿元，同比下降7.5%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分行业看，居民服务、修理和其他服务业在重点企业带动下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表现亮眼，实现收入4.8亿元，同比增长105%，拉动全区规模以上服务业收入增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长2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个百分点；文化、体育和娱乐业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实现收入8.7亿元，同比增长27.2%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；租赁和商务服务业、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信息传输软件和信息技术服务业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收入小幅增长；房地产业受重点企业影响实现营业收入32.1亿元，同比下降24.4%，是全区服务业收入下降的主要原因。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附表：2026年1-5月主要经济指标实现情况</w:t>
      </w:r>
    </w:p>
    <w:tbl>
      <w:tblPr>
        <w:tblStyle w:val="7"/>
        <w:tblW w:w="88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6"/>
        <w:gridCol w:w="1052"/>
        <w:gridCol w:w="1011"/>
        <w:gridCol w:w="1077"/>
        <w:gridCol w:w="1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8864" w:type="dxa"/>
            <w:gridSpan w:val="5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附表               </w:t>
            </w:r>
            <w:r>
              <w:rPr>
                <w:rFonts w:hint="eastAsia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2026年</w:t>
            </w:r>
            <w:r>
              <w:rPr>
                <w:rFonts w:hint="eastAsia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主要经济指标实现情况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62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 标 名 称</w:t>
            </w:r>
          </w:p>
        </w:tc>
        <w:tc>
          <w:tcPr>
            <w:tcW w:w="10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1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本期累计</w:t>
            </w:r>
          </w:p>
        </w:tc>
        <w:tc>
          <w:tcPr>
            <w:tcW w:w="107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上年同期</w:t>
            </w:r>
          </w:p>
        </w:tc>
        <w:tc>
          <w:tcPr>
            <w:tcW w:w="109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固定资产投资（项目建设地）</w:t>
            </w:r>
          </w:p>
        </w:tc>
        <w:tc>
          <w:tcPr>
            <w:tcW w:w="10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固定资产投资（不含农户）</w:t>
            </w:r>
          </w:p>
        </w:tc>
        <w:tc>
          <w:tcPr>
            <w:tcW w:w="10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01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8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其中：建安投资</w:t>
            </w:r>
          </w:p>
        </w:tc>
        <w:tc>
          <w:tcPr>
            <w:tcW w:w="10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01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8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房地产开发投资</w:t>
            </w:r>
          </w:p>
        </w:tc>
        <w:tc>
          <w:tcPr>
            <w:tcW w:w="1052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01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8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-33.8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 业</w:t>
            </w:r>
          </w:p>
        </w:tc>
        <w:tc>
          <w:tcPr>
            <w:tcW w:w="10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规模以上工业总产值</w:t>
            </w:r>
          </w:p>
        </w:tc>
        <w:tc>
          <w:tcPr>
            <w:tcW w:w="10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01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123.0</w:t>
            </w: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105.7</w:t>
            </w:r>
          </w:p>
        </w:tc>
        <w:tc>
          <w:tcPr>
            <w:tcW w:w="1098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其中：汽车制造业</w:t>
            </w:r>
          </w:p>
        </w:tc>
        <w:tc>
          <w:tcPr>
            <w:tcW w:w="10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01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　　      医药制造业 </w:t>
            </w:r>
          </w:p>
        </w:tc>
        <w:tc>
          <w:tcPr>
            <w:tcW w:w="10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01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        酒、饮料和精制茶制造业</w:t>
            </w:r>
          </w:p>
        </w:tc>
        <w:tc>
          <w:tcPr>
            <w:tcW w:w="10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01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98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-11.7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0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01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商品房销售面积</w:t>
            </w:r>
          </w:p>
        </w:tc>
        <w:tc>
          <w:tcPr>
            <w:tcW w:w="10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万平方米</w:t>
            </w:r>
          </w:p>
        </w:tc>
        <w:tc>
          <w:tcPr>
            <w:tcW w:w="101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7.7</w:t>
            </w: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14.3</w:t>
            </w:r>
          </w:p>
        </w:tc>
        <w:tc>
          <w:tcPr>
            <w:tcW w:w="1098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 xml:space="preserve">-46.4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批发和零售、住宿和餐饮业</w:t>
            </w:r>
          </w:p>
        </w:tc>
        <w:tc>
          <w:tcPr>
            <w:tcW w:w="10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01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4626" w:type="dxa"/>
            <w:tcBorders>
              <w:top w:val="nil"/>
              <w:left w:val="nil"/>
              <w:bottom w:val="single" w:color="auto" w:sz="12" w:space="0"/>
              <w:right w:val="single" w:color="auto" w:sz="2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社会消费品零售总额</w:t>
            </w:r>
          </w:p>
        </w:tc>
        <w:tc>
          <w:tcPr>
            <w:tcW w:w="1052" w:type="dxa"/>
            <w:tcBorders>
              <w:top w:val="nil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011" w:type="dxa"/>
            <w:tcBorders>
              <w:top w:val="nil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single" w:color="auto" w:sz="2" w:space="0"/>
              <w:bottom w:val="single" w:color="auto" w:sz="12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-3.9 </w:t>
            </w:r>
          </w:p>
        </w:tc>
      </w:tr>
    </w:tbl>
    <w:p/>
    <w:p>
      <w:pPr>
        <w:rPr>
          <w:rFonts w:ascii="宋体" w:hAnsi="宋体" w:eastAsia="宋体" w:cs="Times New Roman"/>
          <w:sz w:val="24"/>
          <w:szCs w:val="22"/>
          <w:lang w:val="en-US" w:eastAsia="en-US" w:bidi="ar-SA"/>
        </w:rPr>
      </w:pPr>
    </w:p>
    <w:p>
      <w:pPr>
        <w:rPr>
          <w:lang w:val="en-US" w:eastAsia="en-US"/>
        </w:rPr>
      </w:pPr>
    </w:p>
    <w:p>
      <w:pPr>
        <w:rPr>
          <w:lang w:val="en-US" w:eastAsia="en-US"/>
        </w:rPr>
      </w:pPr>
    </w:p>
    <w:p>
      <w:pPr>
        <w:rPr>
          <w:lang w:val="en-US" w:eastAsia="en-US"/>
        </w:rPr>
      </w:pPr>
    </w:p>
    <w:p>
      <w:pPr>
        <w:rPr>
          <w:lang w:val="en-US" w:eastAsia="en-US"/>
        </w:rPr>
      </w:pPr>
    </w:p>
    <w:p>
      <w:pPr>
        <w:rPr>
          <w:lang w:val="en-US" w:eastAsia="en-US"/>
        </w:rPr>
      </w:pPr>
    </w:p>
    <w:p>
      <w:pPr>
        <w:rPr>
          <w:lang w:val="en-US" w:eastAsia="en-US"/>
        </w:rPr>
      </w:pPr>
    </w:p>
    <w:p>
      <w:pPr>
        <w:rPr>
          <w:lang w:val="en-US" w:eastAsia="en-US"/>
        </w:rPr>
      </w:pPr>
    </w:p>
    <w:p>
      <w:pPr>
        <w:rPr>
          <w:lang w:val="en-US" w:eastAsia="en-US"/>
        </w:rPr>
      </w:pPr>
    </w:p>
    <w:p>
      <w:pPr>
        <w:tabs>
          <w:tab w:val="left" w:pos="5395"/>
        </w:tabs>
        <w:jc w:val="lef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5" w:type="default"/>
      <w:pgSz w:w="11906" w:h="16838"/>
      <w:pgMar w:top="1984" w:right="1531" w:bottom="1984" w:left="1531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2766695</wp:posOffset>
              </wp:positionH>
              <wp:positionV relativeFrom="paragraph">
                <wp:posOffset>95250</wp:posOffset>
              </wp:positionV>
              <wp:extent cx="1828800" cy="2921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292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7.85pt;margin-top:7.5pt;height:23pt;width:144p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DFn4Q92AAAAAkBAAAPAAAAAAAAAAEAIAAAADgAAABkcnMvZG93bnJldi54&#10;bWxQSwECFAAUAAAACACHTuJA1hFPFx0CAAAoBAAADgAAAAAAAAABACAAAAA9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240" w:lineRule="auto"/>
      </w:pPr>
      <w:r>
        <w:separator/>
      </w:r>
    </w:p>
  </w:footnote>
  <w:footnote w:type="continuationSeparator" w:id="3">
    <w:p>
      <w:pPr>
        <w:spacing w:line="240" w:lineRule="auto"/>
      </w:pPr>
      <w:r>
        <w:continuationSeparator/>
      </w:r>
    </w:p>
  </w:footnote>
  <w:footnote w:id="0">
    <w:p>
      <w:pPr>
        <w:pStyle w:val="5"/>
        <w:snapToGrid w:val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注：该领域财务数据按月顺延发布。</w:t>
      </w:r>
    </w:p>
    <w:p>
      <w:pPr>
        <w:pStyle w:val="5"/>
        <w:snapToGrid w:val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E8C65"/>
    <w:multiLevelType w:val="singleLevel"/>
    <w:tmpl w:val="2CFE8C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F788F"/>
    <w:rsid w:val="02707BFD"/>
    <w:rsid w:val="02E70A27"/>
    <w:rsid w:val="0426279A"/>
    <w:rsid w:val="0BEB7484"/>
    <w:rsid w:val="0F706253"/>
    <w:rsid w:val="10CB694B"/>
    <w:rsid w:val="147C2AB4"/>
    <w:rsid w:val="14851827"/>
    <w:rsid w:val="1B20364C"/>
    <w:rsid w:val="205F4546"/>
    <w:rsid w:val="29F3355D"/>
    <w:rsid w:val="2AB22753"/>
    <w:rsid w:val="2D385D38"/>
    <w:rsid w:val="2D973E1E"/>
    <w:rsid w:val="2FF136FB"/>
    <w:rsid w:val="38BE1C2C"/>
    <w:rsid w:val="3A024493"/>
    <w:rsid w:val="3F65843A"/>
    <w:rsid w:val="442D55E6"/>
    <w:rsid w:val="49C40C92"/>
    <w:rsid w:val="4B202AFD"/>
    <w:rsid w:val="4BB52690"/>
    <w:rsid w:val="4BDFEAC4"/>
    <w:rsid w:val="57936AB5"/>
    <w:rsid w:val="594468F8"/>
    <w:rsid w:val="5CF82B52"/>
    <w:rsid w:val="608D3CD2"/>
    <w:rsid w:val="69B78106"/>
    <w:rsid w:val="6FEF3B85"/>
    <w:rsid w:val="73FF7E80"/>
    <w:rsid w:val="775F63CE"/>
    <w:rsid w:val="777FE1E8"/>
    <w:rsid w:val="7CDDAA7D"/>
    <w:rsid w:val="7CEF3777"/>
    <w:rsid w:val="7E1F0DC2"/>
    <w:rsid w:val="7E7E9ABB"/>
    <w:rsid w:val="7E7EE8E8"/>
    <w:rsid w:val="7ED82425"/>
    <w:rsid w:val="7F695F54"/>
    <w:rsid w:val="7F979E8D"/>
    <w:rsid w:val="7FD720CC"/>
    <w:rsid w:val="7FFF6538"/>
    <w:rsid w:val="97AA064C"/>
    <w:rsid w:val="99ADCBFE"/>
    <w:rsid w:val="A71FC83B"/>
    <w:rsid w:val="B7BDB28F"/>
    <w:rsid w:val="BA7B23C6"/>
    <w:rsid w:val="BEFCC090"/>
    <w:rsid w:val="C2DD7D09"/>
    <w:rsid w:val="E7FF788F"/>
    <w:rsid w:val="EFF7CC09"/>
    <w:rsid w:val="F3D9E90E"/>
    <w:rsid w:val="FDB9BFF9"/>
    <w:rsid w:val="FDDF59F1"/>
    <w:rsid w:val="FE734873"/>
    <w:rsid w:val="FFBF24A0"/>
    <w:rsid w:val="FFDE281A"/>
    <w:rsid w:val="FFFED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宋体" w:hAnsi="宋体" w:eastAsia="宋体" w:cs="Times New Roman"/>
      <w:sz w:val="24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Title"/>
    <w:basedOn w:val="1"/>
    <w:next w:val="1"/>
    <w:qFormat/>
    <w:uiPriority w:val="10"/>
    <w:pPr>
      <w:pBdr>
        <w:bottom w:val="single" w:color="5B9BD5" w:sz="8" w:space="4"/>
      </w:pBdr>
      <w:spacing w:after="300" w:line="240" w:lineRule="auto"/>
      <w:contextualSpacing/>
    </w:pPr>
    <w:rPr>
      <w:rFonts w:ascii="Calibri Light" w:hAnsi="Calibri Light" w:eastAsia="宋体" w:cs="Times New Roman"/>
      <w:color w:val="323E4F"/>
      <w:spacing w:val="5"/>
      <w:kern w:val="28"/>
      <w:sz w:val="52"/>
      <w:szCs w:val="52"/>
    </w:rPr>
  </w:style>
  <w:style w:type="character" w:styleId="9">
    <w:name w:val="footnote reference"/>
    <w:basedOn w:val="8"/>
    <w:qFormat/>
    <w:uiPriority w:val="0"/>
    <w:rPr>
      <w:vertAlign w:val="superscript"/>
    </w:rPr>
  </w:style>
  <w:style w:type="paragraph" w:customStyle="1" w:styleId="10">
    <w:name w:val="Heading 2 Style"/>
    <w:qFormat/>
    <w:uiPriority w:val="0"/>
    <w:pPr>
      <w:spacing w:before="180" w:after="90" w:line="276" w:lineRule="auto"/>
    </w:pPr>
    <w:rPr>
      <w:rFonts w:ascii="黑体" w:hAnsi="黑体" w:eastAsia="黑体" w:cs="Times New Roman"/>
      <w:b/>
      <w:sz w:val="28"/>
      <w:szCs w:val="22"/>
      <w:lang w:val="en-US" w:eastAsia="en-US" w:bidi="ar-SA"/>
    </w:rPr>
  </w:style>
  <w:style w:type="paragraph" w:customStyle="1" w:styleId="11">
    <w:name w:val="Heading 3 Style"/>
    <w:qFormat/>
    <w:uiPriority w:val="0"/>
    <w:pPr>
      <w:spacing w:before="120" w:after="60" w:line="276" w:lineRule="auto"/>
    </w:pPr>
    <w:rPr>
      <w:rFonts w:ascii="黑体" w:hAnsi="黑体" w:eastAsia="黑体" w:cs="Times New Roman"/>
      <w:b/>
      <w:sz w:val="26"/>
      <w:szCs w:val="22"/>
      <w:lang w:val="en-US" w:eastAsia="en-US" w:bidi="ar-SA"/>
    </w:rPr>
  </w:style>
  <w:style w:type="paragraph" w:customStyle="1" w:styleId="12">
    <w:name w:val="Heading 1 Style"/>
    <w:qFormat/>
    <w:uiPriority w:val="0"/>
    <w:pPr>
      <w:spacing w:before="240" w:after="120" w:line="276" w:lineRule="auto"/>
    </w:pPr>
    <w:rPr>
      <w:rFonts w:ascii="黑体" w:hAnsi="黑体" w:eastAsia="黑体" w:cs="Times New Roman"/>
      <w:b/>
      <w:sz w:val="3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2849</Words>
  <Characters>3347</Characters>
  <Lines>0</Lines>
  <Paragraphs>0</Paragraphs>
  <TotalTime>10</TotalTime>
  <ScaleCrop>false</ScaleCrop>
  <LinksUpToDate>false</LinksUpToDate>
  <CharactersWithSpaces>3383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2026-06-21T09:41:00Z</dcterms:created>
  <dc:creator>bjtjj</dc:creator>
  <cp:lastModifiedBy>uos</cp:lastModifiedBy>
  <cp:lastPrinted>2026-06-20T20:14:00Z</cp:lastPrinted>
  <dcterms:modified xsi:type="dcterms:W3CDTF">2026-06-23T10:13:31Z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