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88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-SA"/>
        </w:rPr>
        <w:t>2026年1-4月密云区经济运行简析</w:t>
      </w:r>
    </w:p>
    <w:p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2026年1-4月，密云区经济运行总体平稳，工业、固定资产投资等领域增势较好。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一、工业产值保持稳步增长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1-4月，全区规模以上工业企业实现总产值95.5亿元，同比增长17.0%。从重点行业看，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汽车产业集群动能持续释放，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1-4月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汽车制造业实现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产值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43.1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亿元，同比增长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8.0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%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，拉动全区规上工业产值增长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19.4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个百分点，主要得益于整车制造企业“北汽新能源”的强力支撑，与此同时，部分为“北汽新能源”供货的汽配企业实现较快增长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 w:bidi="ar-SA"/>
        </w:rPr>
        <w:t>，新能源汽车产业集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群基础进一步积累。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医药制造业增势良好，实现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产值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17.4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亿元，同比增长22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.2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%，拉动全区规上工业产值增长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3.9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个百分点。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饮品行业延续下行态势，酒、饮料和精制茶制造业实现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产值10.0亿元，同比下降14.7%。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二、投资领域增速加快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adjustRightInd w:val="0"/>
        <w:snapToGrid w:val="0"/>
        <w:spacing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1-4月，密云区固定资产投资（不含农户）同比增长35.7%，较1季度（21.7%）加快14.0个百分点。从投资领域看，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城市更新投资潜力释放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-4月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完成投资额占全区投资的比重为36.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房地产依赖程度逐步降低，房地产开发投资同比下降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%，占全区投资的比重为1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%，占比明显下降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社会领域投资持续发力，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“投资于人”稳步推进，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文化体育和娱乐业投资增长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倍，卫生和社会工作投资增长2倍，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教育投资增长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12.5%，为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有效提升公共服务供给能力、补齐民生短板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奠定了基础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三、消费市场展现回暖势头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1-4月，全区实现社会消费品零售总额53.9亿元，同比下降5.1%，降幅较1季度收窄0.8个百分点，自2025年9月以来降幅逐步收窄。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从消费形态看，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商品零售额50.6亿元，同比下降5.6%，降幅较1季度收窄0.8个百分点；餐饮收入3.3亿元，同比增长3.6%，较1季度加快1.4个百分点。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四、服务业整体走弱，各行业呈分化态势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1-3月</w:t>
      </w:r>
      <w:r>
        <w:rPr>
          <w:rStyle w:val="138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footnoteReference w:id="0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，全区237家规模以上服务业企业实现营业收入88.1亿元，同比下降5.6%，降幅较1-2月（-3.1%）加深2.5个百分点。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分行业看，居民服务、修理和其他服务业实现收入3.6亿元，同比增长1.2倍，拉动全区规上服务业收入增长2.1个百分点；文化、体育和娱乐业实现收入5.9亿元，同比增长23.6%；科学研究和技术服务业实现收入15.4亿元，同比增长4.5%；房地产业实现收入24.3亿元，同比下降22.6%，下拉全区规上服务业整体增速7.6个百分点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附表：2026年1-4月主要经济指标实现情况</w:t>
      </w:r>
    </w:p>
    <w:p>
      <w:pPr>
        <w:rPr>
          <w:rFonts w:hint="eastAsia" w:hAnsi="仿宋_GB2312" w:cs="仿宋_GB2312"/>
          <w:color w:val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7"/>
        <w:gridCol w:w="1045"/>
        <w:gridCol w:w="1004"/>
        <w:gridCol w:w="1069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附表              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2026年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主要经济指标实现情况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60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 标 名 称</w:t>
            </w:r>
          </w:p>
        </w:tc>
        <w:tc>
          <w:tcPr>
            <w:tcW w:w="59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7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本期累计</w:t>
            </w:r>
          </w:p>
        </w:tc>
        <w:tc>
          <w:tcPr>
            <w:tcW w:w="60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上年同期</w:t>
            </w:r>
          </w:p>
        </w:tc>
        <w:tc>
          <w:tcPr>
            <w:tcW w:w="61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固定资产投资（项目建设地）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固定资产投资（不含农户）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35.7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其中：建安投资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130.3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房地产开发投资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-54.4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 业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规模以上工业总产值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其中：汽车制造业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58.0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　    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医药制造业 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      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.7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-14.7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商品房销售面积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7.0</w:t>
            </w: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13.5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-48.5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批发和零售、住宿和餐饮业</w:t>
            </w:r>
          </w:p>
        </w:tc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609" w:type="pct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593" w:type="pct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570" w:type="pct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 </w:t>
            </w:r>
          </w:p>
        </w:tc>
        <w:tc>
          <w:tcPr>
            <w:tcW w:w="607" w:type="pct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619" w:type="pct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-5.1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850" w:h="16840"/>
      <w:pgMar w:top="2098" w:right="1474" w:bottom="1984" w:left="1587" w:header="72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ＭＳ ゴシック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Noto Sans Mono"/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>
      <w:pPr>
        <w:pStyle w:val="28"/>
        <w:snapToGrid w:val="0"/>
        <w:rPr>
          <w:rFonts w:hint="eastAsia" w:eastAsia="宋体"/>
          <w:lang w:eastAsia="zh-CN"/>
        </w:rPr>
      </w:pPr>
      <w:r>
        <w:rPr>
          <w:rStyle w:val="138"/>
        </w:rPr>
        <w:footnoteRef/>
      </w:r>
      <w:r>
        <w:t xml:space="preserve"> </w:t>
      </w:r>
      <w:r>
        <w:rPr>
          <w:rFonts w:hint="eastAsia"/>
          <w:lang w:eastAsia="zh-CN"/>
        </w:rPr>
        <w:t>注：该领域财务数据按月顺延发布。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1333FE"/>
    <w:rsid w:val="121E32B3"/>
    <w:rsid w:val="19417587"/>
    <w:rsid w:val="196E8226"/>
    <w:rsid w:val="205A39F2"/>
    <w:rsid w:val="27683151"/>
    <w:rsid w:val="2BF86973"/>
    <w:rsid w:val="2EFD0C46"/>
    <w:rsid w:val="328B7D7B"/>
    <w:rsid w:val="33B70E9B"/>
    <w:rsid w:val="3CC56139"/>
    <w:rsid w:val="3FF19411"/>
    <w:rsid w:val="3FFFF1F4"/>
    <w:rsid w:val="40665BFF"/>
    <w:rsid w:val="46F771CD"/>
    <w:rsid w:val="55DE44D0"/>
    <w:rsid w:val="56D36869"/>
    <w:rsid w:val="63F9BED1"/>
    <w:rsid w:val="64FE3D3C"/>
    <w:rsid w:val="657B5C77"/>
    <w:rsid w:val="675E9250"/>
    <w:rsid w:val="6BEF2D5B"/>
    <w:rsid w:val="6FCE2185"/>
    <w:rsid w:val="717BD6C4"/>
    <w:rsid w:val="77DB5970"/>
    <w:rsid w:val="77DD0D39"/>
    <w:rsid w:val="7BE7CBFA"/>
    <w:rsid w:val="7CF77DF4"/>
    <w:rsid w:val="7D7FD2BE"/>
    <w:rsid w:val="7DFDC246"/>
    <w:rsid w:val="7FC7D96E"/>
    <w:rsid w:val="7FCCFA18"/>
    <w:rsid w:val="958F0D9D"/>
    <w:rsid w:val="9F333CAA"/>
    <w:rsid w:val="9F63B127"/>
    <w:rsid w:val="ACA74167"/>
    <w:rsid w:val="BF6667AE"/>
    <w:rsid w:val="D7FE0708"/>
    <w:rsid w:val="EFEE53D8"/>
    <w:rsid w:val="FDC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4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5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8"/>
    <w:unhideWhenUsed/>
    <w:qFormat/>
    <w:uiPriority w:val="99"/>
    <w:pPr>
      <w:spacing w:after="120"/>
    </w:pPr>
  </w:style>
  <w:style w:type="paragraph" w:styleId="3">
    <w:name w:val="macro"/>
    <w:link w:val="1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50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29">
    <w:name w:val="index 9"/>
    <w:basedOn w:val="1"/>
    <w:next w:val="1"/>
    <w:qFormat/>
    <w:uiPriority w:val="99"/>
    <w:pPr>
      <w:ind w:left="1600" w:leftChars="1600"/>
    </w:pPr>
  </w:style>
  <w:style w:type="paragraph" w:styleId="30">
    <w:name w:val="Body Text 2"/>
    <w:basedOn w:val="1"/>
    <w:link w:val="149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6">
    <w:name w:val="Strong"/>
    <w:basedOn w:val="135"/>
    <w:qFormat/>
    <w:uiPriority w:val="22"/>
    <w:rPr>
      <w:b/>
      <w:bCs/>
    </w:rPr>
  </w:style>
  <w:style w:type="character" w:styleId="137">
    <w:name w:val="Emphasis"/>
    <w:basedOn w:val="135"/>
    <w:qFormat/>
    <w:uiPriority w:val="20"/>
    <w:rPr>
      <w:i/>
      <w:iCs/>
    </w:rPr>
  </w:style>
  <w:style w:type="character" w:styleId="138">
    <w:name w:val="footnote reference"/>
    <w:basedOn w:val="135"/>
    <w:semiHidden/>
    <w:unhideWhenUsed/>
    <w:qFormat/>
    <w:uiPriority w:val="99"/>
    <w:rPr>
      <w:vertAlign w:val="superscript"/>
    </w:rPr>
  </w:style>
  <w:style w:type="character" w:customStyle="1" w:styleId="139">
    <w:name w:val="Header Char"/>
    <w:basedOn w:val="135"/>
    <w:link w:val="25"/>
    <w:qFormat/>
    <w:uiPriority w:val="99"/>
  </w:style>
  <w:style w:type="character" w:customStyle="1" w:styleId="140">
    <w:name w:val="Footer Char"/>
    <w:basedOn w:val="135"/>
    <w:link w:val="24"/>
    <w:qFormat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Heading 1 Char"/>
    <w:basedOn w:val="135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Heading 2 Char"/>
    <w:basedOn w:val="13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Heading 3 Char"/>
    <w:basedOn w:val="135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Title Char"/>
    <w:basedOn w:val="135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Subtitle Char"/>
    <w:basedOn w:val="135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Body Text Char"/>
    <w:basedOn w:val="135"/>
    <w:link w:val="2"/>
    <w:qFormat/>
    <w:uiPriority w:val="99"/>
  </w:style>
  <w:style w:type="character" w:customStyle="1" w:styleId="149">
    <w:name w:val="Body Text 2 Char"/>
    <w:basedOn w:val="135"/>
    <w:link w:val="30"/>
    <w:qFormat/>
    <w:uiPriority w:val="99"/>
  </w:style>
  <w:style w:type="character" w:customStyle="1" w:styleId="150">
    <w:name w:val="Body Text 3 Char"/>
    <w:basedOn w:val="135"/>
    <w:link w:val="18"/>
    <w:qFormat/>
    <w:uiPriority w:val="99"/>
    <w:rPr>
      <w:sz w:val="16"/>
      <w:szCs w:val="16"/>
    </w:rPr>
  </w:style>
  <w:style w:type="character" w:customStyle="1" w:styleId="151">
    <w:name w:val="Macro Text Char"/>
    <w:basedOn w:val="135"/>
    <w:link w:val="3"/>
    <w:qFormat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Quote Char"/>
    <w:basedOn w:val="135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Heading 4 Char"/>
    <w:basedOn w:val="135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Heading 5 Char"/>
    <w:basedOn w:val="135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Heading 6 Char"/>
    <w:basedOn w:val="135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Heading 7 Char"/>
    <w:basedOn w:val="135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Heading 8 Char"/>
    <w:basedOn w:val="135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Heading 9 Char"/>
    <w:basedOn w:val="135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Intense Quote Char"/>
    <w:basedOn w:val="135"/>
    <w:link w:val="1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Intense Emphasis"/>
    <w:basedOn w:val="13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Reference"/>
    <w:basedOn w:val="13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Intense Reference"/>
    <w:basedOn w:val="13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Book Title"/>
    <w:basedOn w:val="135"/>
    <w:qFormat/>
    <w:uiPriority w:val="33"/>
    <w:rPr>
      <w:b/>
      <w:bCs/>
      <w:smallCaps/>
      <w:spacing w:val="5"/>
    </w:rPr>
  </w:style>
  <w:style w:type="paragraph" w:customStyle="1" w:styleId="167">
    <w:name w:val="TOC Heading"/>
    <w:basedOn w:val="4"/>
    <w:next w:val="1"/>
    <w:semiHidden/>
    <w:unhideWhenUsed/>
    <w:qFormat/>
    <w:uiPriority w:val="39"/>
    <w:pPr>
      <w:outlineLvl w:val="9"/>
    </w:pPr>
  </w:style>
  <w:style w:type="paragraph" w:customStyle="1" w:styleId="168">
    <w:name w:val="Title Style"/>
    <w:qFormat/>
    <w:uiPriority w:val="0"/>
    <w:pPr>
      <w:spacing w:after="360" w:line="276" w:lineRule="auto"/>
      <w:jc w:val="center"/>
    </w:pPr>
    <w:rPr>
      <w:rFonts w:ascii="黑体" w:hAnsi="黑体" w:eastAsia="黑体" w:cstheme="minorBidi"/>
      <w:b/>
      <w:sz w:val="36"/>
      <w:szCs w:val="22"/>
      <w:lang w:val="en-US" w:eastAsia="en-US" w:bidi="ar-SA"/>
    </w:rPr>
  </w:style>
  <w:style w:type="paragraph" w:customStyle="1" w:styleId="169">
    <w:name w:val="Heading 1 Style"/>
    <w:qFormat/>
    <w:uiPriority w:val="0"/>
    <w:pPr>
      <w:spacing w:before="240" w:after="120" w:line="276" w:lineRule="auto"/>
    </w:pPr>
    <w:rPr>
      <w:rFonts w:ascii="黑体" w:hAnsi="黑体" w:eastAsia="黑体" w:cstheme="minorBidi"/>
      <w:b/>
      <w:sz w:val="32"/>
      <w:szCs w:val="22"/>
      <w:lang w:val="en-US" w:eastAsia="en-US" w:bidi="ar-SA"/>
    </w:rPr>
  </w:style>
  <w:style w:type="paragraph" w:customStyle="1" w:styleId="170">
    <w:name w:val="Heading 2 Style"/>
    <w:qFormat/>
    <w:uiPriority w:val="0"/>
    <w:pPr>
      <w:spacing w:before="180" w:after="90" w:line="276" w:lineRule="auto"/>
    </w:pPr>
    <w:rPr>
      <w:rFonts w:ascii="黑体" w:hAnsi="黑体" w:eastAsia="黑体" w:cstheme="minorBidi"/>
      <w:b/>
      <w:sz w:val="28"/>
      <w:szCs w:val="22"/>
      <w:lang w:val="en-US" w:eastAsia="en-US" w:bidi="ar-SA"/>
    </w:rPr>
  </w:style>
  <w:style w:type="paragraph" w:customStyle="1" w:styleId="171">
    <w:name w:val="Heading 3 Style"/>
    <w:qFormat/>
    <w:uiPriority w:val="0"/>
    <w:pPr>
      <w:spacing w:before="120" w:after="60" w:line="276" w:lineRule="auto"/>
    </w:pPr>
    <w:rPr>
      <w:rFonts w:ascii="黑体" w:hAnsi="黑体" w:eastAsia="黑体" w:cstheme="minorBidi"/>
      <w:b/>
      <w:sz w:val="26"/>
      <w:szCs w:val="22"/>
      <w:lang w:val="en-US" w:eastAsia="en-US" w:bidi="ar-SA"/>
    </w:rPr>
  </w:style>
  <w:style w:type="paragraph" w:customStyle="1" w:styleId="172">
    <w:name w:val="Body Style"/>
    <w:qFormat/>
    <w:uiPriority w:val="0"/>
    <w:pPr>
      <w:spacing w:after="120" w:line="360" w:lineRule="auto"/>
      <w:ind w:firstLine="480"/>
    </w:pPr>
    <w:rPr>
      <w:rFonts w:ascii="宋体" w:hAnsi="宋体" w:eastAsia="宋体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2898</Words>
  <Characters>3440</Characters>
  <Lines>0</Lines>
  <Paragraphs>0</Paragraphs>
  <TotalTime>2</TotalTime>
  <ScaleCrop>false</ScaleCrop>
  <LinksUpToDate>false</LinksUpToDate>
  <CharactersWithSpaces>3468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2013-12-30T15:15:00Z</dcterms:created>
  <dc:creator>python-docx</dc:creator>
  <dc:description>generated by python-docx</dc:description>
  <cp:lastModifiedBy>uos</cp:lastModifiedBy>
  <cp:lastPrinted>2026-05-22T00:32:00Z</cp:lastPrinted>
  <dcterms:modified xsi:type="dcterms:W3CDTF">2026-05-25T16:21:07Z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