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center"/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  <w:t>2025年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1-4月</w:t>
      </w:r>
      <w:r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  <w:t>密云区经济运行情况分析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密云区坚持稳中求进工作总基调，经济运行总体平稳，其中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工业产值增速加快，重点服务业收入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ootnoteReference w:id="0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降幅有所收窄，投资稳步增长。</w:t>
      </w:r>
    </w:p>
    <w:p>
      <w:pPr>
        <w:numPr>
          <w:ilvl w:val="0"/>
          <w:numId w:val="1"/>
        </w:numPr>
        <w:ind w:firstLine="642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工业产值增速加快，汽车制造业带动显著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1-4月，全区实现规模以上工业总产值82亿元，同比增长6.9%，增速较一季度加快5.6个百分点，主要受汽车制造业带动；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销售产值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，产销率达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99.5%。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从重点行业看，1-4月产值排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呈“三升两降”态势，合计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占全区规模以上工业总产值的78.1%。其中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汽车制造业完成产值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，拉动全区规模以上工业产值增长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15.8个百分点，拉动力较一季度提升4.7个百分点。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医药制造业完成产值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酒、饮料和精制茶制造业完成产值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2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服务业收入降幅收窄，现代服务业增势较好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季度，全区重点服务业企业实现收入87.1亿元，同比下降3%，降幅较1-2月收窄2.6个百分点，主要是受科学研究和技术服务业增速加快带动。分行业看，全区重点服务业涉及的十大行业门类呈“六升四降”态势，其中软信、科技等现代服务业收入增势较好，一季度全区科学研究和技术服务业实现收入12.9亿元，同比增长23.3%，增速较1-2月加快12.2个百分点。信息传输、软件和信息技术服务业实现收入13.6亿元，同比增长7.6%，拉动服务业收入增长1.1个百分点。</w:t>
      </w:r>
    </w:p>
    <w:p>
      <w:pPr>
        <w:numPr>
          <w:ilvl w:val="0"/>
          <w:numId w:val="1"/>
        </w:numPr>
        <w:ind w:left="0" w:leftChars="0" w:firstLine="578" w:firstLineChars="200"/>
        <w:rPr>
          <w:rFonts w:hint="eastAsia" w:ascii="黑体" w:hAnsi="黑体" w:eastAsia="黑体" w:cs="黑体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90"/>
          <w:sz w:val="32"/>
          <w:szCs w:val="32"/>
          <w:lang w:val="en-US" w:eastAsia="zh-CN"/>
        </w:rPr>
        <w:t>固定资产投资稳步增长，设备购置及费用投资增势较好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1-4月，全区固定资产投资同比增长11.6%，增速较一季度回落0.3个百分点。分三次产业看，第一产业投资同比下降49.5%，主要</w:t>
      </w:r>
      <w:r>
        <w:rPr>
          <w:rFonts w:hint="eastAsia" w:ascii="仿宋_GB2312" w:eastAsia="仿宋_GB2312" w:cs="Calibri"/>
          <w:color w:val="auto"/>
          <w:sz w:val="32"/>
          <w:szCs w:val="32"/>
          <w:lang w:val="en-US" w:eastAsia="zh-CN"/>
        </w:rPr>
        <w:t>是因为去年带动作用较强的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农村污水治理ppp等项目</w:t>
      </w:r>
      <w:r>
        <w:rPr>
          <w:rFonts w:hint="eastAsia" w:ascii="仿宋_GB2312" w:eastAsia="仿宋_GB2312" w:cs="Calibri"/>
          <w:color w:val="auto"/>
          <w:sz w:val="32"/>
          <w:szCs w:val="32"/>
          <w:lang w:val="en-US" w:eastAsia="zh-CN"/>
        </w:rPr>
        <w:t>完工退库或接近尾声，今年暂无大规模项目补充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第二产业全部为工业投资，同比增长37.5%；第三产业投资同比增长9.3%。从投资结构看，全区建安投资同比下降14.1%，降幅较一季度加深1.2个百分点；设备工器具购置投资同比增长32.7%；其他费用投资同比增长44.1%。</w:t>
      </w:r>
    </w:p>
    <w:p>
      <w:pPr>
        <w:numPr>
          <w:ilvl w:val="0"/>
          <w:numId w:val="1"/>
        </w:numPr>
        <w:ind w:left="0" w:leftChars="0" w:firstLine="642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消费市场低位运行，网络零售降幅加深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-4月，全区实现社会消费品零售总额56.8亿元，同比下降6.1%，降幅较一季度加深0.3个百分点，其中限额以上商业单位通过公共网络实现零售额14.1亿元，同比下降14.3%，降幅较一季度加深0.9个百分点，下拉全区社零总额增速3.9个百分点。从消费形态看，1-4月全区实现商品零售53.6亿元，同比下降6.2%；实现餐饮收入3.2亿元，同比下降4%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附表：2025年1-4月主要经济指标实现情况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ageBreakBefore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附表               </w:t>
      </w:r>
      <w:r>
        <w:rPr>
          <w:rFonts w:hint="default" w:ascii="宋体" w:hAnsi="宋体" w:cs="宋体"/>
          <w:b/>
          <w:i w:val="0"/>
          <w:color w:val="000000"/>
          <w:kern w:val="0"/>
          <w:sz w:val="24"/>
          <w:szCs w:val="24"/>
          <w:u w:val="none"/>
          <w:lang w:val="en" w:eastAsia="zh-CN" w:bidi="ar"/>
        </w:rPr>
        <w:t xml:space="preserve">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年1-4月主要经济指标实现情况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0"/>
        <w:gridCol w:w="1016"/>
        <w:gridCol w:w="989"/>
        <w:gridCol w:w="1021"/>
        <w:gridCol w:w="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 标 名 称</w:t>
            </w:r>
          </w:p>
        </w:tc>
        <w:tc>
          <w:tcPr>
            <w:tcW w:w="59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8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同期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固定资产投资（项目建设地）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固定资产投资（不含农户）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其中：建安投资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-14.1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房地产开发投资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 业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规模以上工业总产值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76.7 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  其中：汽车制造业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 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 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　　      医药制造业 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        酒、饮料和精制茶制造业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 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-25.4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商品房销售面积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万平方米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 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批发和零售、住宿和餐饮业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47" w:type="pct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社会消费品零售总额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56.8 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 </w:t>
            </w:r>
          </w:p>
        </w:tc>
        <w:tc>
          <w:tcPr>
            <w:tcW w:w="983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-6.1 </w:t>
            </w:r>
          </w:p>
        </w:tc>
      </w:tr>
    </w:tbl>
    <w:p>
      <w:pPr>
        <w:pStyle w:val="7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6"/>
        <w:snapToGrid w:val="0"/>
        <w:rPr>
          <w:rFonts w:hint="eastAsia" w:eastAsia="宋体"/>
          <w:lang w:val="en-US" w:eastAsia="zh-CN"/>
        </w:rPr>
      </w:pPr>
      <w:r>
        <w:rPr>
          <w:rStyle w:val="11"/>
        </w:rPr>
        <w:footnoteRef/>
      </w:r>
      <w:r>
        <w:t xml:space="preserve"> </w:t>
      </w:r>
      <w:r>
        <w:rPr>
          <w:rFonts w:hint="eastAsia"/>
          <w:lang w:eastAsia="zh-CN"/>
        </w:rPr>
        <w:t>重点服务业为</w:t>
      </w:r>
      <w:r>
        <w:rPr>
          <w:rFonts w:hint="eastAsia"/>
          <w:lang w:val="en-US" w:eastAsia="zh-CN"/>
        </w:rPr>
        <w:t>一季度数据。重点服务业企业统计标准为①辖区内年营业收入2000万元及以上服务业法人单位，包括：交通运输、仓储和邮政业，信息传输、软件和信息技术服务业，水利、环境和公共设施管理业，卫生。②辖区内年营业收入1000万元及以上服务业法人单位，包括：租赁和商务服务业，科学研究和技术服务业，教育，以及物业管理、房地产中介服务、房地产租赁经营和其他房地产业。③辖区内年营业收入500万元及以上服务业法人单位，包括居民服务、修理和其他服务业，文化、体育和娱乐业，社会工作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B8B15"/>
    <w:multiLevelType w:val="singleLevel"/>
    <w:tmpl w:val="A14B8B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610A58"/>
    <w:rsid w:val="04331DD3"/>
    <w:rsid w:val="05053DF9"/>
    <w:rsid w:val="061D6DCA"/>
    <w:rsid w:val="063D2B73"/>
    <w:rsid w:val="06C62A50"/>
    <w:rsid w:val="075123BF"/>
    <w:rsid w:val="078A1364"/>
    <w:rsid w:val="07AC03BB"/>
    <w:rsid w:val="07BE6D11"/>
    <w:rsid w:val="09315EA7"/>
    <w:rsid w:val="0C2534F6"/>
    <w:rsid w:val="0C4409B6"/>
    <w:rsid w:val="0CA36702"/>
    <w:rsid w:val="0CDC4ED8"/>
    <w:rsid w:val="0CEC4EB0"/>
    <w:rsid w:val="0CF47BBA"/>
    <w:rsid w:val="0D006C43"/>
    <w:rsid w:val="0EBC7AD9"/>
    <w:rsid w:val="0F1D67D4"/>
    <w:rsid w:val="0FE36EC7"/>
    <w:rsid w:val="135E12C1"/>
    <w:rsid w:val="13BB7FF1"/>
    <w:rsid w:val="13FF277F"/>
    <w:rsid w:val="159E5ACD"/>
    <w:rsid w:val="17B4602C"/>
    <w:rsid w:val="19B43060"/>
    <w:rsid w:val="1AD70D1F"/>
    <w:rsid w:val="1C9E47F2"/>
    <w:rsid w:val="1E5C2071"/>
    <w:rsid w:val="21513E8E"/>
    <w:rsid w:val="231E224F"/>
    <w:rsid w:val="2464423F"/>
    <w:rsid w:val="25312E84"/>
    <w:rsid w:val="25B72FCF"/>
    <w:rsid w:val="293D62ED"/>
    <w:rsid w:val="2A0F3997"/>
    <w:rsid w:val="2A80227D"/>
    <w:rsid w:val="2CDB1E6D"/>
    <w:rsid w:val="2D270223"/>
    <w:rsid w:val="2F0776FF"/>
    <w:rsid w:val="2FB905CE"/>
    <w:rsid w:val="3419091B"/>
    <w:rsid w:val="358E34B2"/>
    <w:rsid w:val="36230459"/>
    <w:rsid w:val="36641AED"/>
    <w:rsid w:val="3A1B0CF6"/>
    <w:rsid w:val="3A8F322B"/>
    <w:rsid w:val="3AC74B83"/>
    <w:rsid w:val="3AEFF3AC"/>
    <w:rsid w:val="3D1E4BF5"/>
    <w:rsid w:val="3D6F1BD5"/>
    <w:rsid w:val="3DEB4554"/>
    <w:rsid w:val="3E2F3A7D"/>
    <w:rsid w:val="3F216BBB"/>
    <w:rsid w:val="3F227E01"/>
    <w:rsid w:val="3F941DA4"/>
    <w:rsid w:val="40423777"/>
    <w:rsid w:val="44BA3C21"/>
    <w:rsid w:val="48100727"/>
    <w:rsid w:val="4CA61542"/>
    <w:rsid w:val="4D261D5F"/>
    <w:rsid w:val="4DA370F8"/>
    <w:rsid w:val="4E01447E"/>
    <w:rsid w:val="4ECB0216"/>
    <w:rsid w:val="50441328"/>
    <w:rsid w:val="51B9108D"/>
    <w:rsid w:val="535D6386"/>
    <w:rsid w:val="543E61CB"/>
    <w:rsid w:val="545D0A6A"/>
    <w:rsid w:val="550C28A4"/>
    <w:rsid w:val="552C038A"/>
    <w:rsid w:val="555F4282"/>
    <w:rsid w:val="556404EA"/>
    <w:rsid w:val="56CA3BFA"/>
    <w:rsid w:val="5713579C"/>
    <w:rsid w:val="575C2978"/>
    <w:rsid w:val="58424892"/>
    <w:rsid w:val="59071EE9"/>
    <w:rsid w:val="59B90358"/>
    <w:rsid w:val="5A786E79"/>
    <w:rsid w:val="5AA2501D"/>
    <w:rsid w:val="5ABA4184"/>
    <w:rsid w:val="5D577F24"/>
    <w:rsid w:val="5D5A522E"/>
    <w:rsid w:val="609C7A88"/>
    <w:rsid w:val="628F145E"/>
    <w:rsid w:val="63B6278B"/>
    <w:rsid w:val="65BE5671"/>
    <w:rsid w:val="66B41CC5"/>
    <w:rsid w:val="670C6AEA"/>
    <w:rsid w:val="67851789"/>
    <w:rsid w:val="6CBF2B4B"/>
    <w:rsid w:val="6E4A3AAE"/>
    <w:rsid w:val="7074372F"/>
    <w:rsid w:val="727850B4"/>
    <w:rsid w:val="735079C3"/>
    <w:rsid w:val="77432D8D"/>
    <w:rsid w:val="774F3963"/>
    <w:rsid w:val="7BF78BF6"/>
    <w:rsid w:val="7DCA7D62"/>
    <w:rsid w:val="7DFBB191"/>
    <w:rsid w:val="7E360F67"/>
    <w:rsid w:val="7F765C3C"/>
    <w:rsid w:val="8DFD095A"/>
    <w:rsid w:val="99BCF8CF"/>
    <w:rsid w:val="FED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  <w:rPr>
      <w:rFonts w:ascii="仿宋_GB2312" w:hAnsi="宋体" w:eastAsia="仿宋_GB2312"/>
      <w:sz w:val="32"/>
      <w:szCs w:val="32"/>
    </w:rPr>
  </w:style>
  <w:style w:type="paragraph" w:styleId="3">
    <w:name w:val="annotation text"/>
    <w:basedOn w:val="1"/>
    <w:link w:val="12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index 9"/>
    <w:basedOn w:val="1"/>
    <w:next w:val="1"/>
    <w:qFormat/>
    <w:uiPriority w:val="0"/>
    <w:pPr>
      <w:ind w:left="1600" w:leftChars="1600"/>
    </w:p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character" w:customStyle="1" w:styleId="12">
    <w:name w:val="批注文字 Char"/>
    <w:basedOn w:val="10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NTKO</dc:creator>
  <cp:lastModifiedBy>zhk</cp:lastModifiedBy>
  <dcterms:modified xsi:type="dcterms:W3CDTF">2025-05-26T11:05:26Z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