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416"/>
      <w:bookmarkStart w:id="1" w:name="_Toc172077949"/>
      <w:bookmarkStart w:id="2" w:name="_Toc172077551"/>
      <w:bookmarkStart w:id="3" w:name="_Toc176767293"/>
      <w:r>
        <w:rPr>
          <w:rFonts w:ascii="Arial" w:hAnsi="Arial" w:eastAsia="Arial" w:cs="Arial"/>
          <w:b w:val="0"/>
          <w:bCs w:val="0"/>
          <w:snapToGrid w:val="0"/>
          <w:color w:val="000000"/>
          <w:kern w:val="44"/>
          <w:sz w:val="44"/>
          <w:szCs w:val="4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1399540</wp:posOffset>
                </wp:positionH>
                <wp:positionV relativeFrom="paragraph">
                  <wp:posOffset>-522605</wp:posOffset>
                </wp:positionV>
                <wp:extent cx="6149340" cy="601345"/>
                <wp:effectExtent l="0" t="0" r="3810" b="8255"/>
                <wp:wrapNone/>
                <wp:docPr id="1" name="文本框 11"/>
                <wp:cNvGraphicFramePr/>
                <a:graphic xmlns:a="http://schemas.openxmlformats.org/drawingml/2006/main">
                  <a:graphicData uri="http://schemas.microsoft.com/office/word/2010/wordprocessingShape">
                    <wps:wsp>
                      <wps:cNvSpPr txBox="true"/>
                      <wps:spPr>
                        <a:xfrm>
                          <a:off x="0" y="0"/>
                          <a:ext cx="6149340" cy="601345"/>
                        </a:xfrm>
                        <a:prstGeom prst="rect">
                          <a:avLst/>
                        </a:prstGeom>
                        <a:solidFill>
                          <a:srgbClr val="FFFFFF"/>
                        </a:solidFill>
                        <a:ln>
                          <a:noFill/>
                        </a:ln>
                      </wps:spPr>
                      <wps:txb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密云区</w:t>
                            </w:r>
                            <w:r>
                              <w:rPr>
                                <w:rFonts w:hint="eastAsia" w:ascii="方正小标宋简体" w:hAnsi="方正小标宋简体" w:eastAsia="方正小标宋简体" w:cs="方正小标宋简体"/>
                                <w:sz w:val="44"/>
                                <w:szCs w:val="44"/>
                                <w:lang w:val="en-US" w:eastAsia="zh-CN"/>
                              </w:rPr>
                              <w:t>檀营乡（地区）</w:t>
                            </w:r>
                            <w:r>
                              <w:rPr>
                                <w:rFonts w:hint="eastAsia" w:ascii="方正小标宋简体" w:hAnsi="方正小标宋简体" w:eastAsia="方正小标宋简体" w:cs="方正小标宋简体"/>
                                <w:sz w:val="44"/>
                                <w:szCs w:val="44"/>
                                <w:lang w:eastAsia="zh-CN"/>
                              </w:rPr>
                              <w:t>履行职责事项清单</w:t>
                            </w:r>
                          </w:p>
                        </w:txbxContent>
                      </wps:txbx>
                      <wps:bodyPr upright="true"/>
                    </wps:wsp>
                  </a:graphicData>
                </a:graphic>
              </wp:anchor>
            </w:drawing>
          </mc:Choice>
          <mc:Fallback>
            <w:pict>
              <v:shape id="文本框 11" o:spid="_x0000_s1026" o:spt="202" type="#_x0000_t202" style="position:absolute;left:0pt;margin-left:110.2pt;margin-top:-41.15pt;height:47.35pt;width:484.2pt;z-index:251659264;mso-width-relative:page;mso-height-relative:page;" fillcolor="#FFFFFF" filled="t" stroked="f" coordsize="21600,21600" o:gfxdata="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PJYXD2AAAAAsBAAAPAAAAAAAAAAEAIAAAADgAAABkcnMvZG93bnJldi54bWxQ&#10;SwECFAAUAAAACACHTuJA+jQsJagBAAAwAwAADgAAAAAAAAABACAAAAA9AQAAZHJzL2Uyb0RvYy54&#10;bWxQSwUGAAAAAAYABgBZAQAAVwUAAAAA&#10;">
                <v:fill on="t" focussize="0,0"/>
                <v:stroke on="f"/>
                <v:imagedata o:title=""/>
                <o:lock v:ext="edit" aspectratio="f"/>
                <v:textbo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密云区</w:t>
                      </w:r>
                      <w:r>
                        <w:rPr>
                          <w:rFonts w:hint="eastAsia" w:ascii="方正小标宋简体" w:hAnsi="方正小标宋简体" w:eastAsia="方正小标宋简体" w:cs="方正小标宋简体"/>
                          <w:sz w:val="44"/>
                          <w:szCs w:val="44"/>
                          <w:lang w:val="en-US" w:eastAsia="zh-CN"/>
                        </w:rPr>
                        <w:t>檀营乡（地区）</w:t>
                      </w:r>
                      <w:r>
                        <w:rPr>
                          <w:rFonts w:hint="eastAsia" w:ascii="方正小标宋简体" w:hAnsi="方正小标宋简体" w:eastAsia="方正小标宋简体" w:cs="方正小标宋简体"/>
                          <w:sz w:val="44"/>
                          <w:szCs w:val="44"/>
                          <w:lang w:eastAsia="zh-CN"/>
                        </w:rPr>
                        <w:t>履行职责事项清单</w:t>
                      </w:r>
                    </w:p>
                  </w:txbxContent>
                </v:textbox>
              </v:shape>
            </w:pict>
          </mc:Fallback>
        </mc:AlternateContent>
      </w:r>
      <w:r>
        <w:rPr>
          <w:rFonts w:hint="eastAsia" w:ascii="微软雅黑" w:hAnsi="微软雅黑" w:eastAsia="微软雅黑" w:cs="微软雅黑"/>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103项</w:t>
      </w:r>
      <w:r>
        <w:rPr>
          <w:rFonts w:hint="eastAsia" w:ascii="方正小标宋简体" w:hAnsi="方正小标宋简体" w:eastAsia="方正小标宋简体" w:cs="方正小标宋简体"/>
          <w:b w:val="0"/>
          <w:lang w:eastAsia="zh-CN"/>
        </w:rPr>
        <w:t>）</w:t>
      </w:r>
    </w:p>
    <w:tbl>
      <w:tblPr>
        <w:tblStyle w:val="12"/>
        <w:tblW w:w="140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1"/>
        <w:gridCol w:w="13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5" w:hRule="atLeast"/>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一、党群工作（</w:t>
            </w:r>
            <w:r>
              <w:rPr>
                <w:rFonts w:hint="eastAsia" w:ascii="黑体" w:hAnsi="黑体" w:eastAsia="黑体" w:cs="黑体"/>
                <w:color w:val="auto"/>
                <w:sz w:val="24"/>
                <w:szCs w:val="24"/>
                <w:lang w:val="en-US" w:eastAsia="zh-CN"/>
              </w:rPr>
              <w:t>21</w:t>
            </w:r>
            <w:r>
              <w:rPr>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6"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统筹抓好本乡（地区）党的建设工作，落实党内政治生活、联系服务群众、调查研究、理论学习中心组学习等制度。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领导本辖区的工作和基层社会治理，支持和保证乡（地区）政权机关、群团组织和其他各类组织依照国家法律法规以及各自章程履行职责。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参与党的地方组织选举工作，组织选举产生本乡（地区）党的基层委员会和纪律检查委员会，负责下级党组织选举的监督实施。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9"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加强机关事业单位、社区、新兴领域等各层级各领域基层党组织标准化规范化建设，指导基层党组织的成立、撤销、调整、换届工作。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2"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创新组织形式，深入开展“密云先锋”行动，推进“1+10”党员密切联系群众机制，加强和改进流动党员管理，引导在职党员积极参与社区服务和治理。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加强党风廉政建设和组织协调反腐败工作，履行巡察整改主体责任，支持乡（地区）纪检监察机构履行监督、执纪、问责职责。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负责人大代表联系服务、活动组织、意见建议反映等工作，办理区人大常委会交办的监督、选举以及其他工作，并向区人大常委会报告工作。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推进乡（地区）协商民主建设，组织开展跨社区协商工作，配合做好区政协委员人选推荐、联络有关工作。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6"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负责乡（地区）工会组织建设，指导辖区内企事业单位组建工会、发展会员工作，维护职工合法权益。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推动团的基层组织建设，开展服务青年工作。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加强乡（地区）妇联自身建设和社区妇女组织建设，做好妇女权益保障工作。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负责本乡（地区）机关及所属单位干部人事、编制外人员管理等工作，对实行派驻体制相关机构的工作考核和主要负责同志的任免提出建议。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lang w:eastAsia="zh-CN"/>
              </w:rPr>
              <w:t>二、保水保生态（</w:t>
            </w:r>
            <w:r>
              <w:rPr>
                <w:rFonts w:hint="eastAsia" w:ascii="黑体" w:hAnsi="黑体" w:eastAsia="黑体" w:cs="黑体"/>
                <w:color w:val="auto"/>
                <w:sz w:val="24"/>
                <w:szCs w:val="24"/>
                <w:lang w:val="en-US" w:eastAsia="zh-CN"/>
              </w:rPr>
              <w:t>10</w:t>
            </w:r>
            <w:r>
              <w:rPr>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9"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组织开展节约用水宣传教育，推进节水型乡（地区）、社区建设，制止违反节约用水、排水和再生水管理有关规定的行为。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组织实施本辖区生态环境保护工作，督促落实生态环境保护措施，参与突发生态环境事件的应急准备、应急演练、应急处置和事后恢复等工作，按职责分工查处违法行为。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lang w:eastAsia="zh-CN"/>
              </w:rPr>
              <w:t>三、经济发展（</w:t>
            </w:r>
            <w:r>
              <w:rPr>
                <w:rFonts w:hint="eastAsia" w:ascii="黑体" w:hAnsi="黑体" w:eastAsia="黑体" w:cs="黑体"/>
                <w:color w:val="auto"/>
                <w:sz w:val="24"/>
                <w:szCs w:val="24"/>
                <w:lang w:val="en-US" w:eastAsia="zh-CN"/>
              </w:rPr>
              <w:t>4</w:t>
            </w:r>
            <w:r>
              <w:rPr>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围绕构建“一条科技创新和生命健康战略发展带、四条特色文化旅游休闲发展带、多个特色乡镇和特色产业”的全域发展格局和培育壮大生命健康主导产业，因地制宜发展产业项目，推动经济高质量发展。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明确产业资源优势及招商方向，吸引外部资金和项目，做好落地项目的服务保障工作，加强财源建设。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lang w:eastAsia="zh-CN"/>
              </w:rPr>
              <w:t>四、城市管理（</w:t>
            </w:r>
            <w:r>
              <w:rPr>
                <w:rFonts w:hint="eastAsia" w:ascii="黑体" w:hAnsi="黑体" w:eastAsia="黑体" w:cs="黑体"/>
                <w:color w:val="auto"/>
                <w:sz w:val="24"/>
                <w:szCs w:val="24"/>
                <w:lang w:val="en-US" w:eastAsia="zh-CN"/>
              </w:rPr>
              <w:t>14</w:t>
            </w:r>
            <w:r>
              <w:rPr>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组织实施本辖区内街区更新，调解更新活动中的纠纷。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36</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加强对本辖区内住房租赁的日常监督管理，指导居民委员会做好住房租赁相关工作。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1"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综合协调网格化管理工作，指导所属社区做好有关事项的服务管理工作。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color w:val="auto"/>
                <w:sz w:val="24"/>
                <w:szCs w:val="24"/>
                <w:lang w:eastAsia="zh-CN"/>
              </w:rPr>
              <w:t>五、社区建设（</w:t>
            </w:r>
            <w:r>
              <w:rPr>
                <w:rFonts w:hint="eastAsia" w:ascii="黑体" w:hAnsi="黑体" w:eastAsia="黑体" w:cs="黑体"/>
                <w:color w:val="auto"/>
                <w:sz w:val="24"/>
                <w:szCs w:val="24"/>
                <w:lang w:val="en-US" w:eastAsia="zh-CN"/>
              </w:rPr>
              <w:t>18</w:t>
            </w:r>
            <w:r>
              <w:rPr>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49</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提出居民委员会的设立、撤销、规模调整方案，按程序报区政府决定，对居民委员会的选举工作进行指导。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开展社区规范化建设，指导、支持和帮助居民委员会的工作，做好居务公开。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推进居民自治，动员居民有序参与社会治理，对居民公约进行备案。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支持和保障社区服务站开展社区公共服务、公益服务、便民服务等工作。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培育、指导、监督社区社会组织，对达不到登记条件的社区社会组织实施管理，加强分类指导和业务指导。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54</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负责组织、协调、指导业主大会成立、业主委员会选举换届、物业管理委员会组建，办理相关备案手续，并指导、监督其依法履行职责。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按职责做好物业承接查验、物业管理项目移交接管、物业管理纠纷调处等工作，依法查处违法行为。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负责社区工作者的日常管理、考核培训工作，推进社区工作者队伍专业化、职业化。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57</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58</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组织收集居民群众和驻区单位的需求、诉求，及时向区政府反映情况。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办理未成年人相关事务，支持、指导居民委员会做好未成年人保护工作，组织开展家庭暴力预防工作。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支持和协调社区科普活动。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统筹本辖区全民健身资源，组织开展全民健身活动，推动体育生活化社区建设。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负责社区文体骨干的业务培训，加强基层文化体育队伍建设，挖掘、传承和弘扬传统文化、传统技艺。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64</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组织动物饲养者做好动物疫病强制免疫，组织收集、处理在城市公共场所发现的死亡畜禽并溯源。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65</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66</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67</w:t>
            </w:r>
          </w:p>
        </w:tc>
        <w:tc>
          <w:tcPr>
            <w:tcW w:w="1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lang w:eastAsia="zh-CN"/>
              </w:rPr>
              <w:t>六、民生保障（</w:t>
            </w:r>
            <w:r>
              <w:rPr>
                <w:rFonts w:hint="eastAsia" w:ascii="黑体" w:hAnsi="黑体" w:eastAsia="黑体" w:cs="黑体"/>
                <w:color w:val="auto"/>
                <w:sz w:val="24"/>
                <w:szCs w:val="24"/>
                <w:lang w:val="en-US" w:eastAsia="zh-CN"/>
              </w:rPr>
              <w:t>18</w:t>
            </w:r>
            <w:r>
              <w:rPr>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68</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做好生活困难群体救助帮扶工作，指导居民委员会协助做好有关社会救助工作。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3"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69</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70</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做好城乡居民参加养老保险相关工作。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9"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74</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75</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综合协调社区卫生服务工作，组织动员有关部门、居民委员会、社区志愿者积极参与社区健康活动。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76</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77</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78</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组织开展预防精神障碍发生、促进精神障碍患者康复等工作，组织居民委员会为生活困难的精神障碍患者家庭提供帮助。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79</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开展爱国卫生运动，做好病媒生物防制、控烟等工作，依法查处违法行为。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80</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4"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负责本级政务服务中心建设、运行、监督管理，指导、协调、监督社区综合服务站点的建设、运行和管理。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lang w:eastAsia="zh-CN"/>
              </w:rPr>
              <w:t>七、平安建设（</w:t>
            </w:r>
            <w:r>
              <w:rPr>
                <w:rFonts w:hint="eastAsia" w:ascii="黑体" w:hAnsi="黑体" w:eastAsia="黑体" w:cs="黑体"/>
                <w:color w:val="auto"/>
                <w:sz w:val="24"/>
                <w:szCs w:val="24"/>
                <w:lang w:val="en-US" w:eastAsia="zh-CN"/>
              </w:rPr>
              <w:t>16</w:t>
            </w:r>
            <w:r>
              <w:rPr>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84</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落实铁路护路联防责任，防范和制止危害铁路沿线安全的行为，开展铁路沿线环境综合整治工作。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85</w:t>
            </w:r>
          </w:p>
        </w:tc>
        <w:tc>
          <w:tcPr>
            <w:tcW w:w="1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86</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87</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1"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88</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9"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89</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90</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负责本辖区防灾减灾工作，组织开展地震应急知识宣传和救援演练、气象灾害防御工作。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7"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94</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95</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color w:val="auto"/>
                <w:sz w:val="24"/>
                <w:szCs w:val="24"/>
                <w:lang w:eastAsia="zh-CN"/>
              </w:rPr>
              <w:t>八、综合保障（</w:t>
            </w:r>
            <w:r>
              <w:rPr>
                <w:rFonts w:hint="eastAsia" w:ascii="黑体" w:hAnsi="黑体" w:eastAsia="黑体" w:cs="黑体"/>
                <w:color w:val="auto"/>
                <w:sz w:val="24"/>
                <w:szCs w:val="24"/>
                <w:lang w:val="en-US" w:eastAsia="zh-CN"/>
              </w:rPr>
              <w:t>8</w:t>
            </w:r>
            <w:r>
              <w:rPr>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96</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黑体" w:hAnsi="黑体" w:eastAsia="黑体" w:cs="黑体"/>
                <w:color w:val="auto"/>
                <w:sz w:val="24"/>
                <w:szCs w:val="24"/>
                <w:lang w:val="en-US" w:eastAsia="zh-CN"/>
              </w:rPr>
            </w:pPr>
            <w:r>
              <w:rPr>
                <w:rFonts w:hint="eastAsia" w:ascii="仿宋_GB2312" w:hAnsi="仿宋_GB2312" w:eastAsia="仿宋_GB2312" w:cs="仿宋_GB2312"/>
                <w:color w:val="auto"/>
                <w:sz w:val="24"/>
                <w:szCs w:val="24"/>
                <w:lang w:val="en-US" w:eastAsia="zh-CN"/>
              </w:rPr>
              <w:t>97</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98</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99</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负责政府采购、固定资产管理、财务管理工作。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101</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负责机关及所属单位安全保卫、应急值守、后勤保障工作。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7"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102</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w:t>
            </w:r>
          </w:p>
        </w:tc>
        <w:tc>
          <w:tcPr>
            <w:tcW w:w="13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围绕辖区内诉求反映集中的问题，深化工作机制，推动主动治理。</w:t>
            </w:r>
          </w:p>
        </w:tc>
      </w:tr>
    </w:tbl>
    <w:p>
      <w:pPr>
        <w:pStyle w:val="4"/>
        <w:spacing w:before="0" w:after="0" w:line="240" w:lineRule="auto"/>
        <w:jc w:val="center"/>
        <w:rPr>
          <w:rFonts w:hint="eastAsia" w:ascii="方正小标宋简体" w:hAnsi="方正小标宋简体" w:eastAsia="方正小标宋简体" w:cs="方正小标宋简体"/>
          <w:color w:val="auto"/>
          <w:lang w:eastAsia="zh-CN"/>
        </w:rPr>
      </w:pPr>
      <w:r>
        <w:rPr>
          <w:rFonts w:ascii="Times New Roman" w:hAnsi="Times New Roman" w:eastAsia="方正小标宋_GBK" w:cs="Times New Roman"/>
          <w:color w:val="auto"/>
          <w:lang w:eastAsia="zh-CN"/>
        </w:rPr>
        <w:br w:type="page"/>
      </w:r>
      <w:bookmarkStart w:id="4" w:name="_Toc172077950"/>
      <w:bookmarkStart w:id="5" w:name="_Toc172077417"/>
      <w:bookmarkStart w:id="6" w:name="_Toc172077552"/>
      <w:bookmarkStart w:id="7" w:name="_Toc176767294"/>
      <w:r>
        <w:rPr>
          <w:rFonts w:hint="eastAsia" w:ascii="微软雅黑" w:hAnsi="微软雅黑" w:eastAsia="微软雅黑" w:cs="微软雅黑"/>
          <w:b w:val="0"/>
          <w:bCs w:val="0"/>
          <w:color w:val="auto"/>
          <w:lang w:eastAsia="zh-CN"/>
        </w:rPr>
        <w:t>Ⅱ</w:t>
      </w:r>
      <w:r>
        <w:rPr>
          <w:rFonts w:hint="eastAsia" w:ascii="微软雅黑" w:hAnsi="微软雅黑" w:eastAsia="微软雅黑" w:cs="微软雅黑"/>
          <w:b w:val="0"/>
          <w:bCs w:val="0"/>
          <w:color w:val="auto"/>
          <w:lang w:val="en-US" w:eastAsia="zh-CN"/>
        </w:rPr>
        <w:t>.</w:t>
      </w:r>
      <w:r>
        <w:rPr>
          <w:rFonts w:hint="eastAsia" w:ascii="方正小标宋简体" w:hAnsi="方正小标宋简体" w:eastAsia="方正小标宋简体" w:cs="方正小标宋简体"/>
          <w:b w:val="0"/>
          <w:lang w:eastAsia="zh-CN"/>
        </w:rPr>
        <w:t>配合履职事项清单</w:t>
      </w:r>
      <w:bookmarkEnd w:id="4"/>
      <w:bookmarkEnd w:id="5"/>
      <w:bookmarkEnd w:id="6"/>
      <w:bookmarkEnd w:id="7"/>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62</w:t>
      </w:r>
      <w:bookmarkStart w:id="12" w:name="_GoBack"/>
      <w:bookmarkEnd w:id="12"/>
      <w:r>
        <w:rPr>
          <w:rFonts w:hint="eastAsia" w:ascii="方正小标宋简体" w:hAnsi="方正小标宋简体" w:eastAsia="方正小标宋简体" w:cs="方正小标宋简体"/>
          <w:b w:val="0"/>
          <w:lang w:val="en-US" w:eastAsia="zh-CN"/>
        </w:rPr>
        <w:t>项</w:t>
      </w:r>
      <w:r>
        <w:rPr>
          <w:rFonts w:hint="eastAsia" w:ascii="方正小标宋简体" w:hAnsi="方正小标宋简体" w:eastAsia="方正小标宋简体" w:cs="方正小标宋简体"/>
          <w:b w:val="0"/>
          <w:lang w:eastAsia="zh-CN"/>
        </w:rPr>
        <w:t>）</w:t>
      </w:r>
    </w:p>
    <w:tbl>
      <w:tblPr>
        <w:tblStyle w:val="12"/>
        <w:tblW w:w="14302"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1320"/>
        <w:gridCol w:w="1713"/>
        <w:gridCol w:w="6251"/>
        <w:gridCol w:w="4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0" w:hRule="atLeast"/>
        </w:trPr>
        <w:tc>
          <w:tcPr>
            <w:tcW w:w="1430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3"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党史、地方志编纂工作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区委党史</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研究室</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1.制定党史编纂工作规划，组织实施征集、整理本区党史资料，编写党史、大事记等书籍、读本。</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2.组织、指导、督促和检查地方志工作。拟定地方志工作规划和编纂方案。组织编纂地方志书、地方综合年鉴等。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3.收集、整理、保存地方志文献和资料，组织整理旧志。</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4.组织开发利用地方史志资源。推动地方志理论研究和学术交流，组织开展业务培训。</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1.准确记载本辖区本单位党的工作，为党史和文献部门提供资料支持。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2.协助做好党史资料的收集、整理、报送以及红色遗址遗迹、纪念设施等党史资源的挖掘保护、宣传利用等工作。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30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17"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水土保持管理工作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1.负责组织编制和实施水土保持规划，开展水土流失监测、预防和综合防治工作。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2.统筹本行政区域内生态清洁小流域建设，会同有关部门制定生态清洁小流域建设方案。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3.加强对生态清洁小流域管护工作的指导和监督，对参与生态清洁小流域管护的村民委员会和农村村民进行技术指导和培训。</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4.负责生产建设单位水土保持方案审批，对水土保持方案实施进行监督管理，做好水土保持设施自主验收的监督检查工作。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5.组织开展保护水土资源、预防和治理水土流失的宣传教育活动，普及相关科学知识。</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1.协助区水务局做好本辖区水土保持工作。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2.开展水土保持宣传和教育工作，普及水土保持科学知识。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3"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危险废物污染环境防治工作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区生态环境局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1.负责对本行政区域危险废物污染环境防治工作实施统一监督管理。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2.督促企业执行危险废物管理计划，规范危险废物处理处置行为。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3.会同有关部门依法打击危险废物非法倾倒、填埋和非法处置等环境违法行为。</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1.开展危险废物污染环境防治法律法规和知识的宣传。</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19"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交通噪</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声、施工噪声治理工作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区生态环境</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局、区交通局、区城市管理委、区住房城乡建设委等</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1.区生态环境局负责对本区噪声污染防治实施统一监督管理。依法开展环境影响评价工作。负责开展交通噪声常态化监测。加强交通噪声和振动扰民问题治理的技术指导。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2.区交通局负责制定本区道路交通噪声扰民问题治理工作方案。督促各责任单位开展道路交通噪声防治工作。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5.区规自分局负责在规划编制中，严格落实控规编制阶段环评要求。在具体新建、改建、扩建项目审查中，按照环评所提降噪、防震要求，严格控制建筑物与道路、轨道交通间距。</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1.配合做好情况摸排；引导居民参与交通噪声扰民问题治理。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2.协调指导居委会组织建设施工单位发放施工噪声扰民补偿费。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野生动物保护工作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区园林绿化</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局、区农业农村局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1.协助做好辖区内野生动物栖息地保护、改善生态环境等工作。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2.开展野生动物保护的宣传教育和科学知识普及工作。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7"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30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三、城市管理（</w:t>
            </w:r>
            <w:r>
              <w:rPr>
                <w:rStyle w:val="22"/>
                <w:rFonts w:hint="eastAsia" w:ascii="黑体" w:hAnsi="黑体" w:eastAsia="黑体" w:cs="黑体"/>
                <w:color w:val="auto"/>
                <w:sz w:val="24"/>
                <w:szCs w:val="24"/>
                <w:lang w:val="en-US" w:eastAsia="zh-CN"/>
              </w:rPr>
              <w:t>25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规划编制工作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1.负责控制性详细规划编制、修编和实施管理工作。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2.负责地名命名、更名工作，审核地名规划。</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3.负责推进区级责任规划师工作，指导责任规划师开展工作，提供责任规划师工作所需的基础数据与资料支持。</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1.配合区规自分局做好辖区内控制性详细规划及地名规划等专项规划的编制和管理工作。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2.参与涉及本辖区人民群众利益的公共服务设施布局，并提出建议。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3.协助有关部门征求居民对居住公共服务设施的配置和使用意见，并鼓励其参与设施的验收等工作。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国土调查和城市国土空间监测</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2.开展城市国土空间监测工作。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1.负责做好辖区内宣传工作，通知并协调相关单位，配合做好外业工作人员入场调查举证等工作。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2.协助配合提供地块实际用途、种植作物计划及其他需要核实的情况。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3.配合行政区域内变更调查图斑的联审和复核确认工作。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7"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2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1"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7"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老旧小区改造工作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1.统筹推进老旧小区改造工作，制定本区老旧小区改造工作方案和年度实施计划，编制相关区级配套政策文件。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2.负责组织开展年度老旧小区改造任务申报、落实、调度、总结。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3.牵头解决项目推进中的重点、难点问题。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4.组织各街镇建立老旧小区数据库，开展落点落图工作。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5.对老旧小区参建单位及其手续材料进行审核把关，组织各相关单位进行项目竣工验收及后期评估工作。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1.对辖区范围内老旧小区情况进行摸排，建立老旧小区改造台账，做好项目储备、数据录入工作。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2.开展辖区范围内改造政策的宣传动员、入户调查及项目申报工作。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3.协调设计、施工、监理、物业等相关单位，与居民做好沟通协商工作，配合开展矛盾调处、文明施工、质量监督等工作。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4.协助做好老旧小区改造竣工验收工作。组织社区居委会、业主委员会、物业服务企业、业主代表和参建单位，对改造效果提出意见和建议。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既有多层住宅加装电梯工作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1.牵头推进本区既有多层住宅加装电梯工作，组织指导街镇开展加装电梯工作。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2.建立工作台账，绘制本区加装电梯地图。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3.负责审核街道（乡镇）确认后的报建材料，对符合要求的，向实施主体发放项目确认书，同时将确认项目告知区城市管理委。</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1.协助做好加装电梯政策宣传、咨询工作。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2.指导社区做好加装电梯登记、意愿征集、方案公示，建立工作台账。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3.协助调解电梯安装过程中发生的矛盾纠纷。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4.参与加装电梯工程验收。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7"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居民住宅老旧电梯安全监管工作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区市场监管局、区住房城乡建设委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开展本区居民住宅老旧电梯安全监督管理工作。（2）监督本区电梯生产、使用、检验、检测单位责任落实。（3）组织开展本区电梯安全宣传教育活动。（4）负责本区电梯开工告知、使用登记办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2.区住房城乡建设委：（1）负责本区居民住宅老旧电梯更新、改造、修理中使用既有住宅专项维修资金的审核和备案。（2）配合市场监管部门督促物业服务企业落实电梯使用管理和维护保养责任。（3）发挥居委会、村委会、业委会、物管会、物业服务企业党建引领作用，共同推进解决居民住宅老旧电梯使用管理和更新中存在的问题。</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1.协调相关部门及时解决老旧电梯安全问题，做好居民住宅老旧电梯相关信访投诉的纠纷调解工作。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2.承担电梯安全宣传教育工作。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居住区电动汽车及电动自行车充电设施建设管理</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消防救援支队：（1）指导推进社区（村）加强日常消防安全巡查、初期火灾扑救的自防自救能力建设，并加强消防安全知识和业务的培训指导。（2）做好本区电动自行车、电动汽车充电设施的火灾事故扑救和火灾事故调查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2.推动辖区内居住小区电动自行车充电设施建设，确保全覆盖，并按照合适比例进行配比建设。组织居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9"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9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5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住宅专项维修资金管理工作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6"/>
                <w:sz w:val="24"/>
                <w:szCs w:val="24"/>
                <w:lang w:val="en-US" w:eastAsia="zh-CN"/>
              </w:rPr>
              <w:t>1.负责指导、监督本区住宅专项维修资金的管理、使用和审批。</w:t>
            </w:r>
            <w:r>
              <w:rPr>
                <w:rFonts w:hint="eastAsia" w:ascii="仿宋_GB2312" w:hAnsi="仿宋_GB2312" w:eastAsia="仿宋_GB2312" w:cs="仿宋_GB2312"/>
                <w:w w:val="95"/>
                <w:sz w:val="24"/>
                <w:szCs w:val="24"/>
                <w:lang w:val="en-US" w:eastAsia="zh-CN"/>
              </w:rPr>
              <w:br w:type="textWrapping"/>
            </w:r>
            <w:r>
              <w:rPr>
                <w:rFonts w:hint="eastAsia" w:ascii="仿宋_GB2312" w:hAnsi="仿宋_GB2312" w:eastAsia="仿宋_GB2312" w:cs="仿宋_GB2312"/>
                <w:sz w:val="24"/>
                <w:szCs w:val="24"/>
                <w:lang w:val="en-US" w:eastAsia="zh-CN"/>
              </w:rPr>
              <w:t>2.对挪用住宅专项维修资金的行为处以警告、没收违法所得、罚款等行政处罚。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3.监督公共收益归集住宅专项维修资金工作。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1.指导、监督业主大会、业主委员会、物业管理委员会依法履行筹集、管理和使用专项维修资金职责。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2.配合做好紧急情况下使用专项维修资金代修住宅共用部位、共用设施设备，出具工程事项相关证明。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7"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城市公共供水监督管理</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1.负责本区城市公共供水监督管理工作。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2.负责指导本区供水企业做好已由供水企业接管的居民小区庭院线运行维护工作。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3.做好由供水单位造成的停水监督工作。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4.负责监督管理本区供水单位水质检测和信息公示工作。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1.监督物业服务人履行供水维护职责。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2.协调有关部门处理解决本辖区停水问题。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0"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供电保障工作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区城市管理委、区住房城乡建设委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1.区城市管理委协调属地电网企业开展现场核查，督促产权单位组织开展电力应急抢修工作，协调属地电网企业提供技术支撑和指导。                                                                                                 2.区住房城乡建设委负责监督管理本区物业服务人和从业人员，指导街道(乡镇）监督物业服务人按照物业服务合同约定履行电力设施运行维护职责。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1.调处物业管理中因用户产权电力设备故障或维修不及时产生的纠纷。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2.针对无产权单位且无物业管理的居民小区，以及企业产权单位发生电力相关设备故障时，协调相关单位提供有偿维修服务。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0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供热采暖管理工作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1.负责全区城镇居民冬季采暖的供热行业管理工作。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2.参与研究制定全区供热行业的发展规划，制定年度工作计划，并协调督促供热单位实施计划。</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3.负责全区居民集中供热单位的备案工作。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4.监督检查供热行业的安全管理和服务工作。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1.配合区城市管理委做好辖区内的供热采暖管理工作。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2.发现设施损坏或存在安全隐患时，及时督促供热单位进行维修或更换。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3.配合做好对供热单位的供热设施实施应急接管工作。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60"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城市照明管理工作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1.区城市管理委根据道路权属负责城市道路、园林道路、河湖道路、公路、桥下通行空间、隧道、地下通道等照明的监督管理。负责本区城市夜景景观照明规划、建设和运行管理。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2.区住房城乡建设委、区水务局、区园林绿化局、区园林绿化服务中心等部门按职责分工落实相关工作。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1.发现有灯不亮、有路无灯问题，向有关部门报告，并配合有关部门对路灯设施进行维修或安装。</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2.对难以推动解决的路灯问题，报送上级管理部门。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3.协调、配合有关部门对路灯设施进行新增或维护。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8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建设和改造公共卫生设施</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开展本辖区内公共卫生设施建设和改造的摸底调研、民情收集等工作。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6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3.区公路分局、区城市管理委负责各自管养的道路、积滞水点、雨水管线、雨水箅子等设施的水毁治理和修复。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30"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产经营监管工作（不含小规模食品生产经营管理）</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17"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4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2.发现无牌照电动三四轮车乱停乱行、违规销售问题，向相关部门报告。</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6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区交通局、区公安分局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9"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据局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开展地区级、社区级数据智慧化应用，提升基层治理智能化。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30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四、社区建设（</w:t>
            </w:r>
            <w:r>
              <w:rPr>
                <w:rStyle w:val="22"/>
                <w:rFonts w:hint="eastAsia" w:ascii="黑体" w:hAnsi="黑体" w:eastAsia="黑体" w:cs="黑体"/>
                <w:color w:val="auto"/>
                <w:sz w:val="24"/>
                <w:szCs w:val="24"/>
                <w:lang w:val="en-US" w:eastAsia="zh-CN"/>
              </w:rPr>
              <w:t>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社区工</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作者队伍建设</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区委社会</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1.按照社区工作者队伍建设的相关政策和文件依据，加强社区工作者队伍统筹管理。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2.根据市级要求，制定社区党组织书记中招录公务员和事业编制人员招聘计划并组织实施。</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1.配备与社区规模和工作需要相适应的社区工作者队伍。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2.推动从优秀城乡社区党组织书记和优秀城乡社区工作者中定向招录公务员和招聘事业编人员。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71"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旅游局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4.根据需要将公共文化设施委托属地乡镇政府（街道办事处）管理和使用，监督检查公共文化设施的使用、管理及维护工作。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1"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3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旅游局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3.组织开展非物质文化遗产展示、宣传、展品征集活动，动员辖区非物质文化遗产传承人申报非物质文化遗产项目。</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1.提出本乡（地区）与毗邻乡镇（街道）行政区划调整的工作建议。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2.配合开展本乡（地区）区域边界的勘定工作。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4.承担本乡（地区）驻地变更申报工作。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30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五、民生保障（</w:t>
            </w:r>
            <w:r>
              <w:rPr>
                <w:rStyle w:val="22"/>
                <w:rFonts w:hint="eastAsia" w:ascii="黑体" w:hAnsi="黑体" w:eastAsia="黑体" w:cs="黑体"/>
                <w:color w:val="auto"/>
                <w:sz w:val="24"/>
                <w:szCs w:val="24"/>
                <w:lang w:val="en-US" w:eastAsia="zh-CN"/>
              </w:rPr>
              <w:t>16</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83"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3.建立投诉反馈机制，上报和处理服务对象及家属反映的问题。</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6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4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文化和旅游局、区科委、区体育局、区人力资源和社会保障局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7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2.针对问题集中的区域或点位提出解决措施，完善并适时调整普惠性幼儿园布局规划。</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37"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区教委、区公安分局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21"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0"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29"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1.协助开展本乡（地区）残疾人居家改造政策宣传、残疾人基础信息补充录入、需求响应汇总等工作。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1.协助做好蔬菜零售、便利店(社区超市)、早餐、洗染、美容美发、家政服务、便民维修、快递末端配送等8项基本便民服务社区全覆盖工作。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13"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6"/>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69"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法律援助工作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区司法局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6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流浪乞讨人员的救助管理工作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区民政局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8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殡葬领域移风易俗工作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区民政局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4.推进移风易俗，开展辖区文明祭扫服务管理相关工作。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2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流动人口及出租房屋的综合管理</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区公安分局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4.根据国家和北京市有关规定，承担出租房屋的治安管理工作。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30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六、平安建设（</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“扫黄打非”工作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区委宣传部、区文化和旅游局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39"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反电信网络诈骗工作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区公安分局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9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打击和防范传销工作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区市场监管局、区公安分局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3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防范和处置非法集资工作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区发展改革委</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4"/>
                <w:szCs w:val="24"/>
                <w:lang w:val="en-US" w:eastAsia="zh-CN"/>
              </w:rPr>
            </w:pPr>
            <w:r>
              <w:rPr>
                <w:rFonts w:hint="default" w:ascii="黑体" w:hAnsi="宋体" w:eastAsia="黑体" w:cs="黑体"/>
                <w:snapToGrid w:val="0"/>
                <w:color w:val="000000"/>
                <w:kern w:val="0"/>
                <w:sz w:val="24"/>
                <w:szCs w:val="24"/>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sz w:val="24"/>
                <w:szCs w:val="24"/>
                <w:lang w:val="en-US" w:eastAsia="zh-CN"/>
              </w:rPr>
            </w:pPr>
            <w:r>
              <w:rPr>
                <w:rFonts w:hint="default" w:ascii="黑体" w:hAnsi="宋体" w:eastAsia="黑体" w:cs="黑体"/>
                <w:snapToGrid w:val="0"/>
                <w:color w:val="000000"/>
                <w:kern w:val="0"/>
                <w:sz w:val="24"/>
                <w:szCs w:val="24"/>
                <w:lang w:val="en-US" w:eastAsia="zh-CN" w:bidi="ar"/>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sz w:val="24"/>
                <w:szCs w:val="24"/>
                <w:lang w:val="en-US" w:eastAsia="zh-CN"/>
              </w:rPr>
            </w:pPr>
            <w:r>
              <w:rPr>
                <w:rFonts w:hint="default" w:ascii="黑体" w:hAnsi="宋体" w:eastAsia="黑体" w:cs="黑体"/>
                <w:snapToGrid w:val="0"/>
                <w:color w:val="000000"/>
                <w:kern w:val="0"/>
                <w:sz w:val="24"/>
                <w:szCs w:val="24"/>
                <w:lang w:val="en-US" w:eastAsia="zh-CN" w:bidi="ar"/>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sz w:val="24"/>
                <w:szCs w:val="24"/>
                <w:lang w:val="en-US" w:eastAsia="zh-CN"/>
              </w:rPr>
            </w:pPr>
            <w:r>
              <w:rPr>
                <w:rFonts w:hint="default" w:ascii="黑体" w:hAnsi="宋体" w:eastAsia="黑体" w:cs="黑体"/>
                <w:snapToGrid w:val="0"/>
                <w:color w:val="000000"/>
                <w:kern w:val="0"/>
                <w:sz w:val="24"/>
                <w:szCs w:val="24"/>
                <w:lang w:val="en-US" w:eastAsia="zh-CN" w:bidi="ar"/>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sz w:val="24"/>
                <w:szCs w:val="24"/>
                <w:lang w:val="en-US" w:eastAsia="zh-CN"/>
              </w:rPr>
            </w:pPr>
            <w:r>
              <w:rPr>
                <w:rFonts w:hint="default" w:ascii="黑体" w:hAnsi="宋体" w:eastAsia="黑体" w:cs="黑体"/>
                <w:snapToGrid w:val="0"/>
                <w:color w:val="000000"/>
                <w:kern w:val="0"/>
                <w:sz w:val="24"/>
                <w:szCs w:val="24"/>
                <w:lang w:val="en-US" w:eastAsia="zh-CN" w:bidi="ar"/>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17"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56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区应急局等</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自然灾害核查评估和救助工作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区应急局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1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58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配合开展灭火救援等工作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支队</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开展禁限燃放烟花爆竹工作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区公安分局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30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七、社区建设（</w:t>
            </w:r>
            <w:r>
              <w:rPr>
                <w:rStyle w:val="22"/>
                <w:rFonts w:hint="eastAsia" w:ascii="黑体" w:hAnsi="黑体" w:eastAsia="黑体" w:cs="黑体"/>
                <w:color w:val="auto"/>
                <w:sz w:val="24"/>
                <w:szCs w:val="24"/>
                <w:lang w:val="en-US" w:eastAsia="zh-CN"/>
              </w:rPr>
              <w:t>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7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饲养动物强制免疫监督检查工作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区农业农村局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1.贯彻执行动物疫病预防控制规划、标准规范并组织实施。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22"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生猪屠宰监督管理工作</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区农业农村局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重大动物疫情应急处理</w:t>
            </w:r>
          </w:p>
        </w:tc>
        <w:tc>
          <w:tcPr>
            <w:tcW w:w="1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区农业农村局</w:t>
            </w:r>
          </w:p>
        </w:tc>
        <w:tc>
          <w:tcPr>
            <w:tcW w:w="6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4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2.指导居民委员会配合做好本辖区内的动物防疫工作，向居民宣传动物疫病防治的相关知识，督促和引导居民依法履行动物防疫义务。</w:t>
            </w:r>
          </w:p>
        </w:tc>
      </w:tr>
    </w:tbl>
    <w:p>
      <w:pPr>
        <w:pStyle w:val="4"/>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6767295"/>
      <w:bookmarkStart w:id="11" w:name="_Toc172077553"/>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8"/>
      <w:bookmarkEnd w:id="9"/>
      <w:bookmarkEnd w:id="10"/>
      <w:bookmarkEnd w:id="11"/>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52项</w:t>
      </w:r>
      <w:r>
        <w:rPr>
          <w:rFonts w:hint="eastAsia" w:ascii="方正小标宋简体" w:hAnsi="方正小标宋简体" w:eastAsia="方正小标宋简体" w:cs="方正小标宋简体"/>
          <w:b w:val="0"/>
          <w:lang w:eastAsia="zh-CN"/>
        </w:rPr>
        <w:t>）</w:t>
      </w:r>
    </w:p>
    <w:tbl>
      <w:tblPr>
        <w:tblStyle w:val="12"/>
        <w:tblW w:w="13746"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4819"/>
        <w:gridCol w:w="8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1374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5"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对服装干洗和机动车维修等项目，未设置异味和废气处理装置等污染防治设施并保持正常使用的行为进行处罚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承接部门：区生态环境局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83"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对加工、维修、餐饮、娱乐、健身、超市及其他商业服务业经营者未采取有效措施，生产经营活动产生噪声干扰周围生活环境，且拒不改正的行为进行处罚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承接部门：区生态环境局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83"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公益林管护</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承接部门：区园林绿化局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3"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黑体" w:hAnsi="黑体" w:eastAsia="黑体" w:cs="黑体"/>
                <w:sz w:val="24"/>
                <w:szCs w:val="24"/>
                <w:lang w:val="en-US" w:eastAsia="zh-CN"/>
              </w:rPr>
            </w:pPr>
            <w:r>
              <w:rPr>
                <w:rFonts w:hint="eastAsia" w:ascii="仿宋_GB2312" w:hAnsi="仿宋_GB2312" w:eastAsia="仿宋_GB2312" w:cs="仿宋_GB2312"/>
                <w:sz w:val="24"/>
                <w:szCs w:val="24"/>
                <w:lang w:val="en-US" w:eastAsia="zh-CN"/>
              </w:rPr>
              <w:t>4</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开展林业有害生物监测、检疫和防治</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承接部门：区园林绿化局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 w:hRule="atLeast"/>
        </w:trPr>
        <w:tc>
          <w:tcPr>
            <w:tcW w:w="1374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val="en-US" w:eastAsia="zh-CN"/>
              </w:rPr>
              <w:t>二</w:t>
            </w:r>
            <w:r>
              <w:rPr>
                <w:rStyle w:val="22"/>
                <w:rFonts w:hint="eastAsia" w:ascii="黑体" w:hAnsi="黑体" w:eastAsia="黑体" w:cs="黑体"/>
                <w:color w:val="auto"/>
                <w:sz w:val="24"/>
                <w:szCs w:val="24"/>
                <w:lang w:eastAsia="zh-CN"/>
              </w:rPr>
              <w:t>、</w:t>
            </w:r>
            <w:r>
              <w:rPr>
                <w:rStyle w:val="22"/>
                <w:rFonts w:hint="eastAsia" w:ascii="黑体" w:hAnsi="黑体" w:eastAsia="黑体" w:cs="黑体"/>
                <w:color w:val="auto"/>
                <w:sz w:val="24"/>
                <w:szCs w:val="24"/>
                <w:lang w:val="en-US" w:eastAsia="zh-CN"/>
              </w:rPr>
              <w:t>城市管理</w:t>
            </w:r>
            <w:r>
              <w:rPr>
                <w:rStyle w:val="22"/>
                <w:rFonts w:hint="eastAsia" w:ascii="黑体" w:hAnsi="黑体" w:eastAsia="黑体" w:cs="黑体"/>
                <w:color w:val="auto"/>
                <w:sz w:val="24"/>
                <w:szCs w:val="24"/>
                <w:lang w:eastAsia="zh-CN"/>
              </w:rPr>
              <w:t>（</w:t>
            </w:r>
            <w:r>
              <w:rPr>
                <w:rStyle w:val="22"/>
                <w:rFonts w:hint="eastAsia" w:ascii="黑体" w:hAnsi="黑体" w:eastAsia="黑体" w:cs="黑体"/>
                <w:color w:val="auto"/>
                <w:sz w:val="24"/>
                <w:szCs w:val="24"/>
                <w:lang w:val="en-US" w:eastAsia="zh-CN"/>
              </w:rPr>
              <w:t>17</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3"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土地征收、征用</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8"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储备国有土地上的环境卫生整治</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承接部门：区规自分局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房屋安全评估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承接部门：区住房城乡建设委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5"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开展农村住房安全鉴定评定工作</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承接部门：区住房城乡建设委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7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自建房安全等级鉴定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承接部门：区住房城乡建设委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49"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对履带车、铁轮车或者超重、超高、超长车辆擅自在城市道路上行驶的行为进行处罚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7"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对在桥梁上架设压力在4公斤/平方厘米（0.4兆帕）以上的煤气管道、10千伏以上的高压电线和其他易燃易爆管线的行为进行处罚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68"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对擅自依附城市道路、桥梁设置各种管线、杆线等设施的行为进行处罚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9"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对任何单位和个人实施污损、张贴广告、擅自架设线缆、拆除或挖坑取土、倾倒腐蚀性物质等影响城市照明设施正常运行的行为进行处罚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对任何单位在城市景观照明中有过度照明等超能耗标准且逾期不改正的行为进行处罚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01"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对建筑垃圾储运消纳场受纳工业垃圾、生活垃圾和有毒有害垃圾的行为进行处罚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4"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5"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对在河道、湖泊管理范围内建设妨碍行洪的建筑物、构筑物，或者从事影响河势稳定、危害河岸堤防安全和其他妨碍河道行洪的活动的行为进行处罚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77"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对生活垃圾集中转运、处理设施排放未达标的行为进行处罚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5"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对生活垃圾集中转运、处理设施的运行管理单位未落实生活垃圾处理台账制度、建筑垃圾消纳场所未按照消纳处置协议的约定接收符合分类标准的建筑垃圾的行为进行处罚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3"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对生活垃圾集中转运、处理设施的运行管理单位未按规定接收、分类处理生活垃圾的行为进行处罚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3"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3"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对擅自关闭、闲置或者拆除生活垃圾处置设施、场所的行为进行处罚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9"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对码头、矿山、填埋场和消纳场未采取有效措施防治扬尘污染的行为进行处罚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承接部门：区城管执法局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 w:hRule="atLeast"/>
        </w:trPr>
        <w:tc>
          <w:tcPr>
            <w:tcW w:w="1374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1"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就业帮扶培训</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承接部门：区人力资源和社会保障局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1"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创业实体信息及就业务工信息统计</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承接部门：区人力资源和社会保障局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对城乡居民基本医疗保险参保扩面指标的考核</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80"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对违规领取80岁以上高龄津贴的追缴</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承接部门：区民政局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5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对辖区内托育机构的监督管理</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承接部门：区卫生健康委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对新生儿在医疗保健机构以外地点死亡的核查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承接部门：区卫生健康委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9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开展计划生育纪念日、会员日服务活动</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承接部门：区卫生健康委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8"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免费向已婚育龄夫妻提供避孕药具</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承接部门：区卫生健康委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对场所的经营者、管理者未建立禁止吸烟管理制度，做好宣传教育工作且拒不改正的行为进行行政处罚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承接部门：区卫生健康委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对场所的经营者、管理者未在禁止吸烟场所设置明显的禁止吸烟标志和举报投诉电话号码标识且拒不改正的行为进行行政处罚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承接部门：区卫生健康委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对场所的经营者、管理者在禁止吸烟场所提供烟具和附有烟草广告的物品且拒不改正的行为进行行政处罚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承接部门：区卫生健康委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5"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对场所的经营者、管理者未开展禁止吸烟检查工作，制作并留存禁止吸烟检查工作相关记录且拒不改正的行为进行行政处罚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承接部门：区卫生健康委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0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对场所的经营者、管理者在禁止吸烟场所内的吸烟者未予以劝阻，对不听劝阻的吸烟者未要求其离开，对不听劝阻且不离开的吸烟者未向卫生健康部门投诉举报的行为进行行政处罚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承接部门：区卫生健康委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51"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对在禁止吸烟场所或者排队等候队伍中个人吸烟的行为进行行政处罚</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承接部门：区卫生健康委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374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开展摩托车、人力三轮车、残疾人机动轮椅及装配动力装置的无牌无证车辆管理整治工作</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承接部门：区公安分局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出具法律援助经济状况证明</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承接部门：区司法局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对生产经营单位消除重大事故隐患的监督检查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对生产经营单位提取、使用和管理安全费用情况的监督检查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开展加油站危险化学品、设备设施安全检查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对烟花爆竹经营企业的监督检查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对非药品类易制毒化学品生产、经营的监督检查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对存在重大危险源的危险化学品单位的监督检查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对安全生产评价、检验、检测机构的监督检查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对粉尘涉爆企业实施安全监督管理</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54"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对非煤矿山企业、尾矿库日常安全生产监督检查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 w:hAnsi="仿宋" w:eastAsia="仿宋" w:cs="仿宋"/>
                <w:i w:val="0"/>
                <w:iCs w:val="0"/>
                <w:snapToGrid w:val="0"/>
                <w:color w:val="000000"/>
                <w:kern w:val="0"/>
                <w:sz w:val="24"/>
                <w:szCs w:val="24"/>
                <w:u w:val="none"/>
                <w:lang w:val="en-US" w:eastAsia="zh-CN" w:bidi="ar"/>
              </w:rPr>
            </w:pPr>
            <w:r>
              <w:rPr>
                <w:rFonts w:hint="eastAsia" w:ascii="黑体" w:hAnsi="黑体" w:eastAsia="黑体" w:cs="黑体"/>
                <w:sz w:val="24"/>
                <w:szCs w:val="24"/>
                <w:lang w:eastAsia="zh-CN"/>
              </w:rPr>
              <w:t>事项名称</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 w:hAnsi="仿宋" w:eastAsia="仿宋" w:cs="仿宋"/>
                <w:i w:val="0"/>
                <w:iCs w:val="0"/>
                <w:snapToGrid w:val="0"/>
                <w:color w:val="000000"/>
                <w:kern w:val="0"/>
                <w:sz w:val="24"/>
                <w:szCs w:val="24"/>
                <w:u w:val="none"/>
                <w:lang w:val="en-US" w:eastAsia="zh-CN" w:bidi="ar"/>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对非煤矿山外包工程安全生产的监督检查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对地质勘探单位安全生产情况的监督检查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对小型露天采石场安全生产情况、事故隐患排查情况的监督检查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承接部门：区应急局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建立微型消防站</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承接部门：区消防救援支队</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特种设备安全监督检查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承接部门：区市场监管局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2"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4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电梯安全监督检查</w:t>
            </w:r>
          </w:p>
        </w:tc>
        <w:tc>
          <w:tcPr>
            <w:tcW w:w="8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承接部门：区市场监管局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承接方式：区市场监管局负责电梯安全监督检查</w:t>
            </w:r>
          </w:p>
        </w:tc>
      </w:tr>
    </w:tbl>
    <w:p>
      <w:pPr>
        <w:pStyle w:val="2"/>
        <w:ind w:left="0" w:leftChars="0" w:firstLine="0" w:firstLineChars="0"/>
        <w:rPr>
          <w:rFonts w:hint="eastAsia"/>
          <w:lang w:eastAsia="zh-CN"/>
        </w:rPr>
      </w:pPr>
    </w:p>
    <w:sectPr>
      <w:footerReference r:id="rId3" w:type="default"/>
      <w:type w:val="continuous"/>
      <w:pgSz w:w="16837" w:h="11905" w:orient="landscape"/>
      <w:pgMar w:top="2098" w:right="1474" w:bottom="1984" w:left="1587" w:header="851" w:footer="907"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方正公文仿宋">
    <w:altName w:val="文泉驿微米黑"/>
    <w:panose1 w:val="02000000000000000000"/>
    <w:charset w:val="86"/>
    <w:family w:val="auto"/>
    <w:pitch w:val="default"/>
    <w:sig w:usb0="00000000" w:usb1="00000000" w:usb2="0000001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方正仿宋简体">
    <w:altName w:val="文泉驿微米黑"/>
    <w:panose1 w:val="00000000000000000000"/>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rect id="矩形 4"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l1uVLQAAAABQEAAA8AAAAAAAAAAQAgAAAAOAAAAGRycy9kb3ducmV2LnhtbFBLAQIUABQAAAAI&#10;AIdO4kBx/nvgpgEAAEEDAAAOAAAAAAAAAAEAIAAAADUBAABkcnMvZTJvRG9jLnhtbFBLBQYAAAAA&#10;BgAGAFkBAABNBQAAAAA=&#10;">
              <v:fill on="f" focussize="0,0"/>
              <v:stroke on="f"/>
              <v:imagedata o:title=""/>
              <o:lock v:ext="edit" aspectratio="f"/>
              <v:textbox inset="0mm,0mm,0mm,0mm" style="mso-fit-shape-to-text:t;">
                <w:txbxContent>
                  <w:p>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C117E"/>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16655D"/>
    <w:rsid w:val="025233A6"/>
    <w:rsid w:val="027C3382"/>
    <w:rsid w:val="07950B26"/>
    <w:rsid w:val="07A56C00"/>
    <w:rsid w:val="084E6996"/>
    <w:rsid w:val="08826A99"/>
    <w:rsid w:val="091A6682"/>
    <w:rsid w:val="09291A9A"/>
    <w:rsid w:val="099948FD"/>
    <w:rsid w:val="0BF24799"/>
    <w:rsid w:val="0EC50086"/>
    <w:rsid w:val="10E42EAD"/>
    <w:rsid w:val="11A16736"/>
    <w:rsid w:val="1319656E"/>
    <w:rsid w:val="13FD3CDB"/>
    <w:rsid w:val="153F62C1"/>
    <w:rsid w:val="17BF2EF7"/>
    <w:rsid w:val="1A357F21"/>
    <w:rsid w:val="1BE80859"/>
    <w:rsid w:val="1C2D46B1"/>
    <w:rsid w:val="1F3560AF"/>
    <w:rsid w:val="201E1BAA"/>
    <w:rsid w:val="207A1CA4"/>
    <w:rsid w:val="268E6F67"/>
    <w:rsid w:val="27F31225"/>
    <w:rsid w:val="2B306D45"/>
    <w:rsid w:val="2B5046F5"/>
    <w:rsid w:val="2B974EC5"/>
    <w:rsid w:val="2BE80234"/>
    <w:rsid w:val="2C2220D9"/>
    <w:rsid w:val="2CC10283"/>
    <w:rsid w:val="2CCD2A80"/>
    <w:rsid w:val="2DDA2821"/>
    <w:rsid w:val="2FD03A1F"/>
    <w:rsid w:val="30741F4D"/>
    <w:rsid w:val="33CD3688"/>
    <w:rsid w:val="33E764F4"/>
    <w:rsid w:val="352D028F"/>
    <w:rsid w:val="370B4C04"/>
    <w:rsid w:val="37E908F4"/>
    <w:rsid w:val="394A2C6F"/>
    <w:rsid w:val="3A2764B4"/>
    <w:rsid w:val="3B404329"/>
    <w:rsid w:val="3DFA7CE9"/>
    <w:rsid w:val="411C488A"/>
    <w:rsid w:val="41E41EB2"/>
    <w:rsid w:val="42064530"/>
    <w:rsid w:val="439357D6"/>
    <w:rsid w:val="43EE6FC9"/>
    <w:rsid w:val="44CE0BF8"/>
    <w:rsid w:val="451F480B"/>
    <w:rsid w:val="46BD596D"/>
    <w:rsid w:val="47D50D03"/>
    <w:rsid w:val="49D54413"/>
    <w:rsid w:val="4C804BA4"/>
    <w:rsid w:val="4CB34184"/>
    <w:rsid w:val="4D5B565A"/>
    <w:rsid w:val="50074ED7"/>
    <w:rsid w:val="514C2783"/>
    <w:rsid w:val="54615412"/>
    <w:rsid w:val="57212DD4"/>
    <w:rsid w:val="57C02622"/>
    <w:rsid w:val="59C04B5B"/>
    <w:rsid w:val="59EC2A4B"/>
    <w:rsid w:val="5A137503"/>
    <w:rsid w:val="5B197899"/>
    <w:rsid w:val="5B346932"/>
    <w:rsid w:val="5BFFF58E"/>
    <w:rsid w:val="5C0748B8"/>
    <w:rsid w:val="5EDC02E9"/>
    <w:rsid w:val="5FCD4898"/>
    <w:rsid w:val="5FEC67BE"/>
    <w:rsid w:val="62EF05ED"/>
    <w:rsid w:val="6384309D"/>
    <w:rsid w:val="63FC082E"/>
    <w:rsid w:val="67FF7C71"/>
    <w:rsid w:val="68AA2A6C"/>
    <w:rsid w:val="6C01334E"/>
    <w:rsid w:val="6D930CEF"/>
    <w:rsid w:val="6F0926A9"/>
    <w:rsid w:val="6F5729F9"/>
    <w:rsid w:val="713A6F45"/>
    <w:rsid w:val="72225F5B"/>
    <w:rsid w:val="724E0E91"/>
    <w:rsid w:val="737C30F6"/>
    <w:rsid w:val="760F7468"/>
    <w:rsid w:val="779FD085"/>
    <w:rsid w:val="77FF2F41"/>
    <w:rsid w:val="792213CF"/>
    <w:rsid w:val="79263AA2"/>
    <w:rsid w:val="796C7B8A"/>
    <w:rsid w:val="7B5479AB"/>
    <w:rsid w:val="DFBFC4C2"/>
    <w:rsid w:val="EEEB8E55"/>
    <w:rsid w:val="F6F5C851"/>
    <w:rsid w:val="F77F53ED"/>
    <w:rsid w:val="FB17C831"/>
    <w:rsid w:val="FE747BB0"/>
    <w:rsid w:val="FFABC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26643</Words>
  <Characters>27273</Characters>
  <Lines>1</Lines>
  <Paragraphs>1</Paragraphs>
  <TotalTime>4</TotalTime>
  <ScaleCrop>false</ScaleCrop>
  <LinksUpToDate>false</LinksUpToDate>
  <CharactersWithSpaces>27383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2024-07-17T20:59:00Z</dcterms:created>
  <dc:creator>liuhl</dc:creator>
  <cp:lastModifiedBy>其然</cp:lastModifiedBy>
  <cp:lastPrinted>2025-05-23T03:48:00Z</cp:lastPrinted>
  <dcterms:modified xsi:type="dcterms:W3CDTF">2025-06-27T11:59:28Z</dcterms:modified>
  <dc:title>中共北京市密云区委办公室文件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KSOTemplateDocerSaveRecord">
    <vt:lpwstr>eyJoZGlkIjoiMDhkYWY0MzhmMTI5NTk2YzhhZmE2YjcxNDYwMzFkOWIiLCJ1c2VySWQiOiI0MjM3NzUyNDQifQ==</vt:lpwstr>
  </property>
  <property fmtid="{D5CDD505-2E9C-101B-9397-08002B2CF9AE}" pid="4" name="ICV">
    <vt:lpwstr>C7A5240480884BF2962C55D61C7CF5E7_12</vt:lpwstr>
  </property>
</Properties>
</file>