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黑体" w:hAnsi="黑体" w:eastAsia="黑体"/>
          <w:b/>
          <w:sz w:val="44"/>
          <w:szCs w:val="48"/>
        </w:rPr>
      </w:pPr>
      <w:bookmarkStart w:id="2" w:name="_GoBack"/>
      <w:bookmarkEnd w:id="2"/>
      <w:r>
        <w:rPr>
          <w:rFonts w:ascii="黑体" w:hAnsi="黑体" w:eastAsia="黑体"/>
          <w:b/>
          <w:sz w:val="44"/>
          <w:szCs w:val="48"/>
        </w:rPr>
        <w:t>关于《北京市</w:t>
      </w:r>
      <w:r>
        <w:rPr>
          <w:rFonts w:hint="eastAsia" w:ascii="黑体" w:hAnsi="黑体" w:eastAsia="黑体" w:cs="宋体"/>
          <w:b/>
          <w:sz w:val="44"/>
          <w:szCs w:val="48"/>
        </w:rPr>
        <w:t>密云</w:t>
      </w:r>
      <w:r>
        <w:rPr>
          <w:rFonts w:hint="eastAsia" w:ascii="黑体" w:hAnsi="黑体" w:eastAsia="黑体"/>
          <w:b/>
          <w:sz w:val="44"/>
          <w:szCs w:val="48"/>
        </w:rPr>
        <w:t>区</w:t>
      </w:r>
      <w:r>
        <w:rPr>
          <w:rFonts w:ascii="黑体" w:hAnsi="黑体" w:eastAsia="黑体"/>
          <w:b/>
          <w:sz w:val="44"/>
          <w:szCs w:val="48"/>
        </w:rPr>
        <w:t>应急避难场所专项规划</w:t>
      </w:r>
    </w:p>
    <w:p>
      <w:pPr>
        <w:pStyle w:val="4"/>
        <w:jc w:val="center"/>
        <w:rPr>
          <w:rFonts w:ascii="黑体" w:hAnsi="黑体" w:eastAsia="黑体"/>
          <w:b/>
          <w:sz w:val="44"/>
          <w:szCs w:val="48"/>
        </w:rPr>
      </w:pPr>
      <w:r>
        <w:rPr>
          <w:rFonts w:ascii="黑体" w:hAnsi="黑体" w:eastAsia="黑体"/>
          <w:b/>
          <w:sz w:val="44"/>
          <w:szCs w:val="48"/>
        </w:rPr>
        <w:t>（202</w:t>
      </w:r>
      <w:r>
        <w:rPr>
          <w:rFonts w:hint="eastAsia" w:ascii="黑体" w:hAnsi="黑体" w:eastAsia="黑体"/>
          <w:b/>
          <w:sz w:val="44"/>
          <w:szCs w:val="48"/>
        </w:rPr>
        <w:t>4</w:t>
      </w:r>
      <w:r>
        <w:rPr>
          <w:rFonts w:ascii="黑体" w:hAnsi="黑体" w:eastAsia="黑体"/>
          <w:b/>
          <w:sz w:val="44"/>
          <w:szCs w:val="48"/>
        </w:rPr>
        <w:t>年—2035年）》（征求意见稿）的</w:t>
      </w:r>
    </w:p>
    <w:p>
      <w:pPr>
        <w:pStyle w:val="4"/>
        <w:jc w:val="center"/>
        <w:rPr>
          <w:rFonts w:ascii="黑体" w:hAnsi="黑体" w:eastAsia="黑体"/>
          <w:b/>
          <w:sz w:val="44"/>
          <w:szCs w:val="48"/>
        </w:rPr>
      </w:pPr>
      <w:r>
        <w:rPr>
          <w:rFonts w:ascii="黑体" w:hAnsi="黑体" w:eastAsia="黑体"/>
          <w:b/>
          <w:sz w:val="44"/>
          <w:szCs w:val="48"/>
        </w:rPr>
        <w:t>编制说明</w:t>
      </w:r>
    </w:p>
    <w:p>
      <w:pPr>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为深入贯彻习近平总书记关于应急管理的重要论述和对北京重要讲话精神，落实《北京城市总体规划（2016年—2035年）》批复要求，严格遵循《北京市应急避难场所规划（2022年—2035年）》（以下简称“</w:t>
      </w:r>
      <w:bookmarkStart w:id="0" w:name="_Hlk177756106"/>
      <w:r>
        <w:rPr>
          <w:rFonts w:ascii="Times New Roman" w:hAnsi="Times New Roman" w:eastAsia="仿宋_GB2312" w:cs="Times New Roman"/>
          <w:sz w:val="32"/>
          <w:szCs w:val="32"/>
        </w:rPr>
        <w:t>市级规划</w:t>
      </w:r>
      <w:bookmarkEnd w:id="0"/>
      <w:r>
        <w:rPr>
          <w:rFonts w:ascii="Times New Roman" w:hAnsi="Times New Roman" w:eastAsia="仿宋_GB2312" w:cs="Times New Roman"/>
          <w:sz w:val="32"/>
          <w:szCs w:val="32"/>
        </w:rPr>
        <w:t>”）具体指导和总体目标，依据《应急避难场所专项规划编制指南》规范要求，2024年9月，</w:t>
      </w:r>
      <w:r>
        <w:rPr>
          <w:rFonts w:hint="eastAsia" w:ascii="仿宋" w:hAnsi="仿宋" w:eastAsia="仿宋" w:cs="Times New Roman"/>
          <w:sz w:val="32"/>
          <w:szCs w:val="32"/>
        </w:rPr>
        <w:t>密云</w:t>
      </w:r>
      <w:r>
        <w:rPr>
          <w:rFonts w:ascii="仿宋" w:hAnsi="仿宋" w:eastAsia="仿宋" w:cs="Times New Roman"/>
          <w:sz w:val="32"/>
          <w:szCs w:val="32"/>
        </w:rPr>
        <w:t>区</w:t>
      </w:r>
      <w:r>
        <w:rPr>
          <w:rFonts w:ascii="Times New Roman" w:hAnsi="Times New Roman" w:eastAsia="仿宋_GB2312" w:cs="Times New Roman"/>
          <w:sz w:val="32"/>
          <w:szCs w:val="32"/>
        </w:rPr>
        <w:t>应急管理局</w:t>
      </w:r>
      <w:r>
        <w:rPr>
          <w:rFonts w:hint="eastAsia" w:ascii="Times New Roman" w:hAnsi="Times New Roman" w:eastAsia="仿宋_GB2312" w:cs="Times New Roman"/>
          <w:sz w:val="32"/>
          <w:szCs w:val="32"/>
        </w:rPr>
        <w:t>牵头</w:t>
      </w:r>
      <w:r>
        <w:rPr>
          <w:rFonts w:ascii="Times New Roman" w:hAnsi="Times New Roman" w:eastAsia="仿宋_GB2312" w:cs="Times New Roman"/>
          <w:sz w:val="32"/>
          <w:szCs w:val="32"/>
        </w:rPr>
        <w:t>开展此项工作，并形成了《北京市</w:t>
      </w:r>
      <w:r>
        <w:rPr>
          <w:rFonts w:hint="eastAsia" w:ascii="Times New Roman" w:hAnsi="Times New Roman" w:eastAsia="仿宋_GB2312" w:cs="Times New Roman"/>
          <w:sz w:val="32"/>
          <w:szCs w:val="32"/>
        </w:rPr>
        <w:t>密云区</w:t>
      </w:r>
      <w:r>
        <w:rPr>
          <w:rFonts w:ascii="Times New Roman" w:hAnsi="Times New Roman" w:eastAsia="仿宋_GB2312" w:cs="Times New Roman"/>
          <w:sz w:val="32"/>
          <w:szCs w:val="32"/>
        </w:rPr>
        <w:t>应急避难场所专项规划（202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年—2035年）》征求意见稿（以下简称《规划》）。现将编制情况说明如下：</w:t>
      </w:r>
    </w:p>
    <w:p>
      <w:pPr>
        <w:pStyle w:val="2"/>
        <w:spacing w:line="560" w:lineRule="exact"/>
        <w:ind w:firstLine="640"/>
        <w:jc w:val="both"/>
        <w:rPr>
          <w:rFonts w:ascii="Times New Roman" w:hAnsi="Times New Roman" w:cs="Times New Roman"/>
          <w:b w:val="0"/>
          <w:bCs w:val="0"/>
        </w:rPr>
      </w:pPr>
      <w:r>
        <w:rPr>
          <w:rFonts w:ascii="Times New Roman" w:hAnsi="Times New Roman" w:cs="Times New Roman"/>
          <w:b w:val="0"/>
          <w:bCs w:val="0"/>
        </w:rPr>
        <w:t>一、项目背景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《规划》属于北京市国土空间规划“三级三类四体系”总体框架中的区级专项规划类型，</w:t>
      </w:r>
      <w:r>
        <w:rPr>
          <w:rFonts w:hint="eastAsia" w:ascii="Times New Roman" w:hAnsi="Times New Roman" w:eastAsia="仿宋_GB2312" w:cs="Times New Roman"/>
          <w:sz w:val="32"/>
          <w:szCs w:val="32"/>
        </w:rPr>
        <w:t>是指导全区各相关单位开展应急避难场所建设管理工作的主要依据。</w:t>
      </w:r>
    </w:p>
    <w:p>
      <w:pPr>
        <w:pStyle w:val="2"/>
        <w:spacing w:line="560" w:lineRule="exact"/>
        <w:ind w:firstLine="640"/>
        <w:jc w:val="both"/>
        <w:rPr>
          <w:rFonts w:ascii="Times New Roman" w:hAnsi="Times New Roman" w:cs="Times New Roman"/>
          <w:b w:val="0"/>
          <w:bCs w:val="0"/>
        </w:rPr>
      </w:pPr>
      <w:r>
        <w:rPr>
          <w:rFonts w:ascii="Times New Roman" w:hAnsi="Times New Roman" w:cs="Times New Roman"/>
          <w:b w:val="0"/>
          <w:bCs w:val="0"/>
        </w:rPr>
        <w:t>二、规划目标</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坚持“两个至上”理念，落实总体规划要求，遵循发展规划、国土空间总体规划等，建立城乡布局合理、资源统筹共享、功能设施完备、平急（疫/战）综合利用、统筹</w:t>
      </w:r>
      <w:r>
        <w:rPr>
          <w:rFonts w:ascii="仿宋" w:hAnsi="仿宋" w:eastAsia="仿宋" w:cs="微软雅黑"/>
          <w:sz w:val="32"/>
          <w:szCs w:val="32"/>
        </w:rPr>
        <w:t>山水融合、</w:t>
      </w:r>
      <w:r>
        <w:rPr>
          <w:rFonts w:hint="eastAsia" w:ascii="仿宋" w:hAnsi="仿宋" w:eastAsia="仿宋" w:cs="Times New Roman"/>
          <w:sz w:val="32"/>
          <w:szCs w:val="32"/>
        </w:rPr>
        <w:t>网格</w:t>
      </w:r>
      <w:r>
        <w:rPr>
          <w:rFonts w:ascii="仿宋" w:hAnsi="仿宋" w:eastAsia="仿宋" w:cs="Times New Roman"/>
          <w:sz w:val="32"/>
          <w:szCs w:val="32"/>
        </w:rPr>
        <w:t>布局合理</w:t>
      </w:r>
      <w:r>
        <w:rPr>
          <w:rFonts w:hint="eastAsia" w:ascii="仿宋" w:hAnsi="仿宋" w:eastAsia="仿宋" w:cs="Times New Roman"/>
          <w:sz w:val="32"/>
          <w:szCs w:val="32"/>
        </w:rPr>
        <w:t>、</w:t>
      </w:r>
      <w:r>
        <w:rPr>
          <w:rFonts w:ascii="仿宋" w:hAnsi="仿宋" w:eastAsia="仿宋" w:cs="Times New Roman"/>
          <w:sz w:val="32"/>
          <w:szCs w:val="32"/>
        </w:rPr>
        <w:t>适老设计，与北京市</w:t>
      </w:r>
      <w:r>
        <w:rPr>
          <w:rFonts w:hint="eastAsia" w:ascii="仿宋" w:hAnsi="仿宋" w:eastAsia="仿宋" w:cs="Times New Roman"/>
          <w:sz w:val="32"/>
          <w:szCs w:val="32"/>
        </w:rPr>
        <w:t>密云区</w:t>
      </w:r>
      <w:r>
        <w:rPr>
          <w:rFonts w:ascii="仿宋" w:hAnsi="仿宋" w:eastAsia="仿宋" w:cs="Times New Roman"/>
          <w:sz w:val="32"/>
          <w:szCs w:val="32"/>
        </w:rPr>
        <w:t>定位相适应的应急避难场所体系。至2035年人均应急避难场所面积达到2.1平方米。</w:t>
      </w:r>
    </w:p>
    <w:p>
      <w:pPr>
        <w:pStyle w:val="2"/>
        <w:spacing w:line="560" w:lineRule="exact"/>
        <w:ind w:firstLine="640"/>
        <w:jc w:val="both"/>
        <w:rPr>
          <w:rFonts w:ascii="Times New Roman" w:hAnsi="Times New Roman" w:cs="Times New Roman"/>
          <w:b w:val="0"/>
          <w:bCs w:val="0"/>
        </w:rPr>
      </w:pPr>
      <w:r>
        <w:rPr>
          <w:rFonts w:ascii="Times New Roman" w:hAnsi="Times New Roman" w:cs="Times New Roman"/>
          <w:b w:val="0"/>
          <w:bCs w:val="0"/>
        </w:rPr>
        <w:t>三、规划起草过程</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坚持开门编规划，充分发挥技术团队、专家学者、相关委办局等多主体作用。2024年12月初形成初步成果，并分别征求</w:t>
      </w:r>
      <w:r>
        <w:rPr>
          <w:rFonts w:hint="eastAsia" w:ascii="仿宋" w:hAnsi="仿宋" w:eastAsia="仿宋" w:cs="Times New Roman"/>
          <w:sz w:val="32"/>
          <w:szCs w:val="32"/>
        </w:rPr>
        <w:t>密云区</w:t>
      </w:r>
      <w:r>
        <w:rPr>
          <w:rFonts w:ascii="仿宋" w:hAnsi="仿宋" w:eastAsia="仿宋" w:cs="Times New Roman"/>
          <w:sz w:val="32"/>
          <w:szCs w:val="32"/>
        </w:rPr>
        <w:t>各委办局单位</w:t>
      </w:r>
      <w:r>
        <w:rPr>
          <w:rFonts w:hint="eastAsia" w:ascii="仿宋" w:hAnsi="仿宋" w:eastAsia="仿宋" w:cs="Calibri"/>
          <w:sz w:val="32"/>
          <w:szCs w:val="32"/>
        </w:rPr>
        <w:t>以及各乡镇（街道）</w:t>
      </w:r>
      <w:r>
        <w:rPr>
          <w:rFonts w:ascii="仿宋" w:hAnsi="仿宋" w:eastAsia="仿宋" w:cs="Times New Roman"/>
          <w:sz w:val="32"/>
          <w:szCs w:val="32"/>
        </w:rPr>
        <w:t>意见，对《规划》进行修改完善，形成了《规划》征求意见稿。</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一是以全国应急避难场所综合信息管理服务系统平台数据为基础（数据截止至2024年9月），以《北京市</w:t>
      </w:r>
      <w:r>
        <w:rPr>
          <w:rFonts w:hint="eastAsia" w:ascii="仿宋" w:hAnsi="仿宋" w:eastAsia="仿宋" w:cs="Times New Roman"/>
          <w:sz w:val="32"/>
          <w:szCs w:val="32"/>
        </w:rPr>
        <w:t>密云</w:t>
      </w:r>
      <w:r>
        <w:rPr>
          <w:rFonts w:ascii="仿宋" w:hAnsi="仿宋" w:eastAsia="仿宋" w:cs="Times New Roman"/>
          <w:sz w:val="32"/>
          <w:szCs w:val="32"/>
        </w:rPr>
        <w:t>区应急避难场所评估报告（2024年11月）》为依据，开展了应急避难场所现状分析。</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二是从市级规划确定的与应急避难场所防范相关的灾害对象入手开展了</w:t>
      </w:r>
      <w:r>
        <w:rPr>
          <w:rFonts w:hint="eastAsia" w:ascii="仿宋" w:hAnsi="仿宋" w:eastAsia="仿宋" w:cs="Times New Roman"/>
          <w:sz w:val="32"/>
          <w:szCs w:val="32"/>
        </w:rPr>
        <w:t>密云</w:t>
      </w:r>
      <w:r>
        <w:rPr>
          <w:rFonts w:ascii="仿宋" w:hAnsi="仿宋" w:eastAsia="仿宋" w:cs="Times New Roman"/>
          <w:sz w:val="32"/>
          <w:szCs w:val="32"/>
        </w:rPr>
        <w:t>区灾害事故风险分析，结合</w:t>
      </w:r>
      <w:r>
        <w:rPr>
          <w:rFonts w:ascii="仿宋" w:hAnsi="仿宋" w:eastAsia="仿宋" w:cs="微软雅黑"/>
          <w:sz w:val="32"/>
          <w:szCs w:val="32"/>
        </w:rPr>
        <w:t>第一次自然灾害综合风险普查成果，</w:t>
      </w:r>
      <w:r>
        <w:rPr>
          <w:rFonts w:ascii="仿宋" w:hAnsi="仿宋" w:eastAsia="仿宋" w:cs="Times New Roman"/>
          <w:sz w:val="32"/>
          <w:szCs w:val="32"/>
        </w:rPr>
        <w:t>给出了</w:t>
      </w:r>
      <w:r>
        <w:rPr>
          <w:rFonts w:hint="eastAsia" w:ascii="仿宋" w:hAnsi="仿宋" w:eastAsia="仿宋" w:cs="Times New Roman"/>
          <w:sz w:val="32"/>
          <w:szCs w:val="32"/>
        </w:rPr>
        <w:t>密云</w:t>
      </w:r>
      <w:r>
        <w:rPr>
          <w:rFonts w:ascii="仿宋" w:hAnsi="仿宋" w:eastAsia="仿宋" w:cs="Times New Roman"/>
          <w:sz w:val="32"/>
          <w:szCs w:val="32"/>
        </w:rPr>
        <w:t>区综合风险评估结果。</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sz w:val="32"/>
          <w:szCs w:val="32"/>
        </w:rPr>
        <w:t>三是依据《应急避难场所专项规划编制指南》和相关规范标准，开展了</w:t>
      </w:r>
      <w:r>
        <w:rPr>
          <w:rFonts w:hint="eastAsia" w:ascii="仿宋" w:hAnsi="仿宋" w:eastAsia="仿宋" w:cs="Times New Roman"/>
          <w:sz w:val="32"/>
          <w:szCs w:val="32"/>
        </w:rPr>
        <w:t>密云</w:t>
      </w:r>
      <w:r>
        <w:rPr>
          <w:rFonts w:ascii="仿宋" w:hAnsi="仿宋" w:eastAsia="仿宋" w:cs="Times New Roman"/>
          <w:sz w:val="32"/>
          <w:szCs w:val="32"/>
        </w:rPr>
        <w:t>区应急避难需求及资源分析调查，确定了</w:t>
      </w:r>
      <w:r>
        <w:rPr>
          <w:rFonts w:hint="eastAsia" w:ascii="仿宋" w:hAnsi="仿宋" w:eastAsia="仿宋" w:cs="Times New Roman"/>
          <w:sz w:val="32"/>
          <w:szCs w:val="32"/>
        </w:rPr>
        <w:t>密云</w:t>
      </w:r>
      <w:r>
        <w:rPr>
          <w:rFonts w:ascii="仿宋" w:hAnsi="仿宋" w:eastAsia="仿宋" w:cs="Times New Roman"/>
          <w:sz w:val="32"/>
          <w:szCs w:val="32"/>
        </w:rPr>
        <w:t>区主要可避难资源类型</w:t>
      </w:r>
      <w:r>
        <w:rPr>
          <w:rFonts w:hint="eastAsia" w:ascii="仿宋" w:hAnsi="仿宋" w:eastAsia="仿宋" w:cs="Times New Roman"/>
          <w:sz w:val="32"/>
          <w:szCs w:val="32"/>
        </w:rPr>
        <w:t>、</w:t>
      </w:r>
      <w:r>
        <w:rPr>
          <w:rFonts w:ascii="仿宋" w:hAnsi="仿宋" w:eastAsia="仿宋" w:cs="Times New Roman"/>
          <w:sz w:val="32"/>
          <w:szCs w:val="32"/>
        </w:rPr>
        <w:t>数量以及面积，并以此为基础开展了本次规划工作。</w:t>
      </w:r>
    </w:p>
    <w:p>
      <w:pPr>
        <w:pStyle w:val="2"/>
        <w:spacing w:line="560" w:lineRule="exact"/>
        <w:ind w:firstLine="640"/>
        <w:jc w:val="both"/>
        <w:rPr>
          <w:rFonts w:ascii="Times New Roman" w:hAnsi="Times New Roman" w:cs="Times New Roman"/>
          <w:b w:val="0"/>
          <w:bCs w:val="0"/>
        </w:rPr>
      </w:pPr>
      <w:r>
        <w:rPr>
          <w:rFonts w:ascii="Times New Roman" w:hAnsi="Times New Roman" w:cs="Times New Roman"/>
          <w:b w:val="0"/>
          <w:bCs w:val="0"/>
        </w:rPr>
        <w:t>四、主要内容</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（一）确定应急避难场所规划标准指导原则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适应建立大安全大应急框架和健全完善国家应急管理体系新任务新要求，规范指导应急避难场所全生命周期工作科学有效开展，2023年至2024年期间，应急管理部、北京市应急管理局会同相关单位出台了一系列应急避难场所新标准：《应急避难场所 术语》（GB/T 44012-2024）、《应急避难场所 分级及分类》（GB/T 44013-2024）、《应急避难场所 标志》（GB/T 44014-2024）、《应急避难场所 分级和分类》（DB11/T 2141-2023）、《应急避难场所 场址及配套设施》（DB11/T 2142-2023）、《应急避难场所 评估导则》（DB11/T 2143-2023）。新标准涵盖了术语、分级分类、标志、场址设施、评估导则规范要素，为应急避难场所规划建设提供了全新指导。新标准的实施终结了以往分级分类不一致、技术指标差异大、管理职责不明晰的局面，对推动应急避难场所标准化规范化建设具有重要指导意义。</w:t>
      </w:r>
    </w:p>
    <w:p>
      <w:pPr>
        <w:spacing w:line="560" w:lineRule="exact"/>
        <w:ind w:firstLine="640" w:firstLineChars="200"/>
        <w:rPr>
          <w:rFonts w:ascii="Times New Roman" w:hAnsi="Times New Roman" w:eastAsia="仿宋_GB2312" w:cs="Times New Roman"/>
          <w:sz w:val="32"/>
          <w:szCs w:val="32"/>
        </w:rPr>
      </w:pPr>
      <w:bookmarkStart w:id="1" w:name="_Hlk168778902"/>
      <w:r>
        <w:rPr>
          <w:rFonts w:ascii="Times New Roman" w:hAnsi="Times New Roman" w:eastAsia="仿宋_GB2312" w:cs="Times New Roman"/>
          <w:sz w:val="32"/>
          <w:szCs w:val="32"/>
        </w:rPr>
        <w:t>沿用</w:t>
      </w:r>
      <w:bookmarkEnd w:id="1"/>
      <w:r>
        <w:rPr>
          <w:rFonts w:ascii="Times New Roman" w:hAnsi="Times New Roman" w:eastAsia="仿宋_GB2312" w:cs="Times New Roman"/>
          <w:sz w:val="32"/>
          <w:szCs w:val="32"/>
        </w:rPr>
        <w:t>GB 51143、GB 21734等早期国家标准，全面评估应急避难场所基本现状、功能配置、可达性和相关城乡基础设施，适当融入新标准的前瞻视角，以确保评估的科学性和指导性。关键术语、控制指标、避难资源调查与规划环节严格遵循最新标准要求，确保应急避难场所规划的科学性和可操作性。</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（二）建立各类应急避难资源数据库</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开展应急避难资源调查分析工作，包括室外型避难空间资源（如公园绿地、运动场、广场、大型停车场等）和室内型避难空间资源（如中小学、高等院校、体育馆、文化活动场所、敬老院、福利院等）。通过详细统计和评估，确定了各类避难场所的数量、占地面积及有效避难面积，其中紧急应急避难场所</w:t>
      </w:r>
      <w:r>
        <w:rPr>
          <w:rFonts w:hint="eastAsia" w:ascii="Times New Roman" w:hAnsi="Times New Roman" w:eastAsia="仿宋_GB2312" w:cs="Times New Roman"/>
          <w:sz w:val="32"/>
          <w:szCs w:val="32"/>
        </w:rPr>
        <w:t>有效避难面积</w:t>
      </w:r>
      <w:r>
        <w:rPr>
          <w:rFonts w:ascii="Times New Roman" w:hAnsi="Times New Roman" w:eastAsia="仿宋_GB2312" w:cs="Times New Roman"/>
          <w:sz w:val="32"/>
          <w:szCs w:val="32"/>
        </w:rPr>
        <w:t>464.23万平方米</w:t>
      </w:r>
      <w:r>
        <w:rPr>
          <w:rFonts w:hint="eastAsia" w:ascii="仿宋_GB2312" w:hAnsi="仿宋_GB2312" w:eastAsia="仿宋_GB2312" w:cs="仿宋_GB2312"/>
          <w:sz w:val="32"/>
          <w:szCs w:val="32"/>
        </w:rPr>
        <w:t>，短期应急避难场所有效避难面积</w:t>
      </w:r>
      <w:r>
        <w:rPr>
          <w:rFonts w:ascii="仿宋_GB2312" w:hAnsi="仿宋_GB2312" w:eastAsia="仿宋_GB2312" w:cs="仿宋_GB2312"/>
          <w:sz w:val="32"/>
          <w:szCs w:val="32"/>
        </w:rPr>
        <w:t>72.67万平方米，长期应急避难场所场所面积</w:t>
      </w:r>
      <w:r>
        <w:rPr>
          <w:rFonts w:hint="eastAsia" w:ascii="仿宋_GB2312" w:hAnsi="仿宋_GB2312" w:eastAsia="仿宋_GB2312" w:cs="仿宋_GB2312"/>
          <w:sz w:val="32"/>
          <w:szCs w:val="32"/>
        </w:rPr>
        <w:t>有效避难面积分别为</w:t>
      </w:r>
      <w:r>
        <w:rPr>
          <w:rFonts w:ascii="仿宋_GB2312" w:hAnsi="仿宋_GB2312" w:eastAsia="仿宋_GB2312" w:cs="仿宋_GB2312"/>
          <w:sz w:val="32"/>
          <w:szCs w:val="32"/>
        </w:rPr>
        <w:t>68.3</w:t>
      </w:r>
      <w:r>
        <w:rPr>
          <w:rFonts w:hint="eastAsia" w:ascii="仿宋_GB2312" w:hAnsi="仿宋_GB2312" w:eastAsia="仿宋_GB2312" w:cs="仿宋_GB2312"/>
          <w:sz w:val="32"/>
          <w:szCs w:val="32"/>
        </w:rPr>
        <w:t>万平方米。</w:t>
      </w:r>
      <w:r>
        <w:rPr>
          <w:rFonts w:ascii="仿宋_GB2312" w:hAnsi="仿宋_GB2312" w:eastAsia="仿宋_GB2312" w:cs="仿宋_GB2312"/>
          <w:sz w:val="32"/>
          <w:szCs w:val="32"/>
        </w:rPr>
        <w:t>依据</w:t>
      </w:r>
      <w:r>
        <w:rPr>
          <w:rFonts w:hint="eastAsia" w:ascii="仿宋_GB2312" w:hAnsi="仿宋_GB2312" w:eastAsia="仿宋_GB2312" w:cs="仿宋_GB2312"/>
          <w:sz w:val="32"/>
          <w:szCs w:val="32"/>
        </w:rPr>
        <w:t>密</w:t>
      </w:r>
      <w:r>
        <w:rPr>
          <w:rFonts w:hint="eastAsia" w:ascii="微软雅黑" w:hAnsi="微软雅黑" w:eastAsia="微软雅黑" w:cs="微软雅黑"/>
          <w:sz w:val="32"/>
          <w:szCs w:val="32"/>
        </w:rPr>
        <w:t>云</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2035年规划常住人口5</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万计算，人均可达11</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，资源量充足。为后续避难场所规划提供了详实的数据支持和科学依据。</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（三）规划目标与期限</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2025年规划目标：</w:t>
      </w:r>
      <w:r>
        <w:rPr>
          <w:rFonts w:hint="eastAsia" w:ascii="Times New Roman" w:hAnsi="Times New Roman" w:eastAsia="仿宋_GB2312" w:cs="Times New Roman"/>
          <w:sz w:val="32"/>
          <w:szCs w:val="32"/>
        </w:rPr>
        <w:t>结合已有的应急避险场地，到</w:t>
      </w:r>
      <w:r>
        <w:rPr>
          <w:rFonts w:ascii="Times New Roman" w:hAnsi="Times New Roman" w:eastAsia="仿宋_GB2312" w:cs="Times New Roman"/>
          <w:sz w:val="32"/>
          <w:szCs w:val="32"/>
        </w:rPr>
        <w:t>2025年底，综合性应急避难场所将满足密</w:t>
      </w:r>
      <w:r>
        <w:rPr>
          <w:rFonts w:hint="eastAsia" w:ascii="微软雅黑" w:hAnsi="微软雅黑" w:eastAsia="微软雅黑" w:cs="微软雅黑"/>
          <w:sz w:val="32"/>
          <w:szCs w:val="32"/>
        </w:rPr>
        <w:t>云</w:t>
      </w:r>
      <w:r>
        <w:rPr>
          <w:rFonts w:hint="eastAsia" w:ascii="___WRD_EMBED_SUB_41" w:hAnsi="___WRD_EMBED_SUB_41" w:eastAsia="___WRD_EMBED_SUB_41" w:cs="___WRD_EMBED_SUB_41"/>
          <w:sz w:val="32"/>
          <w:szCs w:val="32"/>
        </w:rPr>
        <w:t>区所需应急避难总人数的</w:t>
      </w:r>
      <w:r>
        <w:rPr>
          <w:rFonts w:ascii="Times New Roman" w:hAnsi="Times New Roman" w:eastAsia="仿宋_GB2312" w:cs="Times New Roman"/>
          <w:sz w:val="32"/>
          <w:szCs w:val="32"/>
        </w:rPr>
        <w:t>60%，室内可容纳避难人数不低于室内外可容纳避难人数的20%。</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2035年规划目标：</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2035年，全面建成与密</w:t>
      </w:r>
      <w:r>
        <w:rPr>
          <w:rFonts w:hint="eastAsia" w:ascii="微软雅黑" w:hAnsi="微软雅黑" w:eastAsia="微软雅黑" w:cs="微软雅黑"/>
          <w:sz w:val="32"/>
          <w:szCs w:val="32"/>
        </w:rPr>
        <w:t>云</w:t>
      </w:r>
      <w:r>
        <w:rPr>
          <w:rFonts w:hint="eastAsia" w:ascii="Times New Roman" w:hAnsi="Times New Roman" w:eastAsia="仿宋_GB2312" w:cs="Times New Roman"/>
          <w:sz w:val="32"/>
          <w:szCs w:val="32"/>
        </w:rPr>
        <w:t>区定位相适应的应急避难场所体系，人均应急避难场所面积</w:t>
      </w:r>
      <w:r>
        <w:rPr>
          <w:rFonts w:hint="eastAsia" w:ascii="微软雅黑" w:hAnsi="微软雅黑" w:eastAsia="微软雅黑" w:cs="微软雅黑"/>
          <w:sz w:val="32"/>
          <w:szCs w:val="32"/>
        </w:rPr>
        <w:t>超</w:t>
      </w:r>
      <w:r>
        <w:rPr>
          <w:rFonts w:hint="eastAsia" w:ascii="___WRD_EMBED_SUB_748" w:hAnsi="___WRD_EMBED_SUB_748" w:eastAsia="___WRD_EMBED_SUB_748" w:cs="___WRD_EMBED_SUB_748"/>
          <w:sz w:val="32"/>
          <w:szCs w:val="32"/>
        </w:rPr>
        <w:t>过</w:t>
      </w:r>
      <w:r>
        <w:rPr>
          <w:rFonts w:ascii="Times New Roman" w:hAnsi="Times New Roman" w:eastAsia="仿宋_GB2312" w:cs="Times New Roman"/>
          <w:sz w:val="32"/>
          <w:szCs w:val="32"/>
        </w:rPr>
        <w:t>2.1平方米。落实应急避难场所结构体系建设，按北京市应急避难场所场址及配套设施要求，配套设施、设备，满足城乡人口避难需求的应急避难场所全覆盖。</w:t>
      </w:r>
    </w:p>
    <w:p>
      <w:pPr>
        <w:spacing w:line="560" w:lineRule="exact"/>
        <w:ind w:firstLine="643" w:firstLineChars="200"/>
        <w:rPr>
          <w:rFonts w:ascii="仿宋" w:hAnsi="仿宋" w:eastAsia="仿宋" w:cs="Times New Roman"/>
          <w:sz w:val="32"/>
          <w:szCs w:val="32"/>
        </w:rPr>
      </w:pPr>
      <w:r>
        <w:rPr>
          <w:rFonts w:ascii="Times New Roman" w:hAnsi="Times New Roman" w:eastAsia="仿宋_GB2312" w:cs="Times New Roman"/>
          <w:b/>
          <w:bCs/>
          <w:sz w:val="32"/>
          <w:szCs w:val="32"/>
        </w:rPr>
        <w:t>长期规划愿景：</w:t>
      </w:r>
      <w:r>
        <w:rPr>
          <w:rFonts w:hint="eastAsia" w:ascii="仿宋" w:hAnsi="仿宋" w:eastAsia="仿宋" w:cs="Times New Roman"/>
          <w:sz w:val="32"/>
          <w:szCs w:val="32"/>
        </w:rPr>
        <w:t>到</w:t>
      </w:r>
      <w:r>
        <w:rPr>
          <w:rFonts w:ascii="仿宋" w:hAnsi="仿宋" w:eastAsia="仿宋" w:cs="Times New Roman"/>
          <w:sz w:val="32"/>
          <w:szCs w:val="32"/>
        </w:rPr>
        <w:t>2050年，全面建成与社会主义现代化强国首都地位相适应的国际一流的</w:t>
      </w:r>
      <w:r>
        <w:rPr>
          <w:rFonts w:hint="eastAsia" w:ascii="仿宋" w:hAnsi="仿宋" w:eastAsia="仿宋" w:cs="微软雅黑"/>
          <w:sz w:val="32"/>
          <w:szCs w:val="32"/>
        </w:rPr>
        <w:t>山</w:t>
      </w:r>
      <w:r>
        <w:rPr>
          <w:rFonts w:hint="eastAsia" w:ascii="仿宋" w:hAnsi="仿宋" w:eastAsia="仿宋" w:cs="___WRD_EMBED_SUB_41"/>
          <w:sz w:val="32"/>
          <w:szCs w:val="32"/>
        </w:rPr>
        <w:t>水</w:t>
      </w:r>
      <w:r>
        <w:rPr>
          <w:rFonts w:ascii="仿宋" w:hAnsi="仿宋" w:eastAsia="仿宋" w:cs="Times New Roman"/>
          <w:sz w:val="32"/>
          <w:szCs w:val="32"/>
        </w:rPr>
        <w:t>融合的应急避难场所体系，人均应急避难场所面积持续提升，应急避难场所的分级调度管理和灾时的精细化管理持续提升，避难场所的支撑保障作用全面加强。</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（四）应急避难场所分级分类与布局</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紧急避难场所：</w:t>
      </w:r>
      <w:r>
        <w:rPr>
          <w:rFonts w:ascii="Times New Roman" w:hAnsi="Times New Roman" w:eastAsia="仿宋_GB2312" w:cs="Times New Roman"/>
          <w:sz w:val="32"/>
          <w:szCs w:val="32"/>
        </w:rPr>
        <w:t>以村（社区）级为主，实现</w:t>
      </w:r>
      <w:r>
        <w:rPr>
          <w:rFonts w:hint="eastAsia" w:ascii="Times New Roman" w:hAnsi="Times New Roman" w:eastAsia="仿宋_GB2312" w:cs="Times New Roman"/>
          <w:sz w:val="32"/>
          <w:szCs w:val="32"/>
        </w:rPr>
        <w:t>密云</w:t>
      </w:r>
      <w:r>
        <w:rPr>
          <w:rFonts w:ascii="Times New Roman" w:hAnsi="Times New Roman" w:eastAsia="仿宋_GB2312" w:cs="Times New Roman"/>
          <w:sz w:val="32"/>
          <w:szCs w:val="32"/>
        </w:rPr>
        <w:t>区城乡建设用地全覆盖，重点在北部区域补充设施覆盖短板。</w:t>
      </w:r>
      <w:r>
        <w:rPr>
          <w:rFonts w:hint="eastAsia" w:ascii="Times New Roman" w:hAnsi="Times New Roman" w:eastAsia="仿宋_GB2312" w:cs="Times New Roman"/>
          <w:sz w:val="32"/>
          <w:szCs w:val="32"/>
        </w:rPr>
        <w:t>各乡镇（街道）</w:t>
      </w:r>
      <w:r>
        <w:rPr>
          <w:rFonts w:ascii="Times New Roman" w:hAnsi="Times New Roman" w:eastAsia="仿宋_GB2312" w:cs="Times New Roman"/>
          <w:sz w:val="32"/>
          <w:szCs w:val="32"/>
        </w:rPr>
        <w:t>紧急避难人口服务保障系数为1.1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每个村（社区）至少设置1个紧急避难场所，服务半径为500米，人均有效避难面积为0.5~1.5</w:t>
      </w:r>
      <w:r>
        <w:rPr>
          <w:rFonts w:hint="eastAsia" w:ascii="Times New Roman" w:hAnsi="Times New Roman" w:eastAsia="仿宋_GB2312" w:cs="Times New Roman"/>
          <w:sz w:val="32"/>
          <w:szCs w:val="32"/>
        </w:rPr>
        <w:t>平方米</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短期避难场所：</w:t>
      </w:r>
      <w:r>
        <w:rPr>
          <w:rFonts w:ascii="Times New Roman" w:hAnsi="Times New Roman" w:eastAsia="仿宋_GB2312" w:cs="Times New Roman"/>
          <w:sz w:val="32"/>
          <w:szCs w:val="32"/>
        </w:rPr>
        <w:t>以乡镇（街道）级为主，实现全区城乡建设用地网格化覆盖。</w:t>
      </w:r>
      <w:r>
        <w:rPr>
          <w:rFonts w:hint="eastAsia" w:ascii="Times New Roman" w:hAnsi="Times New Roman" w:eastAsia="仿宋_GB2312" w:cs="Times New Roman"/>
          <w:sz w:val="32"/>
          <w:szCs w:val="32"/>
        </w:rPr>
        <w:t>各乡镇（街道）短期</w:t>
      </w:r>
      <w:r>
        <w:rPr>
          <w:rFonts w:ascii="Times New Roman" w:hAnsi="Times New Roman" w:eastAsia="仿宋_GB2312" w:cs="Times New Roman"/>
          <w:sz w:val="32"/>
          <w:szCs w:val="32"/>
        </w:rPr>
        <w:t>避难人口服务保障系数为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每个乡镇（街道）至少设置1个短期避难场所，服务半径为1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人均有效避难面积为3</w:t>
      </w:r>
      <w:r>
        <w:rPr>
          <w:rFonts w:hint="eastAsia" w:ascii="Times New Roman" w:hAnsi="Times New Roman" w:eastAsia="仿宋_GB2312" w:cs="Times New Roman"/>
          <w:sz w:val="32"/>
          <w:szCs w:val="32"/>
        </w:rPr>
        <w:t>平方米</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长期避难场所：</w:t>
      </w:r>
      <w:r>
        <w:rPr>
          <w:rFonts w:hint="eastAsia" w:ascii="仿宋" w:hAnsi="仿宋" w:eastAsia="仿宋" w:cs="Times New Roman"/>
          <w:sz w:val="32"/>
          <w:szCs w:val="32"/>
        </w:rPr>
        <w:t>密云区</w:t>
      </w:r>
      <w:r>
        <w:rPr>
          <w:rFonts w:ascii="仿宋" w:hAnsi="仿宋" w:eastAsia="仿宋" w:cs="Times New Roman"/>
          <w:sz w:val="32"/>
          <w:szCs w:val="32"/>
        </w:rPr>
        <w:t>长期避难人口服务保障系数应达到0.1</w:t>
      </w:r>
      <w:r>
        <w:rPr>
          <w:rFonts w:hint="eastAsia" w:ascii="仿宋" w:hAnsi="仿宋" w:eastAsia="仿宋" w:cs="Times New Roman"/>
          <w:sz w:val="32"/>
          <w:szCs w:val="32"/>
        </w:rPr>
        <w:t>，全区</w:t>
      </w:r>
      <w:r>
        <w:rPr>
          <w:rFonts w:ascii="仿宋" w:hAnsi="仿宋" w:eastAsia="仿宋" w:cs="Times New Roman"/>
          <w:sz w:val="32"/>
          <w:szCs w:val="32"/>
        </w:rPr>
        <w:t>至少设置1处长期避难场所，</w:t>
      </w:r>
      <w:r>
        <w:rPr>
          <w:rFonts w:hint="eastAsia" w:ascii="仿宋" w:hAnsi="仿宋" w:eastAsia="仿宋" w:cs="Times New Roman"/>
          <w:sz w:val="32"/>
          <w:szCs w:val="32"/>
        </w:rPr>
        <w:t>长期应急避难场所应至少建设</w:t>
      </w:r>
      <w:r>
        <w:rPr>
          <w:rFonts w:ascii="仿宋" w:hAnsi="仿宋" w:eastAsia="仿宋" w:cs="Times New Roman"/>
          <w:sz w:val="32"/>
          <w:szCs w:val="32"/>
        </w:rPr>
        <w:t xml:space="preserve"> 1 处，加强对</w:t>
      </w:r>
      <w:r>
        <w:rPr>
          <w:rFonts w:hint="eastAsia" w:ascii="仿宋" w:hAnsi="仿宋" w:eastAsia="仿宋" w:cs="微软雅黑"/>
          <w:sz w:val="32"/>
          <w:szCs w:val="32"/>
        </w:rPr>
        <w:t>山</w:t>
      </w:r>
      <w:r>
        <w:rPr>
          <w:rFonts w:hint="eastAsia" w:ascii="仿宋" w:hAnsi="仿宋" w:eastAsia="仿宋" w:cs="___WRD_EMBED_SUB_41"/>
          <w:sz w:val="32"/>
          <w:szCs w:val="32"/>
        </w:rPr>
        <w:t>区村</w:t>
      </w:r>
      <w:r>
        <w:rPr>
          <w:rFonts w:hint="eastAsia" w:ascii="仿宋" w:hAnsi="仿宋" w:eastAsia="仿宋" w:cs="微软雅黑"/>
          <w:sz w:val="32"/>
          <w:szCs w:val="32"/>
        </w:rPr>
        <w:t>庄</w:t>
      </w:r>
      <w:r>
        <w:rPr>
          <w:rFonts w:hint="eastAsia" w:ascii="仿宋" w:hAnsi="仿宋" w:eastAsia="仿宋" w:cs="___WRD_EMBED_SUB_41"/>
          <w:sz w:val="32"/>
          <w:szCs w:val="32"/>
        </w:rPr>
        <w:t>的</w:t>
      </w:r>
      <w:r>
        <w:rPr>
          <w:rFonts w:hint="eastAsia" w:ascii="仿宋" w:hAnsi="仿宋" w:eastAsia="仿宋" w:cs="Times New Roman"/>
          <w:sz w:val="32"/>
          <w:szCs w:val="32"/>
        </w:rPr>
        <w:t>支撑保障作用。</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（五）应急避难场所技术指标与规模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根据规划，</w:t>
      </w:r>
      <w:r>
        <w:rPr>
          <w:rFonts w:hint="eastAsia" w:ascii="Times New Roman" w:hAnsi="Times New Roman" w:eastAsia="仿宋_GB2312" w:cs="Times New Roman"/>
          <w:sz w:val="32"/>
          <w:szCs w:val="32"/>
        </w:rPr>
        <w:t>密云</w:t>
      </w:r>
      <w:r>
        <w:rPr>
          <w:rFonts w:ascii="Times New Roman" w:hAnsi="Times New Roman" w:eastAsia="仿宋_GB2312" w:cs="Times New Roman"/>
          <w:sz w:val="32"/>
          <w:szCs w:val="32"/>
        </w:rPr>
        <w:t>区应急避难场所应满足以下技术指标：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（1）至2035年，</w:t>
      </w:r>
      <w:r>
        <w:rPr>
          <w:rFonts w:hint="eastAsia" w:ascii="Times New Roman" w:hAnsi="Times New Roman" w:eastAsia="仿宋_GB2312" w:cs="Times New Roman"/>
          <w:sz w:val="32"/>
          <w:szCs w:val="32"/>
        </w:rPr>
        <w:t>区内</w:t>
      </w:r>
      <w:r>
        <w:rPr>
          <w:rFonts w:ascii="Times New Roman" w:hAnsi="Times New Roman" w:eastAsia="仿宋_GB2312" w:cs="Times New Roman"/>
          <w:sz w:val="32"/>
          <w:szCs w:val="32"/>
        </w:rPr>
        <w:t>规划重点</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紧急避难场所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含已建设点位</w:t>
      </w:r>
      <w:r>
        <w:rPr>
          <w:rFonts w:hint="eastAsia" w:ascii="Times New Roman" w:hAnsi="Times New Roman" w:eastAsia="仿宋_GB2312" w:cs="Times New Roman"/>
          <w:sz w:val="32"/>
          <w:szCs w:val="32"/>
        </w:rPr>
        <w:t>）总有效避难面积应达到</w:t>
      </w:r>
      <w:r>
        <w:rPr>
          <w:rFonts w:ascii="Times New Roman" w:hAnsi="Times New Roman" w:eastAsia="仿宋_GB2312" w:cs="Times New Roman"/>
          <w:sz w:val="32"/>
          <w:szCs w:val="32"/>
        </w:rPr>
        <w:t>30.25-90.75</w:t>
      </w:r>
      <w:r>
        <w:rPr>
          <w:rFonts w:hint="eastAsia" w:ascii="Times New Roman" w:hAnsi="Times New Roman" w:eastAsia="仿宋_GB2312" w:cs="Times New Roman"/>
          <w:sz w:val="32"/>
          <w:szCs w:val="32"/>
        </w:rPr>
        <w:t>万平方米，实现密云区全</w:t>
      </w:r>
      <w:r>
        <w:rPr>
          <w:rFonts w:ascii="Times New Roman" w:hAnsi="Times New Roman" w:eastAsia="仿宋_GB2312" w:cs="Times New Roman"/>
          <w:sz w:val="32"/>
          <w:szCs w:val="32"/>
        </w:rPr>
        <w:t>覆盖</w:t>
      </w:r>
      <w:r>
        <w:rPr>
          <w:rFonts w:hint="eastAsia" w:ascii="Times New Roman" w:hAnsi="Times New Roman" w:eastAsia="仿宋_GB2312" w:cs="Times New Roman"/>
          <w:sz w:val="32"/>
          <w:szCs w:val="32"/>
        </w:rPr>
        <w:t>，需确保</w:t>
      </w:r>
      <w:r>
        <w:rPr>
          <w:rFonts w:ascii="Times New Roman" w:hAnsi="Times New Roman" w:eastAsia="仿宋_GB2312" w:cs="Times New Roman"/>
          <w:sz w:val="32"/>
          <w:szCs w:val="32"/>
        </w:rPr>
        <w:t>紧急避难人口服务保障系数为1.1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每个村（社区）至少设置1</w:t>
      </w:r>
      <w:r>
        <w:rPr>
          <w:rFonts w:hint="eastAsia" w:ascii="Times New Roman" w:hAnsi="Times New Roman" w:eastAsia="仿宋_GB2312" w:cs="Times New Roman"/>
          <w:sz w:val="32"/>
          <w:szCs w:val="32"/>
        </w:rPr>
        <w:t>处</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（2）至2035年，</w:t>
      </w:r>
      <w:r>
        <w:rPr>
          <w:rFonts w:hint="eastAsia" w:ascii="Times New Roman" w:hAnsi="Times New Roman" w:eastAsia="仿宋_GB2312" w:cs="Times New Roman"/>
          <w:sz w:val="32"/>
          <w:szCs w:val="32"/>
        </w:rPr>
        <w:t>区内</w:t>
      </w:r>
      <w:r>
        <w:rPr>
          <w:rFonts w:ascii="Times New Roman" w:hAnsi="Times New Roman" w:eastAsia="仿宋_GB2312" w:cs="Times New Roman"/>
          <w:sz w:val="32"/>
          <w:szCs w:val="32"/>
        </w:rPr>
        <w:t>规划重点</w:t>
      </w:r>
      <w:r>
        <w:rPr>
          <w:rFonts w:hint="eastAsia" w:ascii="Times New Roman" w:hAnsi="Times New Roman" w:eastAsia="仿宋_GB2312" w:cs="Times New Roman"/>
          <w:sz w:val="32"/>
          <w:szCs w:val="32"/>
        </w:rPr>
        <w:t>建设短期</w:t>
      </w:r>
      <w:r>
        <w:rPr>
          <w:rFonts w:ascii="Times New Roman" w:hAnsi="Times New Roman" w:eastAsia="仿宋_GB2312" w:cs="Times New Roman"/>
          <w:sz w:val="32"/>
          <w:szCs w:val="32"/>
        </w:rPr>
        <w:t>避难场所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含已建设点位</w:t>
      </w:r>
      <w:r>
        <w:rPr>
          <w:rFonts w:hint="eastAsia" w:ascii="Times New Roman" w:hAnsi="Times New Roman" w:eastAsia="仿宋_GB2312" w:cs="Times New Roman"/>
          <w:sz w:val="32"/>
          <w:szCs w:val="32"/>
        </w:rPr>
        <w:t>）总有效避难面积应达到</w:t>
      </w:r>
      <w:r>
        <w:rPr>
          <w:rFonts w:ascii="Times New Roman" w:hAnsi="Times New Roman" w:eastAsia="仿宋_GB2312" w:cs="Times New Roman"/>
          <w:sz w:val="32"/>
          <w:szCs w:val="32"/>
        </w:rPr>
        <w:t>66</w:t>
      </w:r>
      <w:r>
        <w:rPr>
          <w:rFonts w:hint="eastAsia" w:ascii="Times New Roman" w:hAnsi="Times New Roman" w:eastAsia="仿宋_GB2312" w:cs="Times New Roman"/>
          <w:sz w:val="32"/>
          <w:szCs w:val="32"/>
        </w:rPr>
        <w:t>万平方米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实现各乡镇（街道）全区域覆盖。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（3）至2035年，规划</w:t>
      </w:r>
      <w:r>
        <w:rPr>
          <w:rFonts w:hint="eastAsia" w:ascii="Times New Roman" w:hAnsi="Times New Roman" w:eastAsia="仿宋_GB2312" w:cs="Times New Roman"/>
          <w:sz w:val="32"/>
          <w:szCs w:val="32"/>
        </w:rPr>
        <w:t>选取</w:t>
      </w:r>
      <w:r>
        <w:rPr>
          <w:rFonts w:hint="eastAsia" w:ascii="微软雅黑" w:hAnsi="微软雅黑" w:eastAsia="微软雅黑" w:cs="微软雅黑"/>
          <w:sz w:val="32"/>
          <w:szCs w:val="32"/>
        </w:rPr>
        <w:t>冶仙塔</w:t>
      </w:r>
      <w:r>
        <w:rPr>
          <w:rFonts w:hint="eastAsia" w:ascii="___WRD_EMBED_SUB_41" w:hAnsi="___WRD_EMBED_SUB_41" w:eastAsia="___WRD_EMBED_SUB_41" w:cs="___WRD_EMBED_SUB_41"/>
          <w:sz w:val="32"/>
          <w:szCs w:val="32"/>
        </w:rPr>
        <w:t>文化</w:t>
      </w:r>
      <w:r>
        <w:rPr>
          <w:rFonts w:hint="eastAsia" w:ascii="微软雅黑" w:hAnsi="微软雅黑" w:eastAsia="微软雅黑" w:cs="微软雅黑"/>
          <w:sz w:val="32"/>
          <w:szCs w:val="32"/>
        </w:rPr>
        <w:t>休闲</w:t>
      </w:r>
      <w:r>
        <w:rPr>
          <w:rFonts w:hint="eastAsia" w:ascii="___WRD_EMBED_SUB_41" w:hAnsi="___WRD_EMBED_SUB_41" w:eastAsia="___WRD_EMBED_SUB_41" w:cs="___WRD_EMBED_SUB_41"/>
          <w:sz w:val="32"/>
          <w:szCs w:val="32"/>
        </w:rPr>
        <w:t>公园、北京密</w:t>
      </w:r>
      <w:r>
        <w:rPr>
          <w:rFonts w:hint="eastAsia" w:ascii="微软雅黑" w:hAnsi="微软雅黑" w:eastAsia="微软雅黑" w:cs="微软雅黑"/>
          <w:sz w:val="32"/>
          <w:szCs w:val="32"/>
        </w:rPr>
        <w:t>云</w:t>
      </w:r>
      <w:r>
        <w:rPr>
          <w:rFonts w:hint="eastAsia" w:ascii="___WRD_EMBED_SUB_41" w:hAnsi="___WRD_EMBED_SUB_41" w:eastAsia="___WRD_EMBED_SUB_41" w:cs="___WRD_EMBED_SUB_41"/>
          <w:sz w:val="32"/>
          <w:szCs w:val="32"/>
        </w:rPr>
        <w:t>南</w:t>
      </w:r>
      <w:r>
        <w:rPr>
          <w:rFonts w:hint="eastAsia" w:ascii="微软雅黑" w:hAnsi="微软雅黑" w:eastAsia="微软雅黑" w:cs="微软雅黑"/>
          <w:sz w:val="32"/>
          <w:szCs w:val="32"/>
        </w:rPr>
        <w:t>山滑雪</w:t>
      </w:r>
      <w:r>
        <w:rPr>
          <w:rFonts w:hint="eastAsia" w:ascii="___WRD_EMBED_SUB_41" w:hAnsi="___WRD_EMBED_SUB_41" w:eastAsia="___WRD_EMBED_SUB_41" w:cs="___WRD_EMBED_SUB_41"/>
          <w:sz w:val="32"/>
          <w:szCs w:val="32"/>
        </w:rPr>
        <w:t>场</w:t>
      </w:r>
      <w:r>
        <w:rPr>
          <w:rFonts w:hint="eastAsia" w:ascii="Times New Roman" w:hAnsi="Times New Roman" w:eastAsia="仿宋_GB2312" w:cs="Times New Roman"/>
          <w:sz w:val="32"/>
          <w:szCs w:val="32"/>
        </w:rPr>
        <w:t>升级改造</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处长期避难场所，总有效避难面积可达</w:t>
      </w:r>
      <w:r>
        <w:rPr>
          <w:rFonts w:ascii="Times New Roman" w:hAnsi="Times New Roman" w:eastAsia="仿宋_GB2312" w:cs="Times New Roman"/>
          <w:sz w:val="32"/>
          <w:szCs w:val="32"/>
        </w:rPr>
        <w:t>68.3</w:t>
      </w:r>
      <w:r>
        <w:rPr>
          <w:rFonts w:hint="eastAsia" w:ascii="Times New Roman" w:hAnsi="Times New Roman" w:eastAsia="仿宋_GB2312" w:cs="Times New Roman"/>
          <w:sz w:val="32"/>
          <w:szCs w:val="32"/>
        </w:rPr>
        <w:t>万平方米</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（六）应急疏散与交通保障</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以陆路交通为主，航空、铁路等其他交通方式为补充，构建与应急避难场所能力相匹配的区内避难疏散通道网络体系。</w:t>
      </w:r>
    </w:p>
    <w:p>
      <w:pPr>
        <w:spacing w:line="56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结合城区主干道和次干道，划定城市救灾主干道、区内救灾通道等避难救援体系。加强与周边区域（如</w:t>
      </w:r>
      <w:r>
        <w:rPr>
          <w:rFonts w:hint="eastAsia" w:ascii="微软雅黑" w:hAnsi="微软雅黑" w:eastAsia="微软雅黑" w:cs="微软雅黑"/>
          <w:sz w:val="32"/>
          <w:szCs w:val="32"/>
        </w:rPr>
        <w:t>怀柔区</w:t>
      </w:r>
      <w:r>
        <w:rPr>
          <w:rFonts w:hint="eastAsia" w:ascii="Times New Roman" w:hAnsi="Times New Roman" w:eastAsia="仿宋_GB2312" w:cs="Times New Roman"/>
          <w:sz w:val="32"/>
          <w:szCs w:val="32"/>
        </w:rPr>
        <w:t>等）的交通应急保障合作机制，确保在灾害发生时，能够迅速协调跨区域的交通资源，为密云区的救援工作提供有力支持。切实规范和做好跨区域抢险救灾车辆、社会救援车辆在行政区域内的公路通行服务保障工作。加强灾区周边陆、铁、空运输的统一指挥调度，确保灾区交通安全有序，保障应急救援人员和装备的优先、快捷运送。</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七</w:t>
      </w:r>
      <w:r>
        <w:rPr>
          <w:rFonts w:ascii="Times New Roman" w:hAnsi="Times New Roman" w:eastAsia="楷体_GB2312" w:cs="Times New Roman"/>
          <w:kern w:val="0"/>
          <w:sz w:val="32"/>
          <w:szCs w:val="32"/>
        </w:rPr>
        <w:t>）突出精细化服务引导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注城市和乡村地区应急避难场所的均等化、差异化配置。在人口稠密区域和灾害易发区域加强应急避难场所的建设和布局。加快推进室内应急避难场所建设，特别是在重要地区、部分灾害受影响区域、敏感人群集中区域鼓励推进室内应急避难场所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这有助于提高避难场所的容纳能力和安全性。</w:t>
      </w:r>
      <w:r>
        <w:rPr>
          <w:rFonts w:hint="eastAsia" w:ascii="Times New Roman" w:hAnsi="Times New Roman" w:eastAsia="仿宋_GB2312" w:cs="Times New Roman"/>
          <w:sz w:val="32"/>
          <w:szCs w:val="32"/>
        </w:rPr>
        <w:t>精细区分紧急、短期和长期避难场所的功能分区、设施设备、物资储备等设计要求。</w:t>
      </w:r>
    </w:p>
    <w:p>
      <w:pPr>
        <w:pStyle w:val="2"/>
        <w:spacing w:line="560" w:lineRule="exact"/>
        <w:ind w:firstLine="640"/>
        <w:jc w:val="both"/>
        <w:rPr>
          <w:rFonts w:ascii="Times New Roman" w:hAnsi="Times New Roman" w:cs="Times New Roman"/>
          <w:b w:val="0"/>
          <w:bCs w:val="0"/>
        </w:rPr>
      </w:pPr>
      <w:r>
        <w:rPr>
          <w:rFonts w:ascii="Times New Roman" w:hAnsi="Times New Roman" w:cs="Times New Roman"/>
          <w:b w:val="0"/>
          <w:bCs w:val="0"/>
        </w:rPr>
        <w:t>五、分级分类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应急管理部、自然资源部、住房城乡建设部等12部委联合印发《关于加强应急避难场所建设的指导意见》（应急〔2023〕76号）文件要求。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应急避难场所功能属性及分类管理需要，进一步规范应急避难场所类型划分，按照建筑及场地类别可分为室内型和室外型应急避难场所，按照总体功能定位可分为综合性和单一性应急避难场所，按照避难时长、面积及人数等可分为紧急、短期、长期应急避难场所，根据特殊需求及功能需要可设置特定应急避难场所。</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遵循发展规划、国土空间总体规划</w:t>
      </w:r>
      <w:r>
        <w:rPr>
          <w:rFonts w:hint="eastAsia" w:ascii="仿宋" w:hAnsi="仿宋" w:eastAsia="仿宋" w:cs="Times New Roman"/>
          <w:sz w:val="32"/>
          <w:szCs w:val="32"/>
        </w:rPr>
        <w:t>要求，</w:t>
      </w:r>
      <w:r>
        <w:rPr>
          <w:rFonts w:ascii="仿宋" w:hAnsi="仿宋" w:eastAsia="仿宋" w:cs="Times New Roman"/>
          <w:sz w:val="32"/>
          <w:szCs w:val="32"/>
        </w:rPr>
        <w:t>开展</w:t>
      </w:r>
      <w:r>
        <w:rPr>
          <w:rFonts w:hint="eastAsia" w:ascii="仿宋" w:hAnsi="仿宋" w:eastAsia="仿宋" w:cs="Times New Roman"/>
          <w:sz w:val="32"/>
          <w:szCs w:val="32"/>
        </w:rPr>
        <w:t>密云区</w:t>
      </w:r>
      <w:r>
        <w:rPr>
          <w:rFonts w:ascii="仿宋" w:hAnsi="仿宋" w:eastAsia="仿宋" w:cs="Times New Roman"/>
          <w:sz w:val="32"/>
          <w:szCs w:val="32"/>
        </w:rPr>
        <w:t>应急避难场所专项规划编制，批复后按程序纳入详细规划及国土空间规划“一张图”，初步形成</w:t>
      </w:r>
      <w:r>
        <w:rPr>
          <w:rFonts w:hint="eastAsia" w:ascii="仿宋" w:hAnsi="仿宋" w:eastAsia="仿宋" w:cs="Times New Roman"/>
          <w:sz w:val="32"/>
          <w:szCs w:val="32"/>
        </w:rPr>
        <w:t>区</w:t>
      </w:r>
      <w:r>
        <w:rPr>
          <w:rFonts w:ascii="仿宋" w:hAnsi="仿宋" w:eastAsia="仿宋" w:cs="Times New Roman"/>
          <w:sz w:val="32"/>
          <w:szCs w:val="32"/>
        </w:rPr>
        <w:t>、乡镇（街道）和村（社区）</w:t>
      </w:r>
      <w:r>
        <w:rPr>
          <w:rFonts w:hint="eastAsia" w:ascii="仿宋" w:hAnsi="仿宋" w:eastAsia="仿宋" w:cs="Times New Roman"/>
          <w:sz w:val="32"/>
          <w:szCs w:val="32"/>
        </w:rPr>
        <w:t>三</w:t>
      </w:r>
      <w:r>
        <w:rPr>
          <w:rFonts w:ascii="仿宋" w:hAnsi="仿宋" w:eastAsia="仿宋" w:cs="Times New Roman"/>
          <w:sz w:val="32"/>
          <w:szCs w:val="32"/>
        </w:rPr>
        <w:t>级应急避难场所布局体系，乡村应急避难场所覆盖范围进一步扩大，综合防灾减灾功能进一步夯实。</w:t>
      </w:r>
    </w:p>
    <w:p>
      <w:pPr>
        <w:spacing w:line="560" w:lineRule="exact"/>
        <w:ind w:firstLine="640" w:firstLineChars="200"/>
        <w:rPr>
          <w:rFonts w:ascii="Times New Roman" w:hAnsi="Times New Roman" w:eastAsia="仿宋_GB2312" w:cs="Times New Roman"/>
          <w:kern w:val="0"/>
          <w:sz w:val="32"/>
          <w:szCs w:val="32"/>
          <w:lang w:bidi="zh-CN"/>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D4BE9-9D5E-4107-AA08-46C56CC8AE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488001-DE1D-4DD7-B0F4-BCC778BFAA05}"/>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FCD4E82F-CD86-4F4F-8745-D087D371F49A}"/>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4" w:fontKey="{191F3769-5E3D-414F-8245-621670E691FA}"/>
  </w:font>
  <w:font w:name="微软雅黑">
    <w:panose1 w:val="020B0503020204020204"/>
    <w:charset w:val="86"/>
    <w:family w:val="swiss"/>
    <w:pitch w:val="default"/>
    <w:sig w:usb0="80000287" w:usb1="280F3C52" w:usb2="00000016" w:usb3="00000000" w:csb0="0004001F" w:csb1="00000000"/>
    <w:embedRegular r:id="rId5" w:fontKey="{9766B32F-F9F7-4D4A-A761-B5C91A5AB0A4}"/>
  </w:font>
  <w:font w:name="楷体_GB2312">
    <w:panose1 w:val="02010609030101010101"/>
    <w:charset w:val="86"/>
    <w:family w:val="modern"/>
    <w:pitch w:val="default"/>
    <w:sig w:usb0="00000001" w:usb1="080E0000" w:usb2="00000000" w:usb3="00000000" w:csb0="00040000" w:csb1="00000000"/>
    <w:embedRegular r:id="rId6" w:fontKey="{2269106D-6FCE-4268-9464-458DFA51EE22}"/>
  </w:font>
  <w:font w:name="___WRD_EMBED_SUB_41">
    <w:altName w:val="宋体"/>
    <w:panose1 w:val="02010609030101010101"/>
    <w:charset w:val="86"/>
    <w:family w:val="modern"/>
    <w:pitch w:val="default"/>
    <w:sig w:usb0="00000000" w:usb1="00000000" w:usb2="00000010" w:usb3="00000000" w:csb0="00040000" w:csb1="00000000"/>
    <w:embedRegular r:id="rId7" w:fontKey="{D96E9642-C9C3-4E39-BF9F-04AC1A808784}"/>
  </w:font>
  <w:font w:name="___WRD_EMBED_SUB_748">
    <w:panose1 w:val="02010609030101010101"/>
    <w:charset w:val="86"/>
    <w:family w:val="modern"/>
    <w:pitch w:val="default"/>
    <w:sig w:usb0="00000000" w:usb1="00000000" w:usb2="00000000" w:usb3="00000000" w:csb0="00000000" w:csb1="00000000"/>
    <w:embedRegular r:id="rId8" w:fontKey="{1445A18C-FF5A-470C-96BA-F5B0177286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-342900</wp:posOffset>
              </wp:positionV>
              <wp:extent cx="11176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760"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8.6pt;margin-top:-27pt;height:22.15pt;width:8.8pt;mso-position-horizontal-relative:margin;z-index:251659264;mso-width-relative:page;mso-height-relative:page;" filled="f" stroked="f" coordsize="21600,21600" o:gfxdata="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vRsxzZAAAACgEAAA8AAAAA&#10;AAAAAQAgAAAAIgAAAGRycy9kb3ducmV2LnhtbFBLAQIUABQAAAAIAIdO4kBZInSpEwIAAAcEAAAO&#10;AAAAAAAAAAEAIAAAACgBAABkcnMvZTJvRG9jLnhtbFBLBQYAAAAABgAGAFkBAACtBQAAAAA=&#10;">
              <v:fill on="f" focussize="0,0"/>
              <v:stroke on="f" weight="0.5pt"/>
              <v:imagedata o:title=""/>
              <o:lock v:ext="edit" aspectratio="f"/>
              <v:textbox inset="0mm,0mm,0mm,0mm">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yOTUyZTljZDBmY2VkNTA1NDIwNzcyZGIwOWY0N2QifQ=="/>
  </w:docVars>
  <w:rsids>
    <w:rsidRoot w:val="00101D0F"/>
    <w:rsid w:val="000024BC"/>
    <w:rsid w:val="00003FBE"/>
    <w:rsid w:val="000041EB"/>
    <w:rsid w:val="00014A03"/>
    <w:rsid w:val="00020016"/>
    <w:rsid w:val="00033580"/>
    <w:rsid w:val="000519B5"/>
    <w:rsid w:val="00065D68"/>
    <w:rsid w:val="000720EF"/>
    <w:rsid w:val="00074AA8"/>
    <w:rsid w:val="000929D6"/>
    <w:rsid w:val="0009690B"/>
    <w:rsid w:val="000B096E"/>
    <w:rsid w:val="000C1708"/>
    <w:rsid w:val="000D4BDA"/>
    <w:rsid w:val="000E1E69"/>
    <w:rsid w:val="000E3590"/>
    <w:rsid w:val="000E7D7D"/>
    <w:rsid w:val="00101D0F"/>
    <w:rsid w:val="001039D3"/>
    <w:rsid w:val="0015759B"/>
    <w:rsid w:val="001647C5"/>
    <w:rsid w:val="00177F57"/>
    <w:rsid w:val="001A68F6"/>
    <w:rsid w:val="00202B2D"/>
    <w:rsid w:val="002163AA"/>
    <w:rsid w:val="002217C6"/>
    <w:rsid w:val="00225776"/>
    <w:rsid w:val="00237794"/>
    <w:rsid w:val="0024605B"/>
    <w:rsid w:val="00262A5A"/>
    <w:rsid w:val="00264643"/>
    <w:rsid w:val="002766A1"/>
    <w:rsid w:val="00277021"/>
    <w:rsid w:val="00291B80"/>
    <w:rsid w:val="002962C9"/>
    <w:rsid w:val="002A707C"/>
    <w:rsid w:val="002C46A9"/>
    <w:rsid w:val="002E3A1F"/>
    <w:rsid w:val="002E3AB7"/>
    <w:rsid w:val="002E490E"/>
    <w:rsid w:val="0030310C"/>
    <w:rsid w:val="003127B0"/>
    <w:rsid w:val="0031648F"/>
    <w:rsid w:val="003175DB"/>
    <w:rsid w:val="0033448F"/>
    <w:rsid w:val="00335496"/>
    <w:rsid w:val="00350DA9"/>
    <w:rsid w:val="00361A66"/>
    <w:rsid w:val="00387456"/>
    <w:rsid w:val="00390340"/>
    <w:rsid w:val="003A3DD4"/>
    <w:rsid w:val="003D0831"/>
    <w:rsid w:val="003D5ADD"/>
    <w:rsid w:val="003F65E5"/>
    <w:rsid w:val="004169BB"/>
    <w:rsid w:val="00435FC8"/>
    <w:rsid w:val="004551E0"/>
    <w:rsid w:val="004638A2"/>
    <w:rsid w:val="00470B49"/>
    <w:rsid w:val="00485931"/>
    <w:rsid w:val="00486CA0"/>
    <w:rsid w:val="00487644"/>
    <w:rsid w:val="004B1BE9"/>
    <w:rsid w:val="004C6A6C"/>
    <w:rsid w:val="004C7C62"/>
    <w:rsid w:val="004D3C8E"/>
    <w:rsid w:val="004E05D8"/>
    <w:rsid w:val="004E23FD"/>
    <w:rsid w:val="004F0D7C"/>
    <w:rsid w:val="00521E1D"/>
    <w:rsid w:val="00542A35"/>
    <w:rsid w:val="005468F0"/>
    <w:rsid w:val="00557E1A"/>
    <w:rsid w:val="00564FE8"/>
    <w:rsid w:val="0059197F"/>
    <w:rsid w:val="005A7FBB"/>
    <w:rsid w:val="005C36BB"/>
    <w:rsid w:val="005C59A4"/>
    <w:rsid w:val="005E61F9"/>
    <w:rsid w:val="006042B9"/>
    <w:rsid w:val="0062102F"/>
    <w:rsid w:val="00667DD0"/>
    <w:rsid w:val="006717F8"/>
    <w:rsid w:val="006B0A94"/>
    <w:rsid w:val="006B6657"/>
    <w:rsid w:val="006B7FDA"/>
    <w:rsid w:val="006C2992"/>
    <w:rsid w:val="006D2FB5"/>
    <w:rsid w:val="006F2442"/>
    <w:rsid w:val="006F6289"/>
    <w:rsid w:val="007123C8"/>
    <w:rsid w:val="00725EB0"/>
    <w:rsid w:val="007366D5"/>
    <w:rsid w:val="007369FD"/>
    <w:rsid w:val="00747553"/>
    <w:rsid w:val="00764DB8"/>
    <w:rsid w:val="00780048"/>
    <w:rsid w:val="00783C6B"/>
    <w:rsid w:val="007850EB"/>
    <w:rsid w:val="0078594E"/>
    <w:rsid w:val="00786111"/>
    <w:rsid w:val="00787D02"/>
    <w:rsid w:val="007A1FCD"/>
    <w:rsid w:val="007C18BE"/>
    <w:rsid w:val="007E1440"/>
    <w:rsid w:val="008046E7"/>
    <w:rsid w:val="008121CC"/>
    <w:rsid w:val="0081296C"/>
    <w:rsid w:val="008153C5"/>
    <w:rsid w:val="00815ACF"/>
    <w:rsid w:val="00832B88"/>
    <w:rsid w:val="008448A6"/>
    <w:rsid w:val="0087502B"/>
    <w:rsid w:val="00890F67"/>
    <w:rsid w:val="008D3959"/>
    <w:rsid w:val="00900510"/>
    <w:rsid w:val="00925C44"/>
    <w:rsid w:val="00991B55"/>
    <w:rsid w:val="00992ED4"/>
    <w:rsid w:val="00996BDC"/>
    <w:rsid w:val="009A6830"/>
    <w:rsid w:val="009A6B1F"/>
    <w:rsid w:val="009C2DC1"/>
    <w:rsid w:val="009F7040"/>
    <w:rsid w:val="009F7336"/>
    <w:rsid w:val="009F7BCA"/>
    <w:rsid w:val="00A019EF"/>
    <w:rsid w:val="00A04221"/>
    <w:rsid w:val="00A36E97"/>
    <w:rsid w:val="00A37264"/>
    <w:rsid w:val="00A41C88"/>
    <w:rsid w:val="00AA5CD5"/>
    <w:rsid w:val="00AA5EF1"/>
    <w:rsid w:val="00AB6438"/>
    <w:rsid w:val="00AC13A8"/>
    <w:rsid w:val="00AE07BC"/>
    <w:rsid w:val="00B062A4"/>
    <w:rsid w:val="00B37ED5"/>
    <w:rsid w:val="00B838FB"/>
    <w:rsid w:val="00B93F00"/>
    <w:rsid w:val="00B97B35"/>
    <w:rsid w:val="00BA3BFC"/>
    <w:rsid w:val="00BA4100"/>
    <w:rsid w:val="00BC4E39"/>
    <w:rsid w:val="00BD55E1"/>
    <w:rsid w:val="00BD6C79"/>
    <w:rsid w:val="00BE080E"/>
    <w:rsid w:val="00BF1547"/>
    <w:rsid w:val="00C45931"/>
    <w:rsid w:val="00C54963"/>
    <w:rsid w:val="00C65508"/>
    <w:rsid w:val="00C75E9F"/>
    <w:rsid w:val="00C91C99"/>
    <w:rsid w:val="00CB591B"/>
    <w:rsid w:val="00CC4ADE"/>
    <w:rsid w:val="00CD0AAB"/>
    <w:rsid w:val="00CD0C46"/>
    <w:rsid w:val="00CD2A1D"/>
    <w:rsid w:val="00CE2B99"/>
    <w:rsid w:val="00CE4E75"/>
    <w:rsid w:val="00D00A27"/>
    <w:rsid w:val="00D21D22"/>
    <w:rsid w:val="00D45FCE"/>
    <w:rsid w:val="00D6492D"/>
    <w:rsid w:val="00D75A8E"/>
    <w:rsid w:val="00DA2B94"/>
    <w:rsid w:val="00DC47A1"/>
    <w:rsid w:val="00DD59C8"/>
    <w:rsid w:val="00DE49FA"/>
    <w:rsid w:val="00DF65C9"/>
    <w:rsid w:val="00E417B6"/>
    <w:rsid w:val="00E41D5C"/>
    <w:rsid w:val="00E460B8"/>
    <w:rsid w:val="00E60C1E"/>
    <w:rsid w:val="00E70928"/>
    <w:rsid w:val="00E851DE"/>
    <w:rsid w:val="00E954D7"/>
    <w:rsid w:val="00EA1C03"/>
    <w:rsid w:val="00EB3198"/>
    <w:rsid w:val="00F16C22"/>
    <w:rsid w:val="00F41C1F"/>
    <w:rsid w:val="00F63C0A"/>
    <w:rsid w:val="00F73C9F"/>
    <w:rsid w:val="00F77D19"/>
    <w:rsid w:val="00FB2236"/>
    <w:rsid w:val="00FB37F2"/>
    <w:rsid w:val="00FE0AC1"/>
    <w:rsid w:val="00FE6142"/>
    <w:rsid w:val="02FC467A"/>
    <w:rsid w:val="0D551DC1"/>
    <w:rsid w:val="14A37949"/>
    <w:rsid w:val="18AF6FDE"/>
    <w:rsid w:val="19041BDF"/>
    <w:rsid w:val="1D2D4F57"/>
    <w:rsid w:val="303A7336"/>
    <w:rsid w:val="37DB40EC"/>
    <w:rsid w:val="39CB3969"/>
    <w:rsid w:val="3BEE24BF"/>
    <w:rsid w:val="4492750F"/>
    <w:rsid w:val="4B4340EE"/>
    <w:rsid w:val="598617C5"/>
    <w:rsid w:val="5A9D5D69"/>
    <w:rsid w:val="60525B9B"/>
    <w:rsid w:val="62C25FC7"/>
    <w:rsid w:val="6AE45F32"/>
    <w:rsid w:val="6B035A7F"/>
    <w:rsid w:val="6DFF4FF0"/>
    <w:rsid w:val="72677E12"/>
    <w:rsid w:val="7D3BE790"/>
    <w:rsid w:val="7DFF6E3B"/>
    <w:rsid w:val="CBFD9F86"/>
    <w:rsid w:val="F77DA12B"/>
    <w:rsid w:val="FFFE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ind w:firstLine="643" w:firstLineChars="200"/>
      <w:jc w:val="left"/>
      <w:outlineLvl w:val="0"/>
    </w:pPr>
    <w:rPr>
      <w:rFonts w:ascii="黑体" w:hAnsi="黑体" w:eastAsia="黑体"/>
      <w:b/>
      <w:bCs/>
      <w:sz w:val="32"/>
      <w:szCs w:val="32"/>
    </w:rPr>
  </w:style>
  <w:style w:type="paragraph" w:styleId="3">
    <w:name w:val="heading 2"/>
    <w:basedOn w:val="1"/>
    <w:next w:val="1"/>
    <w:link w:val="18"/>
    <w:unhideWhenUsed/>
    <w:qFormat/>
    <w:uiPriority w:val="9"/>
    <w:pPr>
      <w:ind w:firstLine="643" w:firstLineChars="200"/>
      <w:jc w:val="left"/>
      <w:outlineLvl w:val="1"/>
    </w:pPr>
    <w:rPr>
      <w:rFonts w:ascii="仿宋" w:hAnsi="仿宋" w:eastAsia="仿宋"/>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6"/>
    <w:unhideWhenUsed/>
    <w:qFormat/>
    <w:uiPriority w:val="0"/>
    <w:rPr>
      <w:rFonts w:ascii="宋体" w:hAnsi="Courier New" w:eastAsia="仿宋_GB2312" w:cs="Times New Roman"/>
      <w:sz w:val="32"/>
      <w:szCs w:val="20"/>
    </w:rPr>
  </w:style>
  <w:style w:type="paragraph" w:styleId="5">
    <w:name w:val="Date"/>
    <w:basedOn w:val="1"/>
    <w:next w:val="1"/>
    <w:link w:val="17"/>
    <w:unhideWhenUsed/>
    <w:qFormat/>
    <w:uiPriority w:val="99"/>
    <w:pPr>
      <w:ind w:left="100" w:leftChars="2500"/>
    </w:p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tabs>
        <w:tab w:val="center" w:pos="4153"/>
        <w:tab w:val="right" w:pos="8306"/>
      </w:tabs>
      <w:snapToGrid w:val="0"/>
      <w:jc w:val="center"/>
    </w:pPr>
    <w:rPr>
      <w:sz w:val="18"/>
      <w:szCs w:val="18"/>
    </w:rPr>
  </w:style>
  <w:style w:type="paragraph" w:styleId="8">
    <w:name w:val="footnote text"/>
    <w:basedOn w:val="1"/>
    <w:link w:val="20"/>
    <w:unhideWhenUsed/>
    <w:qFormat/>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otnote reference"/>
    <w:basedOn w:val="11"/>
    <w:unhideWhenUsed/>
    <w:qFormat/>
    <w:uiPriority w:val="99"/>
    <w:rPr>
      <w:vertAlign w:val="superscript"/>
    </w:rPr>
  </w:style>
  <w:style w:type="paragraph" w:customStyle="1" w:styleId="14">
    <w:name w:val="列出段落1"/>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6">
    <w:name w:val="标题 1 Char"/>
    <w:basedOn w:val="11"/>
    <w:link w:val="2"/>
    <w:qFormat/>
    <w:uiPriority w:val="9"/>
    <w:rPr>
      <w:rFonts w:ascii="黑体" w:hAnsi="黑体" w:eastAsia="黑体"/>
      <w:b/>
      <w:bCs/>
      <w:sz w:val="32"/>
      <w:szCs w:val="32"/>
    </w:rPr>
  </w:style>
  <w:style w:type="character" w:customStyle="1" w:styleId="17">
    <w:name w:val="日期 Char"/>
    <w:basedOn w:val="11"/>
    <w:link w:val="5"/>
    <w:semiHidden/>
    <w:qFormat/>
    <w:uiPriority w:val="99"/>
  </w:style>
  <w:style w:type="character" w:customStyle="1" w:styleId="18">
    <w:name w:val="标题 2 Char"/>
    <w:basedOn w:val="11"/>
    <w:link w:val="3"/>
    <w:qFormat/>
    <w:uiPriority w:val="9"/>
    <w:rPr>
      <w:rFonts w:ascii="仿宋" w:hAnsi="仿宋" w:eastAsia="仿宋"/>
      <w:b/>
      <w:bCs/>
      <w:sz w:val="32"/>
      <w:szCs w:val="32"/>
    </w:rPr>
  </w:style>
  <w:style w:type="paragraph" w:customStyle="1" w:styleId="19">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脚注文本 Char"/>
    <w:basedOn w:val="11"/>
    <w:link w:val="8"/>
    <w:semiHidden/>
    <w:qFormat/>
    <w:uiPriority w:val="99"/>
    <w:rPr>
      <w:sz w:val="18"/>
      <w:szCs w:val="18"/>
    </w:rPr>
  </w:style>
  <w:style w:type="character" w:customStyle="1" w:styleId="21">
    <w:name w:val="页眉 Char"/>
    <w:basedOn w:val="11"/>
    <w:link w:val="7"/>
    <w:qFormat/>
    <w:uiPriority w:val="99"/>
    <w:rPr>
      <w:sz w:val="18"/>
      <w:szCs w:val="18"/>
    </w:rPr>
  </w:style>
  <w:style w:type="character" w:customStyle="1" w:styleId="22">
    <w:name w:val="页脚 Char"/>
    <w:basedOn w:val="11"/>
    <w:link w:val="6"/>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纯文本 字符"/>
    <w:basedOn w:val="11"/>
    <w:semiHidden/>
    <w:qFormat/>
    <w:uiPriority w:val="99"/>
    <w:rPr>
      <w:rFonts w:hAnsi="Courier New" w:cs="Courier New" w:asciiTheme="minorEastAsia"/>
      <w:kern w:val="2"/>
      <w:sz w:val="21"/>
      <w:szCs w:val="22"/>
    </w:rPr>
  </w:style>
  <w:style w:type="character" w:customStyle="1" w:styleId="26">
    <w:name w:val="纯文本 Char"/>
    <w:basedOn w:val="11"/>
    <w:link w:val="4"/>
    <w:qFormat/>
    <w:uiPriority w:val="0"/>
    <w:rPr>
      <w:rFonts w:ascii="宋体" w:hAnsi="Courier New" w:eastAsia="仿宋_GB2312" w:cs="Times New Roman"/>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515</Words>
  <Characters>2938</Characters>
  <Lines>24</Lines>
  <Paragraphs>6</Paragraphs>
  <TotalTime>19</TotalTime>
  <ScaleCrop>false</ScaleCrop>
  <LinksUpToDate>false</LinksUpToDate>
  <CharactersWithSpaces>3447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2024-10-13T02:48:00Z</dcterms:created>
  <dc:creator>xiang lee</dc:creator>
  <cp:lastModifiedBy>月蚀</cp:lastModifiedBy>
  <cp:lastPrinted>2023-08-25T16:33:00Z</cp:lastPrinted>
  <dcterms:modified xsi:type="dcterms:W3CDTF">2024-12-26T02:10:48Z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F4EDB4DC6BD74A7B9F078FCBE7D737BE_13</vt:lpwstr>
  </property>
</Properties>
</file>