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highlight w:val="none"/>
          <w:u w:val="none"/>
          <w:lang w:val="en-US" w:eastAsia="zh-CN"/>
        </w:rPr>
      </w:pPr>
      <w:bookmarkStart w:id="0" w:name="_GoBack"/>
      <w:bookmarkEnd w:id="0"/>
      <w:r>
        <w:rPr>
          <w:rFonts w:hint="eastAsia" w:ascii="方正小标宋_GBK" w:hAnsi="方正小标宋_GBK" w:eastAsia="方正小标宋_GBK" w:cs="方正小标宋_GBK"/>
          <w:color w:val="auto"/>
          <w:sz w:val="44"/>
          <w:szCs w:val="44"/>
          <w:highlight w:val="none"/>
          <w:u w:val="none"/>
          <w:lang w:val="en-US" w:eastAsia="zh-CN"/>
        </w:rPr>
        <w:t>密云区4</w:t>
      </w:r>
      <w:r>
        <w:rPr>
          <w:rFonts w:hint="eastAsia" w:ascii="方正小标宋_GBK" w:hAnsi="方正小标宋_GBK" w:eastAsia="方正小标宋_GBK" w:cs="方正小标宋_GBK"/>
          <w:color w:val="auto"/>
          <w:sz w:val="44"/>
          <w:szCs w:val="44"/>
          <w:highlight w:val="none"/>
          <w:u w:val="none"/>
          <w:lang w:eastAsia="zh-CN"/>
        </w:rPr>
        <w:t>月“接诉即办”考核期工作情况分析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一、诉求总量情况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outlineLvl w:val="9"/>
        <w:rPr>
          <w:rFonts w:hint="eastAsia" w:ascii="仿宋_GB2312" w:hAnsi="仿宋_GB2312" w:eastAsia="仿宋_GB2312" w:cs="仿宋_GB2312"/>
          <w:b w:val="0"/>
          <w:bCs/>
          <w:color w:val="auto"/>
          <w:spacing w:val="-6"/>
          <w:sz w:val="32"/>
          <w:szCs w:val="32"/>
          <w:highlight w:val="none"/>
          <w:u w:val="none"/>
          <w:lang w:val="en-US" w:eastAsia="zh-CN"/>
        </w:rPr>
      </w:pPr>
      <w:r>
        <w:rPr>
          <w:rFonts w:hint="eastAsia" w:ascii="仿宋_GB2312" w:hAnsi="仿宋_GB2312" w:eastAsia="仿宋_GB2312" w:cs="仿宋_GB2312"/>
          <w:b w:val="0"/>
          <w:bCs/>
          <w:color w:val="auto"/>
          <w:spacing w:val="-6"/>
          <w:sz w:val="32"/>
          <w:szCs w:val="32"/>
          <w:highlight w:val="none"/>
          <w:u w:val="none"/>
          <w:lang w:val="en-US" w:eastAsia="zh-CN"/>
        </w:rPr>
        <w:t>2022年3月19日0时至4月19日0时，我区共受理“12345”市民服务热线群众诉求</w:t>
      </w:r>
      <w:r>
        <w:rPr>
          <w:rFonts w:hint="eastAsia" w:ascii="仿宋_GB2312" w:hAnsi="仿宋_GB2312" w:eastAsia="仿宋_GB2312" w:cs="仿宋_GB2312"/>
          <w:b/>
          <w:bCs w:val="0"/>
          <w:color w:val="auto"/>
          <w:spacing w:val="-6"/>
          <w:sz w:val="32"/>
          <w:szCs w:val="32"/>
          <w:highlight w:val="none"/>
          <w:u w:val="none"/>
          <w:lang w:val="en-US" w:eastAsia="zh-CN"/>
        </w:rPr>
        <w:t>13691件</w:t>
      </w:r>
      <w:r>
        <w:rPr>
          <w:rFonts w:hint="eastAsia" w:ascii="仿宋_GB2312" w:hAnsi="仿宋_GB2312" w:eastAsia="仿宋_GB2312" w:cs="仿宋_GB2312"/>
          <w:b w:val="0"/>
          <w:bCs/>
          <w:color w:val="auto"/>
          <w:spacing w:val="-6"/>
          <w:sz w:val="32"/>
          <w:szCs w:val="32"/>
          <w:highlight w:val="none"/>
          <w:u w:val="none"/>
          <w:lang w:val="en-US" w:eastAsia="zh-CN"/>
        </w:rPr>
        <w:t>，</w:t>
      </w:r>
      <w:r>
        <w:rPr>
          <w:rFonts w:hint="eastAsia" w:ascii="仿宋_GB2312" w:hAnsi="仿宋_GB2312" w:eastAsia="仿宋_GB2312" w:cs="仿宋_GB2312"/>
          <w:b w:val="0"/>
          <w:bCs/>
          <w:color w:val="000000" w:themeColor="text1"/>
          <w:spacing w:val="-6"/>
          <w:sz w:val="32"/>
          <w:szCs w:val="32"/>
          <w:highlight w:val="none"/>
          <w:u w:val="none"/>
          <w:lang w:val="en-US" w:eastAsia="zh-CN"/>
          <w14:textFill>
            <w14:solidFill>
              <w14:schemeClr w14:val="tx1"/>
            </w14:solidFill>
          </w14:textFill>
        </w:rPr>
        <w:t>环比</w:t>
      </w:r>
      <w:r>
        <w:rPr>
          <w:rFonts w:hint="eastAsia" w:ascii="仿宋_GB2312" w:hAnsi="仿宋_GB2312" w:eastAsia="仿宋_GB2312" w:cs="仿宋_GB2312"/>
          <w:b w:val="0"/>
          <w:bCs/>
          <w:color w:val="auto"/>
          <w:spacing w:val="-6"/>
          <w:sz w:val="32"/>
          <w:szCs w:val="32"/>
          <w:highlight w:val="none"/>
          <w:u w:val="none"/>
          <w:lang w:val="en-US" w:eastAsia="zh-CN"/>
        </w:rPr>
        <w:t>上升</w:t>
      </w:r>
      <w:r>
        <w:rPr>
          <w:rFonts w:hint="eastAsia" w:ascii="仿宋_GB2312" w:hAnsi="仿宋_GB2312" w:eastAsia="仿宋_GB2312" w:cs="仿宋_GB2312"/>
          <w:b/>
          <w:bCs w:val="0"/>
          <w:color w:val="auto"/>
          <w:spacing w:val="-6"/>
          <w:sz w:val="32"/>
          <w:szCs w:val="32"/>
          <w:highlight w:val="none"/>
          <w:u w:val="none"/>
          <w:lang w:val="en-US" w:eastAsia="zh-CN"/>
        </w:rPr>
        <w:t>26.59%，</w:t>
      </w:r>
      <w:r>
        <w:rPr>
          <w:rFonts w:hint="eastAsia" w:ascii="仿宋_GB2312" w:hAnsi="仿宋_GB2312" w:eastAsia="仿宋_GB2312" w:cs="仿宋_GB2312"/>
          <w:b w:val="0"/>
          <w:bCs/>
          <w:color w:val="auto"/>
          <w:spacing w:val="-6"/>
          <w:sz w:val="32"/>
          <w:szCs w:val="32"/>
          <w:highlight w:val="none"/>
          <w:u w:val="none"/>
          <w:lang w:val="en-US" w:eastAsia="zh-CN"/>
        </w:rPr>
        <w:t>同比下降</w:t>
      </w:r>
      <w:r>
        <w:rPr>
          <w:rFonts w:hint="eastAsia" w:ascii="仿宋_GB2312" w:hAnsi="仿宋_GB2312" w:eastAsia="仿宋_GB2312" w:cs="仿宋_GB2312"/>
          <w:b/>
          <w:bCs w:val="0"/>
          <w:color w:val="auto"/>
          <w:spacing w:val="-6"/>
          <w:sz w:val="32"/>
          <w:szCs w:val="32"/>
          <w:highlight w:val="none"/>
          <w:u w:val="none"/>
          <w:lang w:val="en-US" w:eastAsia="zh-CN"/>
        </w:rPr>
        <w:t>12.96%</w:t>
      </w:r>
      <w:r>
        <w:rPr>
          <w:rFonts w:hint="eastAsia" w:ascii="仿宋_GB2312" w:hAnsi="仿宋_GB2312" w:eastAsia="仿宋_GB2312" w:cs="仿宋_GB2312"/>
          <w:b w:val="0"/>
          <w:bCs/>
          <w:color w:val="auto"/>
          <w:spacing w:val="-6"/>
          <w:sz w:val="32"/>
          <w:szCs w:val="32"/>
          <w:highlight w:val="none"/>
          <w:u w:val="none"/>
          <w:lang w:val="en-US" w:eastAsia="zh-CN"/>
        </w:rPr>
        <w:t>（2021年4月，全区受理工单共15730件）</w:t>
      </w:r>
      <w:r>
        <w:rPr>
          <w:rFonts w:hint="eastAsia" w:ascii="仿宋_GB2312" w:hAnsi="仿宋_GB2312" w:eastAsia="仿宋_GB2312" w:cs="仿宋_GB2312"/>
          <w:b/>
          <w:bCs w:val="0"/>
          <w:color w:val="auto"/>
          <w:spacing w:val="-6"/>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lang w:val="en-US" w:eastAsia="zh-CN"/>
        </w:rPr>
      </w:pPr>
      <w:r>
        <w:rPr>
          <w:rFonts w:hint="eastAsia" w:ascii="黑体" w:hAnsi="黑体" w:eastAsia="黑体" w:cs="黑体"/>
          <w:b w:val="0"/>
          <w:bCs/>
          <w:color w:val="auto"/>
          <w:sz w:val="32"/>
          <w:szCs w:val="32"/>
          <w:highlight w:val="none"/>
          <w:u w:val="none"/>
          <w:lang w:val="en-US" w:eastAsia="zh-CN"/>
        </w:rPr>
        <w:t>二、诉求办理情况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val="0"/>
          <w:bCs/>
          <w:color w:val="auto"/>
          <w:spacing w:val="0"/>
          <w:sz w:val="32"/>
          <w:szCs w:val="32"/>
          <w:highlight w:val="none"/>
          <w:u w:val="none"/>
          <w:lang w:val="en-US" w:eastAsia="zh-CN"/>
        </w:rPr>
        <w:t>本月纳入市级考评工单</w:t>
      </w:r>
      <w:r>
        <w:rPr>
          <w:rFonts w:hint="eastAsia" w:ascii="仿宋_GB2312" w:hAnsi="仿宋_GB2312" w:eastAsia="仿宋_GB2312" w:cs="仿宋_GB2312"/>
          <w:b/>
          <w:bCs w:val="0"/>
          <w:color w:val="auto"/>
          <w:spacing w:val="0"/>
          <w:sz w:val="32"/>
          <w:szCs w:val="32"/>
          <w:highlight w:val="none"/>
          <w:u w:val="none"/>
          <w:lang w:val="en-US" w:eastAsia="zh-CN"/>
        </w:rPr>
        <w:t>6039件</w:t>
      </w:r>
      <w:r>
        <w:rPr>
          <w:rFonts w:hint="eastAsia" w:ascii="仿宋_GB2312" w:hAnsi="仿宋_GB2312" w:eastAsia="仿宋_GB2312" w:cs="仿宋_GB2312"/>
          <w:b w:val="0"/>
          <w:bCs/>
          <w:color w:val="auto"/>
          <w:spacing w:val="0"/>
          <w:sz w:val="32"/>
          <w:szCs w:val="32"/>
          <w:highlight w:val="none"/>
          <w:u w:val="none"/>
          <w:lang w:val="en-US" w:eastAsia="zh-CN"/>
        </w:rPr>
        <w:t>，其中，</w:t>
      </w:r>
      <w:r>
        <w:rPr>
          <w:rFonts w:hint="eastAsia" w:ascii="仿宋_GB2312" w:hAnsi="仿宋_GB2312" w:eastAsia="仿宋_GB2312" w:cs="仿宋_GB2312"/>
          <w:b/>
          <w:bCs w:val="0"/>
          <w:color w:val="auto"/>
          <w:spacing w:val="0"/>
          <w:sz w:val="32"/>
          <w:szCs w:val="32"/>
          <w:highlight w:val="none"/>
          <w:u w:val="none"/>
          <w:lang w:val="en-US" w:eastAsia="zh-CN"/>
        </w:rPr>
        <w:t>“只考核响应率”工单1246件，“考核三率”工单4793件</w:t>
      </w:r>
      <w:r>
        <w:rPr>
          <w:rFonts w:hint="eastAsia" w:ascii="仿宋_GB2312" w:hAnsi="仿宋_GB2312" w:eastAsia="仿宋_GB2312" w:cs="仿宋_GB2312"/>
          <w:b w:val="0"/>
          <w:bCs/>
          <w:color w:val="auto"/>
          <w:spacing w:val="0"/>
          <w:sz w:val="32"/>
          <w:szCs w:val="32"/>
          <w:highlight w:val="none"/>
          <w:u w:val="none"/>
          <w:lang w:val="en-US" w:eastAsia="zh-CN"/>
        </w:rPr>
        <w:t>。“考核三率”工单中“双满工单”4554件，“双否工单”159件，“单否工单”80件。市级考评成绩为：响应率</w:t>
      </w:r>
      <w:r>
        <w:rPr>
          <w:rFonts w:hint="default" w:ascii="仿宋_GB2312" w:hAnsi="仿宋_GB2312" w:eastAsia="仿宋_GB2312" w:cs="仿宋_GB2312"/>
          <w:b w:val="0"/>
          <w:bCs/>
          <w:color w:val="auto"/>
          <w:spacing w:val="0"/>
          <w:sz w:val="32"/>
          <w:szCs w:val="32"/>
          <w:highlight w:val="none"/>
          <w:u w:val="none"/>
          <w:lang w:val="en-US" w:eastAsia="zh-CN"/>
        </w:rPr>
        <w:t>99.71%</w:t>
      </w:r>
      <w:r>
        <w:rPr>
          <w:rFonts w:hint="eastAsia" w:ascii="仿宋_GB2312" w:hAnsi="仿宋_GB2312" w:eastAsia="仿宋_GB2312" w:cs="仿宋_GB2312"/>
          <w:b w:val="0"/>
          <w:bCs/>
          <w:color w:val="auto"/>
          <w:spacing w:val="0"/>
          <w:sz w:val="32"/>
          <w:szCs w:val="32"/>
          <w:highlight w:val="none"/>
          <w:u w:val="none"/>
          <w:lang w:val="en-US" w:eastAsia="zh-CN"/>
        </w:rPr>
        <w:t>、解决率</w:t>
      </w:r>
      <w:r>
        <w:rPr>
          <w:rFonts w:hint="default" w:ascii="仿宋_GB2312" w:hAnsi="仿宋_GB2312" w:eastAsia="仿宋_GB2312" w:cs="仿宋_GB2312"/>
          <w:b w:val="0"/>
          <w:bCs/>
          <w:color w:val="auto"/>
          <w:spacing w:val="0"/>
          <w:sz w:val="32"/>
          <w:szCs w:val="32"/>
          <w:highlight w:val="none"/>
          <w:u w:val="none"/>
          <w:lang w:val="en-US" w:eastAsia="zh-CN"/>
        </w:rPr>
        <w:t>95.03%</w:t>
      </w:r>
      <w:r>
        <w:rPr>
          <w:rFonts w:hint="eastAsia" w:ascii="仿宋_GB2312" w:hAnsi="仿宋_GB2312" w:eastAsia="仿宋_GB2312" w:cs="仿宋_GB2312"/>
          <w:b w:val="0"/>
          <w:bCs/>
          <w:color w:val="auto"/>
          <w:spacing w:val="0"/>
          <w:sz w:val="32"/>
          <w:szCs w:val="32"/>
          <w:highlight w:val="none"/>
          <w:u w:val="none"/>
          <w:lang w:val="en-US" w:eastAsia="zh-CN"/>
        </w:rPr>
        <w:t>、满意率</w:t>
      </w:r>
      <w:r>
        <w:rPr>
          <w:rFonts w:hint="default" w:ascii="仿宋_GB2312" w:hAnsi="仿宋_GB2312" w:eastAsia="仿宋_GB2312" w:cs="仿宋_GB2312"/>
          <w:b w:val="0"/>
          <w:bCs/>
          <w:color w:val="auto"/>
          <w:spacing w:val="0"/>
          <w:sz w:val="32"/>
          <w:szCs w:val="32"/>
          <w:highlight w:val="none"/>
          <w:u w:val="none"/>
          <w:lang w:val="en-US" w:eastAsia="zh-CN"/>
        </w:rPr>
        <w:t>96.18%</w:t>
      </w:r>
      <w:r>
        <w:rPr>
          <w:rFonts w:hint="eastAsia" w:ascii="仿宋_GB2312" w:hAnsi="仿宋_GB2312" w:eastAsia="仿宋_GB2312" w:cs="仿宋_GB2312"/>
          <w:b w:val="0"/>
          <w:bCs/>
          <w:color w:val="auto"/>
          <w:spacing w:val="0"/>
          <w:sz w:val="32"/>
          <w:szCs w:val="32"/>
          <w:highlight w:val="none"/>
          <w:u w:val="none"/>
          <w:lang w:val="en-US" w:eastAsia="zh-CN"/>
        </w:rPr>
        <w:t>，综合成绩</w:t>
      </w:r>
      <w:r>
        <w:rPr>
          <w:rFonts w:hint="default" w:ascii="仿宋_GB2312" w:hAnsi="仿宋_GB2312" w:eastAsia="仿宋_GB2312" w:cs="仿宋_GB2312"/>
          <w:b w:val="0"/>
          <w:bCs/>
          <w:color w:val="auto"/>
          <w:spacing w:val="0"/>
          <w:sz w:val="32"/>
          <w:szCs w:val="32"/>
          <w:highlight w:val="none"/>
          <w:u w:val="none"/>
          <w:lang w:val="en-US" w:eastAsia="zh-CN"/>
        </w:rPr>
        <w:t>95.96</w:t>
      </w:r>
      <w:r>
        <w:rPr>
          <w:rFonts w:hint="eastAsia" w:ascii="仿宋_GB2312" w:hAnsi="仿宋_GB2312" w:eastAsia="仿宋_GB2312" w:cs="仿宋_GB2312"/>
          <w:b w:val="0"/>
          <w:bCs/>
          <w:color w:val="auto"/>
          <w:spacing w:val="0"/>
          <w:sz w:val="32"/>
          <w:szCs w:val="32"/>
          <w:highlight w:val="none"/>
          <w:u w:val="none"/>
          <w:lang w:val="en-US" w:eastAsia="zh-CN"/>
        </w:rPr>
        <w:t>分，排名十六区第4位。</w:t>
      </w:r>
    </w:p>
    <w:p>
      <w:pPr>
        <w:keepNext w:val="0"/>
        <w:keepLines w:val="0"/>
        <w:pageBreakBefore w:val="0"/>
        <w:widowControl/>
        <w:suppressLineNumbers w:val="0"/>
        <w:kinsoku/>
        <w:wordWrap/>
        <w:topLinePunct w:val="0"/>
        <w:autoSpaceDE/>
        <w:autoSpaceDN/>
        <w:bidi w:val="0"/>
        <w:spacing w:line="560" w:lineRule="exact"/>
        <w:ind w:firstLine="643" w:firstLineChars="200"/>
        <w:jc w:val="left"/>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bCs w:val="0"/>
          <w:color w:val="auto"/>
          <w:spacing w:val="0"/>
          <w:sz w:val="32"/>
          <w:szCs w:val="32"/>
          <w:highlight w:val="none"/>
          <w:u w:val="none"/>
          <w:lang w:val="en-US" w:eastAsia="zh-CN"/>
        </w:rPr>
        <w:t>镇街成绩：</w:t>
      </w:r>
      <w:r>
        <w:rPr>
          <w:rFonts w:hint="eastAsia" w:ascii="仿宋_GB2312" w:hAnsi="仿宋_GB2312" w:eastAsia="仿宋_GB2312" w:cs="仿宋_GB2312"/>
          <w:b w:val="0"/>
          <w:bCs/>
          <w:color w:val="auto"/>
          <w:spacing w:val="0"/>
          <w:sz w:val="32"/>
          <w:szCs w:val="32"/>
          <w:highlight w:val="none"/>
          <w:u w:val="none"/>
          <w:lang w:val="en-US" w:eastAsia="zh-CN"/>
        </w:rPr>
        <w:t>全区镇街直派综合成绩96.46分，</w:t>
      </w:r>
      <w:r>
        <w:rPr>
          <w:rFonts w:hint="eastAsia" w:ascii="仿宋_GB2312" w:hAnsi="仿宋_GB2312" w:eastAsia="仿宋_GB2312" w:cs="仿宋_GB2312"/>
          <w:b/>
          <w:bCs w:val="0"/>
          <w:color w:val="auto"/>
          <w:spacing w:val="0"/>
          <w:kern w:val="2"/>
          <w:sz w:val="32"/>
          <w:szCs w:val="32"/>
          <w:highlight w:val="none"/>
          <w:u w:val="none"/>
          <w:lang w:val="en-US" w:eastAsia="zh-CN" w:bidi="ar-SA"/>
        </w:rPr>
        <w:t>低于</w:t>
      </w:r>
      <w:r>
        <w:rPr>
          <w:rFonts w:hint="eastAsia" w:ascii="仿宋_GB2312" w:hAnsi="仿宋_GB2312" w:eastAsia="仿宋_GB2312" w:cs="仿宋_GB2312"/>
          <w:b w:val="0"/>
          <w:bCs/>
          <w:color w:val="auto"/>
          <w:spacing w:val="0"/>
          <w:sz w:val="32"/>
          <w:szCs w:val="32"/>
          <w:highlight w:val="none"/>
          <w:u w:val="none"/>
          <w:lang w:val="en-US" w:eastAsia="zh-CN"/>
        </w:rPr>
        <w:t>全市街乡镇平均水平（97.01</w:t>
      </w:r>
      <w:r>
        <w:rPr>
          <w:rFonts w:hint="eastAsia" w:ascii="宋体" w:hAnsi="宋体" w:eastAsia="宋体" w:cs="宋体"/>
          <w:b/>
          <w:bCs/>
          <w:color w:val="000000"/>
          <w:kern w:val="0"/>
          <w:sz w:val="21"/>
          <w:szCs w:val="21"/>
          <w:lang w:val="en-US" w:eastAsia="zh-CN" w:bidi="ar"/>
        </w:rPr>
        <w:t xml:space="preserve"> </w:t>
      </w:r>
      <w:r>
        <w:rPr>
          <w:rFonts w:hint="eastAsia" w:ascii="仿宋_GB2312" w:hAnsi="仿宋_GB2312" w:eastAsia="仿宋_GB2312" w:cs="仿宋_GB2312"/>
          <w:b w:val="0"/>
          <w:bCs/>
          <w:color w:val="auto"/>
          <w:spacing w:val="0"/>
          <w:sz w:val="32"/>
          <w:szCs w:val="32"/>
          <w:highlight w:val="none"/>
          <w:u w:val="none"/>
          <w:lang w:val="en-US" w:eastAsia="zh-CN"/>
        </w:rPr>
        <w:t>分）</w:t>
      </w:r>
      <w:r>
        <w:rPr>
          <w:rFonts w:hint="eastAsia" w:ascii="仿宋_GB2312" w:hAnsi="仿宋_GB2312" w:eastAsia="仿宋_GB2312" w:cs="仿宋_GB2312"/>
          <w:b/>
          <w:bCs w:val="0"/>
          <w:color w:val="auto"/>
          <w:spacing w:val="0"/>
          <w:sz w:val="32"/>
          <w:szCs w:val="32"/>
          <w:highlight w:val="none"/>
          <w:u w:val="none"/>
          <w:lang w:val="en-US" w:eastAsia="zh-CN"/>
        </w:rPr>
        <w:t>0.55分</w:t>
      </w:r>
      <w:r>
        <w:rPr>
          <w:rFonts w:hint="eastAsia" w:ascii="仿宋_GB2312" w:hAnsi="仿宋_GB2312" w:eastAsia="仿宋_GB2312" w:cs="仿宋_GB2312"/>
          <w:b w:val="0"/>
          <w:bCs/>
          <w:color w:val="auto"/>
          <w:spacing w:val="0"/>
          <w:sz w:val="32"/>
          <w:szCs w:val="32"/>
          <w:highlight w:val="none"/>
          <w:u w:val="none"/>
          <w:lang w:val="en-US" w:eastAsia="zh-CN"/>
        </w:rPr>
        <w:t>。</w:t>
      </w:r>
    </w:p>
    <w:p>
      <w:pPr>
        <w:keepNext w:val="0"/>
        <w:keepLines w:val="0"/>
        <w:pageBreakBefore w:val="0"/>
        <w:widowControl/>
        <w:suppressLineNumbers w:val="0"/>
        <w:kinsoku/>
        <w:wordWrap/>
        <w:topLinePunct w:val="0"/>
        <w:autoSpaceDE/>
        <w:autoSpaceDN/>
        <w:bidi w:val="0"/>
        <w:spacing w:line="560" w:lineRule="exact"/>
        <w:ind w:firstLine="643" w:firstLineChars="200"/>
        <w:jc w:val="left"/>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仿宋_GB2312" w:hAnsi="仿宋_GB2312" w:eastAsia="仿宋_GB2312" w:cs="仿宋_GB2312"/>
          <w:b/>
          <w:bCs w:val="0"/>
          <w:color w:val="auto"/>
          <w:spacing w:val="0"/>
          <w:kern w:val="2"/>
          <w:sz w:val="32"/>
          <w:szCs w:val="32"/>
          <w:highlight w:val="none"/>
          <w:u w:val="none"/>
          <w:lang w:val="en-US" w:eastAsia="zh-CN" w:bidi="ar-SA"/>
        </w:rPr>
        <w:t>部门成绩：</w:t>
      </w:r>
      <w:r>
        <w:rPr>
          <w:rFonts w:hint="eastAsia" w:ascii="仿宋_GB2312" w:hAnsi="仿宋_GB2312" w:eastAsia="仿宋_GB2312" w:cs="仿宋_GB2312"/>
          <w:b w:val="0"/>
          <w:bCs/>
          <w:color w:val="auto"/>
          <w:spacing w:val="0"/>
          <w:kern w:val="2"/>
          <w:sz w:val="32"/>
          <w:szCs w:val="32"/>
          <w:highlight w:val="none"/>
          <w:u w:val="none"/>
          <w:lang w:val="en-US" w:eastAsia="zh-CN" w:bidi="ar-SA"/>
        </w:rPr>
        <w:t>全区部门综合成绩95.97分，</w:t>
      </w:r>
      <w:r>
        <w:rPr>
          <w:rFonts w:hint="eastAsia" w:ascii="仿宋_GB2312" w:hAnsi="仿宋_GB2312" w:eastAsia="仿宋_GB2312" w:cs="仿宋_GB2312"/>
          <w:b/>
          <w:bCs w:val="0"/>
          <w:color w:val="auto"/>
          <w:spacing w:val="0"/>
          <w:kern w:val="2"/>
          <w:sz w:val="32"/>
          <w:szCs w:val="32"/>
          <w:highlight w:val="none"/>
          <w:u w:val="none"/>
          <w:lang w:val="en-US" w:eastAsia="zh-CN" w:bidi="ar-SA"/>
        </w:rPr>
        <w:t>高于</w:t>
      </w:r>
      <w:r>
        <w:rPr>
          <w:rFonts w:hint="eastAsia" w:ascii="仿宋_GB2312" w:hAnsi="仿宋_GB2312" w:eastAsia="仿宋_GB2312" w:cs="仿宋_GB2312"/>
          <w:b w:val="0"/>
          <w:bCs/>
          <w:color w:val="auto"/>
          <w:spacing w:val="0"/>
          <w:kern w:val="2"/>
          <w:sz w:val="32"/>
          <w:szCs w:val="32"/>
          <w:highlight w:val="none"/>
          <w:u w:val="none"/>
          <w:lang w:val="en-US" w:eastAsia="zh-CN" w:bidi="ar-SA"/>
        </w:rPr>
        <w:t>全市各部门平均水平（92.30分）</w:t>
      </w:r>
      <w:r>
        <w:rPr>
          <w:rFonts w:hint="eastAsia" w:ascii="仿宋_GB2312" w:hAnsi="仿宋_GB2312" w:eastAsia="仿宋_GB2312" w:cs="仿宋_GB2312"/>
          <w:b/>
          <w:bCs w:val="0"/>
          <w:color w:val="auto"/>
          <w:spacing w:val="0"/>
          <w:kern w:val="2"/>
          <w:sz w:val="32"/>
          <w:szCs w:val="32"/>
          <w:highlight w:val="none"/>
          <w:u w:val="none"/>
          <w:lang w:val="en-US" w:eastAsia="zh-CN" w:bidi="ar-SA"/>
        </w:rPr>
        <w:t>3.67分</w:t>
      </w:r>
      <w:r>
        <w:rPr>
          <w:rFonts w:hint="eastAsia" w:ascii="仿宋_GB2312" w:hAnsi="仿宋_GB2312" w:eastAsia="仿宋_GB2312" w:cs="仿宋_GB2312"/>
          <w:b w:val="0"/>
          <w:bCs/>
          <w:color w:val="auto"/>
          <w:spacing w:val="0"/>
          <w:kern w:val="2"/>
          <w:sz w:val="32"/>
          <w:szCs w:val="32"/>
          <w:highlight w:val="none"/>
          <w:u w:val="none"/>
          <w:lang w:val="en-US" w:eastAsia="zh-CN" w:bidi="ar-SA"/>
        </w:rPr>
        <w:t>。</w:t>
      </w:r>
    </w:p>
    <w:p>
      <w:pPr>
        <w:pStyle w:val="8"/>
        <w:ind w:left="0" w:leftChars="0" w:firstLine="0" w:firstLineChars="0"/>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表1：市级考评各镇街群众诉求办理情况统计表（直派）</w:t>
      </w:r>
    </w:p>
    <w:tbl>
      <w:tblPr>
        <w:tblStyle w:val="9"/>
        <w:tblW w:w="8870" w:type="dxa"/>
        <w:tblInd w:w="0" w:type="dxa"/>
        <w:shd w:val="clear" w:color="auto" w:fill="auto"/>
        <w:tblLayout w:type="fixed"/>
        <w:tblCellMar>
          <w:top w:w="0" w:type="dxa"/>
          <w:left w:w="0" w:type="dxa"/>
          <w:bottom w:w="0" w:type="dxa"/>
          <w:right w:w="0" w:type="dxa"/>
        </w:tblCellMar>
      </w:tblPr>
      <w:tblGrid>
        <w:gridCol w:w="480"/>
        <w:gridCol w:w="1557"/>
        <w:gridCol w:w="959"/>
        <w:gridCol w:w="969"/>
        <w:gridCol w:w="969"/>
        <w:gridCol w:w="969"/>
        <w:gridCol w:w="2967"/>
      </w:tblGrid>
      <w:tr>
        <w:tblPrEx>
          <w:shd w:val="clear" w:color="auto" w:fill="auto"/>
          <w:tblCellMar>
            <w:top w:w="0" w:type="dxa"/>
            <w:left w:w="0" w:type="dxa"/>
            <w:bottom w:w="0" w:type="dxa"/>
            <w:right w:w="0"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98.71%</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99.12</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99.67%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99.06</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北庄镇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97.95%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99.03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99.52%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99.01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99.10%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98.74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98.64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98.49%</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98.63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97.94%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98.97%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98.56</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97.97%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98.34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99.71%</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97.68</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96.79%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97.62</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96.77%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97.32</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93.92%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97.24%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95.86</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94.88%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95.60%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95.68</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95.65%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95.45</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不老屯镇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94.95%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95.23</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93.75%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93.44%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94.25</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95.48%</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93.03</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93.02%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92.19</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highlight w:val="none"/>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86.08%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88.04%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88.26</w:t>
            </w:r>
          </w:p>
        </w:tc>
      </w:tr>
      <w:tr>
        <w:tblPrEx>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全市共343个街乡镇参与排名，综合成绩为97.01分。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表2：市级考评各镇街群众诉求办理情况统计表（转派）</w:t>
      </w:r>
    </w:p>
    <w:tbl>
      <w:tblPr>
        <w:tblStyle w:val="9"/>
        <w:tblW w:w="8870" w:type="dxa"/>
        <w:tblInd w:w="0" w:type="dxa"/>
        <w:shd w:val="clear" w:color="auto" w:fill="auto"/>
        <w:tblLayout w:type="fixed"/>
        <w:tblCellMar>
          <w:top w:w="0" w:type="dxa"/>
          <w:left w:w="0" w:type="dxa"/>
          <w:bottom w:w="0" w:type="dxa"/>
          <w:right w:w="0" w:type="dxa"/>
        </w:tblCellMar>
      </w:tblPr>
      <w:tblGrid>
        <w:gridCol w:w="717"/>
        <w:gridCol w:w="1669"/>
        <w:gridCol w:w="1180"/>
        <w:gridCol w:w="1315"/>
        <w:gridCol w:w="1315"/>
        <w:gridCol w:w="1315"/>
        <w:gridCol w:w="1359"/>
      </w:tblGrid>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十里堡镇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不老屯镇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北庄镇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高岭镇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河南寨镇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99.44%</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99.78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西田各庄镇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98.52%</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99.41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密云镇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98.89%</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99.06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石城镇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98.40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新城子镇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96.00%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98.40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冯家峪镇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95.56%</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98.22 </w:t>
            </w:r>
          </w:p>
        </w:tc>
      </w:tr>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太师屯镇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90.48%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95.24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古北口镇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88.89%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94.44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溪翁庄镇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95.83%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90.83%</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94.25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穆家峪镇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89.00%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93.10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鼓楼街道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98.18%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90.91%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93.03%</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92.48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果园街道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90.32%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92.26%</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92.06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东邵渠镇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83.33%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96.67%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 xml:space="preserve">90.33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檀营地区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84.62%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84.62%</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86.15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巨各庄镇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78.95%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83.16%</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82.74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大城子镇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66.67%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88.89%</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78.89 </w:t>
            </w:r>
          </w:p>
        </w:tc>
      </w:tr>
      <w:tr>
        <w:tblPrEx>
          <w:shd w:val="clear" w:color="auto" w:fill="auto"/>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镇街转派工单综合成绩为93.74分。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表3：市级考评各镇街群众诉求办理情况统计表（直派+转派）</w:t>
      </w:r>
    </w:p>
    <w:tbl>
      <w:tblPr>
        <w:tblStyle w:val="9"/>
        <w:tblW w:w="8870" w:type="dxa"/>
        <w:tblInd w:w="0" w:type="dxa"/>
        <w:shd w:val="clear" w:color="auto" w:fill="auto"/>
        <w:tblLayout w:type="fixed"/>
        <w:tblCellMar>
          <w:top w:w="0" w:type="dxa"/>
          <w:left w:w="0" w:type="dxa"/>
          <w:bottom w:w="0" w:type="dxa"/>
          <w:right w:w="0" w:type="dxa"/>
        </w:tblCellMar>
      </w:tblPr>
      <w:tblGrid>
        <w:gridCol w:w="719"/>
        <w:gridCol w:w="1652"/>
        <w:gridCol w:w="1297"/>
        <w:gridCol w:w="1297"/>
        <w:gridCol w:w="1297"/>
        <w:gridCol w:w="1297"/>
        <w:gridCol w:w="1311"/>
      </w:tblGrid>
      <w:tr>
        <w:tblPrEx>
          <w:shd w:val="clear" w:color="auto" w:fill="auto"/>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99.36%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98.73%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99.09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北庄镇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99.09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99.05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98.80%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98.31%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98.69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97.39%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99.83%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98.63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98.68%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98.53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97.16%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99.72%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98.47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98.09%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98.44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96.96%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97.75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97.18%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97.61%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97.63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95.83%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96.14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不老屯镇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94.95%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95.35%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95.62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92.21%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95.48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93.40%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96.51%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95.30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94.31%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95.23%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95.22 </w:t>
            </w:r>
          </w:p>
        </w:tc>
      </w:tr>
      <w:tr>
        <w:tblPrEx>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99.51%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94.33%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95.05%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95.14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92.86%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93.71%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93.91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97.14%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90.91%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95.76%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93.47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92.32%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91.53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86.92%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88.13%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88.71 </w:t>
            </w:r>
          </w:p>
        </w:tc>
      </w:tr>
      <w:tr>
        <w:tblPrEx>
          <w:shd w:val="clear" w:color="auto" w:fill="auto"/>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eastAsia" w:ascii="黑体" w:hAnsi="宋体" w:eastAsia="黑体" w:cs="黑体"/>
                <w:i w:val="0"/>
                <w:color w:val="000000"/>
                <w:kern w:val="0"/>
                <w:sz w:val="24"/>
                <w:szCs w:val="24"/>
                <w:u w:val="none"/>
                <w:lang w:val="en-US" w:eastAsia="zh-CN" w:bidi="ar"/>
              </w:rPr>
              <w:t>镇街直派工单+转派工单综合成绩为96.19分。</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表4：市级考评各部门群众诉求办理情况统计表</w:t>
      </w:r>
    </w:p>
    <w:tbl>
      <w:tblPr>
        <w:tblStyle w:val="9"/>
        <w:tblW w:w="8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6"/>
        <w:gridCol w:w="400"/>
        <w:gridCol w:w="2560"/>
        <w:gridCol w:w="1086"/>
        <w:gridCol w:w="1086"/>
        <w:gridCol w:w="1086"/>
        <w:gridCol w:w="1086"/>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4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分类</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  门</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一类部门</w:t>
            </w:r>
          </w:p>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檀州资源公司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园林中心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99.38%</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体育局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98.89%</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市场监督管理局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99.23%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人力资源和社会保障局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97.27%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98.91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  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98.33%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98.33%</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卫生健康委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97.71%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商务局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97.73%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97.27%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园林绿化局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95.15%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96.67%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00"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eastAsia="zh-CN"/>
              </w:rPr>
              <w:t>一类部门</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文化和旅游局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94.74%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96.84%</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中关村密云园</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96.22%</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城建投开发公司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94.67%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心连心城服公司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93.75%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96.25%</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城市管理委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94.44%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91.48%</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公路分局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88.46%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91.54%</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90.85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住建委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98.79%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90.91%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87.64%</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90.39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交通局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86.67%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92.27%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二</w:t>
            </w:r>
            <w:r>
              <w:rPr>
                <w:rFonts w:hint="eastAsia" w:ascii="黑体" w:hAnsi="宋体" w:eastAsia="黑体" w:cs="黑体"/>
                <w:i w:val="0"/>
                <w:color w:val="000000"/>
                <w:sz w:val="24"/>
                <w:szCs w:val="24"/>
                <w:u w:val="none"/>
                <w:lang w:eastAsia="zh-CN"/>
              </w:rPr>
              <w:t>类部门</w:t>
            </w:r>
          </w:p>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规自分局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农业农村局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国资委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民政局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经管站</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生态环境局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农业服务中心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税务局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密云企业管理公司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政务服务管理局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残  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iCs w:val="0"/>
                <w:color w:val="000000"/>
                <w:kern w:val="0"/>
                <w:sz w:val="24"/>
                <w:szCs w:val="24"/>
                <w:u w:val="none"/>
                <w:lang w:val="en-US" w:eastAsia="zh-CN" w:bidi="ar"/>
              </w:rPr>
              <w:t>退役军人事务局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渔阳集团</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机关事务中心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武装部</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水库执法大队</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93.33%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99.33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消防支队</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99.20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水务局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95.83%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99.17%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97.58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科  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5" w:hRule="atLeast"/>
        </w:trPr>
        <w:tc>
          <w:tcPr>
            <w:tcW w:w="8870" w:type="dxa"/>
            <w:gridSpan w:val="8"/>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全区各部门平均综合成绩为95.97分。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三、当月典型案例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hAnsi="仿宋_GB2312" w:eastAsia="仿宋_GB2312" w:cs="仿宋_GB2312"/>
          <w:b w:val="0"/>
          <w:bCs w:val="0"/>
          <w:sz w:val="32"/>
          <w:szCs w:val="32"/>
          <w:lang w:val="en-US" w:eastAsia="zh-CN"/>
        </w:rPr>
      </w:pPr>
      <w:r>
        <w:rPr>
          <w:rFonts w:hint="eastAsia" w:ascii="Arial" w:hAnsi="Arial" w:cs="Arial"/>
          <w:i w:val="0"/>
          <w:caps w:val="0"/>
          <w:color w:val="191919"/>
          <w:spacing w:val="0"/>
          <w:sz w:val="24"/>
          <w:szCs w:val="24"/>
          <w:shd w:val="clear" w:color="auto" w:fill="FFFFFF"/>
          <w:lang w:eastAsia="zh-CN"/>
        </w:rPr>
        <w:drawing>
          <wp:anchor distT="0" distB="0" distL="114300" distR="114300" simplePos="0" relativeHeight="251659264" behindDoc="1" locked="0" layoutInCell="1" allowOverlap="1">
            <wp:simplePos x="0" y="0"/>
            <wp:positionH relativeFrom="column">
              <wp:posOffset>3333750</wp:posOffset>
            </wp:positionH>
            <wp:positionV relativeFrom="paragraph">
              <wp:posOffset>387350</wp:posOffset>
            </wp:positionV>
            <wp:extent cx="2211070" cy="1749425"/>
            <wp:effectExtent l="0" t="0" r="55880" b="41275"/>
            <wp:wrapTight wrapText="bothSides">
              <wp:wrapPolygon>
                <wp:start x="0" y="0"/>
                <wp:lineTo x="0" y="21404"/>
                <wp:lineTo x="21401" y="21404"/>
                <wp:lineTo x="21401" y="0"/>
                <wp:lineTo x="0" y="0"/>
              </wp:wrapPolygon>
            </wp:wrapTight>
            <wp:docPr id="1" name="图片 2" descr="ac3da441c00711f9117f87a936c9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c3da441c00711f9117f87a936c9bc7"/>
                    <pic:cNvPicPr>
                      <a:picLocks noChangeAspect="1"/>
                    </pic:cNvPicPr>
                  </pic:nvPicPr>
                  <pic:blipFill>
                    <a:blip r:embed="rId5"/>
                    <a:srcRect l="28888"/>
                    <a:stretch>
                      <a:fillRect/>
                    </a:stretch>
                  </pic:blipFill>
                  <pic:spPr>
                    <a:xfrm>
                      <a:off x="0" y="0"/>
                      <a:ext cx="2211070" cy="1749425"/>
                    </a:xfrm>
                    <a:prstGeom prst="rect">
                      <a:avLst/>
                    </a:prstGeom>
                    <a:noFill/>
                    <a:ln>
                      <a:noFill/>
                    </a:ln>
                  </pic:spPr>
                </pic:pic>
              </a:graphicData>
            </a:graphic>
          </wp:anchor>
        </w:drawing>
      </w:r>
      <w:r>
        <w:rPr>
          <w:rFonts w:hint="eastAsia" w:ascii="仿宋_GB2312" w:hAnsi="仿宋_GB2312" w:eastAsia="仿宋_GB2312" w:cs="仿宋_GB2312"/>
          <w:b w:val="0"/>
          <w:bCs w:val="0"/>
          <w:sz w:val="32"/>
          <w:szCs w:val="32"/>
          <w:lang w:val="en-US" w:eastAsia="zh-CN"/>
        </w:rPr>
        <w:t>“喧鸟覆春洲，杂英满芳甸。”近期伴随温度的回暖，来电反映街头游商问题有所增加。街头游商占道经营，影响交通秩序，导致交通堵塞，这与春天的美景形成鲜明的对比。近期，西田各庄镇接到街头游商热线9件，涉及卸甲山村、渤海寨村、仓头村等村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前，北京市多地出现新冠病毒确诊病例，根据密云区疫情防控调度会议精神，要求对人员密集场所加强管控，多个村庄大集暂时关闭。导致街头游商频繁出现。“村小学前面的道路两侧都是游商，销售水果、蔬菜、生活用品等，就是之前大集的销售的人，车辆无法通行”接到热线后，西田各庄镇、村干部联系市民孙先生核实情况，并第一时间到达现场进行交通指挥，对游商进行劝退，对无法劝阻的商户联系镇综合执法队到现场进行查处，通过村广播进行宣传，疫情期间严格按照疫情要求防控，于一小时内，将拥堵街道疏通正常。</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仿宋_GB2312" w:hAnsi="仿宋_GB2312" w:eastAsia="仿宋_GB2312" w:cs="仿宋_GB2312"/>
          <w:b w:val="0"/>
          <w:bCs w:val="0"/>
          <w:sz w:val="32"/>
          <w:szCs w:val="32"/>
          <w:lang w:val="en-US" w:eastAsia="zh-CN"/>
        </w:rPr>
      </w:pPr>
      <w:r>
        <w:rPr>
          <w:rFonts w:hint="eastAsia" w:ascii="Helvetica" w:hAnsi="Helvetica" w:eastAsia="宋体" w:cs="Helvetica"/>
          <w:i w:val="0"/>
          <w:caps w:val="0"/>
          <w:color w:val="666666"/>
          <w:spacing w:val="0"/>
          <w:sz w:val="21"/>
          <w:szCs w:val="21"/>
          <w:shd w:val="clear" w:color="auto" w:fill="FFFFFF"/>
          <w:lang w:eastAsia="zh-CN"/>
        </w:rPr>
        <w:drawing>
          <wp:anchor distT="0" distB="0" distL="114300" distR="114300" simplePos="0" relativeHeight="251661312" behindDoc="1" locked="0" layoutInCell="1" allowOverlap="1">
            <wp:simplePos x="0" y="0"/>
            <wp:positionH relativeFrom="column">
              <wp:posOffset>46355</wp:posOffset>
            </wp:positionH>
            <wp:positionV relativeFrom="paragraph">
              <wp:posOffset>17145</wp:posOffset>
            </wp:positionV>
            <wp:extent cx="2409825" cy="1807845"/>
            <wp:effectExtent l="0" t="0" r="47625" b="59055"/>
            <wp:wrapTight wrapText="bothSides">
              <wp:wrapPolygon>
                <wp:start x="0" y="0"/>
                <wp:lineTo x="0" y="21395"/>
                <wp:lineTo x="21515" y="21395"/>
                <wp:lineTo x="21515" y="0"/>
                <wp:lineTo x="0" y="0"/>
              </wp:wrapPolygon>
            </wp:wrapTight>
            <wp:docPr id="3" name="图片 4" descr="cdebc338e990021dc5033b7a835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debc338e990021dc5033b7a83592d0"/>
                    <pic:cNvPicPr>
                      <a:picLocks noChangeAspect="1"/>
                    </pic:cNvPicPr>
                  </pic:nvPicPr>
                  <pic:blipFill>
                    <a:blip r:embed="rId6"/>
                    <a:stretch>
                      <a:fillRect/>
                    </a:stretch>
                  </pic:blipFill>
                  <pic:spPr>
                    <a:xfrm>
                      <a:off x="0" y="0"/>
                      <a:ext cx="2409825" cy="1807845"/>
                    </a:xfrm>
                    <a:prstGeom prst="rect">
                      <a:avLst/>
                    </a:prstGeom>
                    <a:noFill/>
                    <a:ln>
                      <a:noFill/>
                    </a:ln>
                  </pic:spPr>
                </pic:pic>
              </a:graphicData>
            </a:graphic>
          </wp:anchor>
        </w:drawing>
      </w:r>
      <w:r>
        <w:rPr>
          <w:rFonts w:hint="eastAsia" w:ascii="仿宋_GB2312" w:hAnsi="仿宋_GB2312" w:eastAsia="仿宋_GB2312" w:cs="仿宋_GB2312"/>
          <w:b w:val="0"/>
          <w:bCs w:val="0"/>
          <w:sz w:val="32"/>
          <w:szCs w:val="32"/>
          <w:lang w:val="en-US" w:eastAsia="zh-CN"/>
        </w:rPr>
        <w:t>为长效治理，村干部多次在本村及周边巡查，西田各庄镇综合执法队每天对街头游商问题严重的村庄大集附近进行巡视，发现摆摊商贩立即解释疫情防控要求并进行劝离，目前大集附近无街头游商现象，道路两侧亦可正常通行。接下来镇综合执法队仍将继续对村庄及大集周边定点进行巡查，一经发现有商贩摆摊现象，会立即劝离，确保村民的正常通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yellow"/>
          <w:lang w:eastAsia="zh-CN"/>
        </w:rPr>
      </w:pPr>
      <w:r>
        <w:rPr>
          <w:rFonts w:hint="eastAsia" w:ascii="仿宋_GB2312" w:hAnsi="仿宋_GB2312" w:eastAsia="仿宋_GB2312" w:cs="仿宋_GB2312"/>
          <w:b w:val="0"/>
          <w:bCs w:val="0"/>
          <w:sz w:val="32"/>
          <w:szCs w:val="32"/>
          <w:lang w:val="en-US" w:eastAsia="zh-CN"/>
        </w:rPr>
        <w:t>西田各庄镇接诉即办，在接单后立即分配给相关科室负责人，把任务细化分解，相关工作人员直奔现场、直面问题。努力做到群众诉求单单有回应，件件有反馈。扎实推动群众诉求快速有效解决，不断提高市民的获得感和满意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kern w:val="2"/>
          <w:sz w:val="32"/>
          <w:szCs w:val="32"/>
          <w:highlight w:val="none"/>
          <w:u w:val="none"/>
          <w:lang w:val="en-US" w:eastAsia="zh-CN" w:bidi="ar-SA"/>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b w:val="0"/>
          <w:bCs/>
          <w:color w:val="auto"/>
          <w:kern w:val="2"/>
          <w:sz w:val="32"/>
          <w:szCs w:val="32"/>
          <w:highlight w:val="none"/>
          <w:u w:val="none"/>
          <w:lang w:val="en-US" w:eastAsia="zh-CN" w:bidi="ar-SA"/>
        </w:rPr>
        <w:t>密云区2022年“每月一题”工作进度统计表（3月5</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小标宋简体" w:hAnsi="方正小标宋简体" w:eastAsia="方正小标宋简体" w:cs="方正小标宋简体"/>
          <w:sz w:val="44"/>
          <w:szCs w:val="44"/>
          <w:highlight w:val="yellow"/>
          <w:lang w:val="en-US" w:eastAsia="zh-CN"/>
        </w:rPr>
      </w:pPr>
      <w:r>
        <w:rPr>
          <w:rFonts w:hint="eastAsia" w:ascii="仿宋_GB2312" w:hAnsi="仿宋_GB2312" w:eastAsia="仿宋_GB2312" w:cs="仿宋_GB2312"/>
          <w:b w:val="0"/>
          <w:bCs/>
          <w:color w:val="auto"/>
          <w:kern w:val="2"/>
          <w:sz w:val="32"/>
          <w:szCs w:val="32"/>
          <w:highlight w:val="none"/>
          <w:u w:val="none"/>
          <w:lang w:val="en-US" w:eastAsia="zh-CN" w:bidi="ar-SA"/>
        </w:rPr>
        <w:t>日至3月20日）</w:t>
      </w:r>
    </w:p>
    <w:p>
      <w:pPr>
        <w:rPr>
          <w:rFonts w:hint="eastAsia"/>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pStyle w:val="4"/>
        <w:spacing w:before="55"/>
        <w:jc w:val="both"/>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val="0"/>
          <w:bCs/>
          <w:color w:val="auto"/>
          <w:sz w:val="28"/>
          <w:szCs w:val="28"/>
          <w:highlight w:val="none"/>
          <w:u w:val="none"/>
          <w:lang w:val="en-US" w:eastAsia="zh-CN"/>
        </w:rPr>
        <w:t xml:space="preserve">附件        </w:t>
      </w:r>
      <w:r>
        <w:rPr>
          <w:rFonts w:hint="eastAsia" w:ascii="黑体" w:hAnsi="黑体" w:eastAsia="黑体" w:cs="黑体"/>
          <w:b w:val="0"/>
          <w:bCs/>
          <w:color w:val="auto"/>
          <w:sz w:val="32"/>
          <w:szCs w:val="32"/>
          <w:highlight w:val="none"/>
          <w:u w:val="none"/>
          <w:lang w:val="en-US" w:eastAsia="zh-CN"/>
        </w:rPr>
        <w:t xml:space="preserve">      </w:t>
      </w:r>
      <w:r>
        <w:rPr>
          <w:rFonts w:hint="eastAsia" w:ascii="方正小标宋简体" w:hAnsi="方正小标宋简体" w:eastAsia="方正小标宋简体" w:cs="方正小标宋简体"/>
          <w:sz w:val="36"/>
          <w:szCs w:val="36"/>
          <w:lang w:val="en-US" w:eastAsia="zh-CN"/>
        </w:rPr>
        <w:t>密云区2022年“每月一题”工作进度统计表（4月5日至4月19日）</w:t>
      </w:r>
    </w:p>
    <w:tbl>
      <w:tblPr>
        <w:tblStyle w:val="10"/>
        <w:tblW w:w="15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50"/>
        <w:gridCol w:w="2800"/>
        <w:gridCol w:w="5635"/>
        <w:gridCol w:w="2782"/>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序</w:t>
            </w:r>
          </w:p>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号</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上会</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月份</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整治问题</w:t>
            </w:r>
          </w:p>
        </w:tc>
        <w:tc>
          <w:tcPr>
            <w:tcW w:w="563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当前工作进度</w:t>
            </w:r>
          </w:p>
        </w:tc>
        <w:tc>
          <w:tcPr>
            <w:tcW w:w="2782"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诉求情况</w:t>
            </w:r>
          </w:p>
        </w:tc>
        <w:tc>
          <w:tcPr>
            <w:tcW w:w="2424"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9"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一月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老旧小区加装</w:t>
            </w:r>
          </w:p>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电梯问题</w:t>
            </w:r>
          </w:p>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鼓楼街道矿山公司家属院C楼3、4、6单元，已完成地下市政管线改移、电梯基坑制作等工作，</w:t>
            </w:r>
            <w:r>
              <w:rPr>
                <w:rFonts w:hint="eastAsia" w:ascii="仿宋_GB2312" w:hAnsi="仿宋_GB2312" w:eastAsia="仿宋_GB2312" w:cs="仿宋_GB2312"/>
                <w:b w:val="0"/>
                <w:bCs w:val="0"/>
                <w:sz w:val="28"/>
                <w:szCs w:val="28"/>
                <w:highlight w:val="none"/>
                <w:vertAlign w:val="baseline"/>
                <w:lang w:val="en-US" w:eastAsia="zh-CN"/>
              </w:rPr>
              <w:t>目前正在准备进行</w:t>
            </w:r>
            <w:r>
              <w:rPr>
                <w:rFonts w:hint="eastAsia" w:cs="仿宋_GB2312"/>
                <w:b w:val="0"/>
                <w:bCs w:val="0"/>
                <w:sz w:val="28"/>
                <w:szCs w:val="28"/>
                <w:highlight w:val="none"/>
                <w:vertAlign w:val="baseline"/>
                <w:lang w:val="en-US" w:eastAsia="zh-CN"/>
              </w:rPr>
              <w:t>主体</w:t>
            </w:r>
            <w:r>
              <w:rPr>
                <w:rFonts w:hint="eastAsia" w:ascii="仿宋_GB2312" w:hAnsi="仿宋_GB2312" w:eastAsia="仿宋_GB2312" w:cs="仿宋_GB2312"/>
                <w:b w:val="0"/>
                <w:bCs w:val="0"/>
                <w:sz w:val="28"/>
                <w:szCs w:val="28"/>
                <w:highlight w:val="none"/>
                <w:vertAlign w:val="baseline"/>
                <w:lang w:val="en-US" w:eastAsia="zh-CN"/>
              </w:rPr>
              <w:t>施工。</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5</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鼓楼街道百合园小区、</w:t>
            </w:r>
            <w:r>
              <w:rPr>
                <w:rFonts w:hint="default" w:cs="仿宋_GB2312"/>
                <w:sz w:val="28"/>
                <w:szCs w:val="28"/>
                <w:vertAlign w:val="baseline"/>
                <w:lang w:val="en-US" w:eastAsia="zh-CN"/>
              </w:rPr>
              <w:t>古北口镇长城源著小区</w:t>
            </w:r>
            <w:r>
              <w:rPr>
                <w:rFonts w:hint="eastAsia" w:cs="仿宋_GB2312"/>
                <w:sz w:val="28"/>
                <w:szCs w:val="28"/>
                <w:vertAlign w:val="baseline"/>
                <w:lang w:val="en-US" w:eastAsia="zh-CN"/>
              </w:rPr>
              <w:t>、果园街道果园西里小区</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default" w:ascii="方正小标宋简体" w:hAnsi="方正小标宋简体" w:eastAsia="方正小标宋简体" w:cs="方正小标宋简体"/>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雨季房屋漏雨问题</w:t>
            </w:r>
          </w:p>
          <w:p>
            <w:pPr>
              <w:pStyle w:val="4"/>
              <w:keepNext w:val="0"/>
              <w:keepLines w:val="0"/>
              <w:pageBreakBefore w:val="0"/>
              <w:widowControl w:val="0"/>
              <w:kinsoku/>
              <w:wordWrap/>
              <w:overflowPunct/>
              <w:topLinePunct w:val="0"/>
              <w:bidi w:val="0"/>
              <w:adjustRightInd/>
              <w:snapToGrid/>
              <w:spacing w:before="55" w:line="4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r>
              <w:rPr>
                <w:rFonts w:hint="eastAsia" w:ascii="楷体_GB2312" w:hAnsi="楷体_GB2312" w:eastAsia="楷体_GB2312" w:cs="楷体_GB2312"/>
                <w:b/>
                <w:bCs/>
                <w:sz w:val="28"/>
                <w:szCs w:val="28"/>
                <w:highlight w:val="none"/>
                <w:vertAlign w:val="baseline"/>
                <w:lang w:val="en-US" w:eastAsia="zh-CN"/>
              </w:rPr>
              <w:t>房屋漏雨修缮工程实施方案已报区政府常务会议审议</w:t>
            </w:r>
            <w:r>
              <w:rPr>
                <w:rFonts w:hint="eastAsia" w:ascii="仿宋_GB2312" w:hAnsi="仿宋_GB2312" w:eastAsia="仿宋_GB2312" w:cs="仿宋_GB2312"/>
                <w:sz w:val="28"/>
                <w:szCs w:val="28"/>
                <w:highlight w:val="none"/>
                <w:vertAlign w:val="baseline"/>
                <w:lang w:val="en-US" w:eastAsia="zh-CN"/>
              </w:rPr>
              <w:t>。</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针对保修期内的工程接到工单后第一时间与市民及建设单位取得联系，3天之内明确处理进展情况，因冬季无法进行防水施工作业，要求建设单位根据京建发【2021】360号文要求在次年雨季前完成维修工作，并向市民出具维修记录作为延保依据。</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58</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石城镇石塘路村、</w:t>
            </w:r>
            <w:r>
              <w:rPr>
                <w:rFonts w:hint="default" w:cs="仿宋_GB2312"/>
                <w:sz w:val="28"/>
                <w:szCs w:val="28"/>
                <w:vertAlign w:val="baseline"/>
                <w:lang w:val="en-US" w:eastAsia="zh-CN"/>
              </w:rPr>
              <w:t>鼓楼街道万和风景小区、果园街道中加荣园小区</w:t>
            </w:r>
            <w:r>
              <w:rPr>
                <w:rFonts w:hint="eastAsia" w:cs="仿宋_GB2312"/>
                <w:sz w:val="28"/>
                <w:szCs w:val="28"/>
                <w:vertAlign w:val="baseline"/>
                <w:lang w:val="en-US" w:eastAsia="zh-CN"/>
              </w:rPr>
              <w:t>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3</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房产证办理难问题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区规自分局</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市级任务计划2022年为10万套房屋解决“房产证办理难”问题，区级任务已明确，解决500套房屋“房产证办理难”问题。</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24</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密云镇</w:t>
            </w:r>
            <w:r>
              <w:rPr>
                <w:rFonts w:hint="default" w:cs="仿宋_GB2312"/>
                <w:sz w:val="28"/>
                <w:szCs w:val="28"/>
                <w:vertAlign w:val="baseline"/>
                <w:lang w:val="en-US" w:eastAsia="zh-CN"/>
              </w:rPr>
              <w:t>万利花园小区</w:t>
            </w:r>
            <w:r>
              <w:rPr>
                <w:rFonts w:hint="eastAsia" w:cs="仿宋_GB2312"/>
                <w:sz w:val="28"/>
                <w:szCs w:val="28"/>
                <w:vertAlign w:val="baseline"/>
                <w:lang w:val="en-US" w:eastAsia="zh-CN"/>
              </w:rPr>
              <w:t>、</w:t>
            </w:r>
            <w:r>
              <w:rPr>
                <w:rFonts w:hint="default" w:cs="仿宋_GB2312"/>
                <w:sz w:val="28"/>
                <w:szCs w:val="28"/>
                <w:vertAlign w:val="baseline"/>
                <w:lang w:val="en-US" w:eastAsia="zh-CN"/>
              </w:rPr>
              <w:t>果园街道涧桥山小区、</w:t>
            </w:r>
            <w:r>
              <w:rPr>
                <w:rFonts w:hint="eastAsia" w:cs="仿宋_GB2312"/>
                <w:sz w:val="28"/>
                <w:szCs w:val="28"/>
                <w:vertAlign w:val="baseline"/>
                <w:lang w:val="en-US" w:eastAsia="zh-CN"/>
              </w:rPr>
              <w:t>太师屯镇永安家园小区等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4</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居住区电动自行车</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集中充电设施建设</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《密云区电动自行车全链条管控实施方案》于2022年4月13日印发</w:t>
            </w:r>
            <w:r>
              <w:rPr>
                <w:rFonts w:hint="eastAsia" w:ascii="楷体_GB2312" w:hAnsi="楷体_GB2312" w:eastAsia="楷体_GB2312" w:cs="楷体_GB2312"/>
                <w:b w:val="0"/>
                <w:bCs w:val="0"/>
                <w:sz w:val="28"/>
                <w:szCs w:val="28"/>
                <w:highlight w:val="none"/>
                <w:vertAlign w:val="baseline"/>
                <w:lang w:val="en-US" w:eastAsia="zh-CN"/>
              </w:rPr>
              <w:t>，</w:t>
            </w:r>
            <w:r>
              <w:rPr>
                <w:rFonts w:hint="eastAsia" w:ascii="仿宋_GB2312" w:hAnsi="仿宋_GB2312" w:eastAsia="仿宋_GB2312" w:cs="仿宋_GB2312"/>
                <w:b w:val="0"/>
                <w:bCs w:val="0"/>
                <w:sz w:val="28"/>
                <w:szCs w:val="28"/>
                <w:highlight w:val="none"/>
                <w:vertAlign w:val="baseline"/>
                <w:lang w:val="en-US" w:eastAsia="zh-CN"/>
              </w:rPr>
              <w:t>区住建委正在制定密云区充电设施建设方案，建设任务已经分配到各镇街属地，前期工作已经逐步开展，建设方案下发后，根据各镇街情况，下季度将陆续开展充电设施建设。</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30</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鼓楼街道保利花园小区、</w:t>
            </w:r>
            <w:r>
              <w:rPr>
                <w:rFonts w:hint="default" w:cs="仿宋_GB2312"/>
                <w:sz w:val="28"/>
                <w:szCs w:val="28"/>
                <w:vertAlign w:val="baseline"/>
                <w:lang w:val="en-US" w:eastAsia="zh-CN"/>
              </w:rPr>
              <w:t>檀营地区檀营国际生态城小区</w:t>
            </w:r>
            <w:r>
              <w:rPr>
                <w:rFonts w:hint="eastAsia" w:cs="仿宋_GB2312"/>
                <w:sz w:val="28"/>
                <w:szCs w:val="28"/>
                <w:vertAlign w:val="baseline"/>
                <w:lang w:val="en-US" w:eastAsia="zh-CN"/>
              </w:rPr>
              <w:t>、果园街道唐源云居小区等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5</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停车难问题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与北京市各区停车管理部门对于区域停车自治开展经验进行交流。与鼓楼街道、密云静态公司召开长安社区停车区域自治管理进行初步沟通对接，听取了密云静态初步规划方案，并提出了针对性建议，后续将到已开展停车区域自治管理的区域进行学习。</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33</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涉及点位：不老屯镇北香峪村、</w:t>
            </w:r>
            <w:r>
              <w:rPr>
                <w:rFonts w:hint="eastAsia" w:cs="仿宋_GB2312"/>
                <w:sz w:val="28"/>
                <w:szCs w:val="28"/>
                <w:vertAlign w:val="baseline"/>
                <w:lang w:val="en-US" w:eastAsia="zh-CN"/>
              </w:rPr>
              <w:t>鼓楼街道檀城西区、北庄镇北庄社区服务中心等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6</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bCs/>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三月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中小学教学管理问题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主责单位：区教委</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5635"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1.4月11日，</w:t>
            </w:r>
            <w:r>
              <w:rPr>
                <w:rFonts w:hint="eastAsia" w:ascii="楷体_GB2312" w:hAnsi="楷体_GB2312" w:eastAsia="楷体_GB2312" w:cs="楷体_GB2312"/>
                <w:b/>
                <w:bCs/>
                <w:sz w:val="28"/>
                <w:szCs w:val="28"/>
                <w:lang w:val="en-US" w:eastAsia="zh-CN"/>
              </w:rPr>
              <w:t>区教委中教科、教师研修学院联合组织召开2022届高三统一练习质量分析会</w:t>
            </w:r>
            <w:r>
              <w:rPr>
                <w:rFonts w:hint="eastAsia" w:ascii="楷体_GB2312" w:hAnsi="楷体_GB2312" w:eastAsia="楷体_GB2312" w:cs="楷体_GB2312"/>
                <w:b w:val="0"/>
                <w:bCs w:val="0"/>
                <w:sz w:val="28"/>
                <w:szCs w:val="28"/>
                <w:lang w:val="en-US" w:eastAsia="zh-CN"/>
              </w:rPr>
              <w:t>。</w:t>
            </w:r>
            <w:r>
              <w:rPr>
                <w:rFonts w:hint="eastAsia" w:ascii="仿宋_GB2312" w:hAnsi="仿宋_GB2312" w:eastAsia="仿宋_GB2312" w:cs="仿宋_GB2312"/>
                <w:b w:val="0"/>
                <w:bCs w:val="0"/>
                <w:sz w:val="28"/>
                <w:szCs w:val="28"/>
                <w:lang w:val="en-US" w:eastAsia="zh-CN"/>
              </w:rPr>
              <w:t>为及时、高效分析我区2022届高三统一练习情况，做好学校复习备考指导工作，提升高考备考工作水平。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2.4月12日，</w:t>
            </w:r>
            <w:r>
              <w:rPr>
                <w:rFonts w:hint="eastAsia" w:ascii="楷体_GB2312" w:hAnsi="楷体_GB2312" w:eastAsia="楷体_GB2312" w:cs="楷体_GB2312"/>
                <w:b/>
                <w:bCs/>
                <w:sz w:val="28"/>
                <w:szCs w:val="28"/>
                <w:lang w:val="en-US" w:eastAsia="zh-CN"/>
              </w:rPr>
              <w:t>区教委组织20所样本校及相关工作人员召开2022年国测培训布置会</w:t>
            </w:r>
            <w:r>
              <w:rPr>
                <w:rFonts w:hint="eastAsia" w:ascii="仿宋_GB2312" w:hAnsi="仿宋_GB2312" w:eastAsia="仿宋_GB2312" w:cs="仿宋_GB2312"/>
                <w:b w:val="0"/>
                <w:bCs w:val="0"/>
                <w:sz w:val="28"/>
                <w:szCs w:val="28"/>
                <w:lang w:val="en-US" w:eastAsia="zh-CN"/>
              </w:rPr>
              <w:t>，要求各校要高度重视，周密组织，精心做好国测的各项准备工作。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560" w:firstLineChars="200"/>
              <w:jc w:val="left"/>
              <w:textAlignment w:val="auto"/>
              <w:outlineLvl w:val="9"/>
              <w:rPr>
                <w:rFonts w:hint="eastAsia" w:ascii="仿宋_GB2312" w:hAnsi="仿宋" w:eastAsia="仿宋_GB2312" w:cs="仿宋"/>
                <w:b w:val="0"/>
                <w:bCs w:val="0"/>
                <w:sz w:val="28"/>
                <w:szCs w:val="28"/>
                <w:lang w:val="en-US" w:eastAsia="zh-CN"/>
              </w:rPr>
            </w:pPr>
            <w:r>
              <w:rPr>
                <w:rFonts w:hint="eastAsia" w:ascii="楷体_GB2312" w:hAnsi="楷体_GB2312" w:eastAsia="楷体_GB2312" w:cs="楷体_GB2312"/>
                <w:b w:val="0"/>
                <w:bCs w:val="0"/>
                <w:sz w:val="28"/>
                <w:szCs w:val="28"/>
                <w:lang w:val="en-US" w:eastAsia="zh-CN"/>
              </w:rPr>
              <w:t>3.</w:t>
            </w:r>
            <w:r>
              <w:rPr>
                <w:rFonts w:hint="eastAsia" w:ascii="楷体_GB2312" w:hAnsi="楷体_GB2312" w:eastAsia="楷体_GB2312" w:cs="楷体_GB2312"/>
                <w:b/>
                <w:bCs/>
                <w:sz w:val="28"/>
                <w:szCs w:val="28"/>
                <w:lang w:val="en-US" w:eastAsia="zh-CN"/>
              </w:rPr>
              <w:t>区教委小教科、研修学院联合对4所小学进行教学常规管理情况入校调研</w:t>
            </w:r>
            <w:r>
              <w:rPr>
                <w:rFonts w:hint="default" w:ascii="仿宋_GB2312" w:hAnsi="仿宋_GB2312" w:eastAsia="仿宋_GB2312" w:cs="仿宋_GB2312"/>
                <w:b w:val="0"/>
                <w:bCs w:val="0"/>
                <w:sz w:val="28"/>
                <w:szCs w:val="28"/>
                <w:lang w:val="en-US" w:eastAsia="zh-CN"/>
              </w:rPr>
              <w:t>。通过实地听评课、与师生座谈的形式，围绕学校教学常规管理、课堂减负增效、师生发展等方面进行全面检查督导，深入剖析学校各方面存在的问题与不足，并提出具体改进建议，进一步提升学校育人水平。</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密云二中</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6"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bCs/>
                <w:color w:val="auto"/>
                <w:sz w:val="28"/>
                <w:szCs w:val="28"/>
                <w:highlight w:val="none"/>
                <w:vertAlign w:val="baseline"/>
                <w:lang w:val="en-US" w:eastAsia="zh-CN"/>
              </w:rPr>
              <w:t>7</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bCs/>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新就业形态劳动者劳动保障问题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区人力社保局</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b/>
                <w:bCs/>
                <w:sz w:val="28"/>
                <w:szCs w:val="28"/>
                <w:highlight w:val="none"/>
                <w:vertAlign w:val="baseline"/>
                <w:lang w:val="en-US" w:eastAsia="zh-CN"/>
              </w:rPr>
            </w:pPr>
            <w:r>
              <w:rPr>
                <w:rFonts w:hint="eastAsia" w:cs="仿宋_GB2312"/>
                <w:sz w:val="28"/>
                <w:szCs w:val="28"/>
                <w:highlight w:val="none"/>
                <w:vertAlign w:val="baseline"/>
                <w:lang w:val="en-US" w:eastAsia="zh-CN"/>
              </w:rPr>
              <w:t>1.</w:t>
            </w:r>
            <w:r>
              <w:rPr>
                <w:rFonts w:hint="eastAsia" w:ascii="仿宋_GB2312" w:hAnsi="仿宋_GB2312" w:eastAsia="仿宋_GB2312" w:cs="仿宋_GB2312"/>
                <w:sz w:val="28"/>
                <w:szCs w:val="28"/>
                <w:highlight w:val="none"/>
                <w:vertAlign w:val="baseline"/>
                <w:lang w:val="en-US" w:eastAsia="zh-CN"/>
              </w:rPr>
              <w:t>区人力资源和社会保障综合执法队做好保障农民工工资支付工作，深入建筑工程、企业进行检查，按照市局落实五项制度要求查看在建工程项目保障农民工工资支付制度落实情况，及早发现欠薪隐患，解决欠薪问题</w:t>
            </w:r>
            <w:r>
              <w:rPr>
                <w:rFonts w:hint="eastAsia" w:cs="仿宋_GB2312"/>
                <w:sz w:val="28"/>
                <w:szCs w:val="28"/>
                <w:highlight w:val="none"/>
                <w:vertAlign w:val="baseline"/>
                <w:lang w:val="en-US" w:eastAsia="zh-CN"/>
              </w:rPr>
              <w:t>，</w:t>
            </w:r>
            <w:r>
              <w:rPr>
                <w:rFonts w:hint="eastAsia" w:ascii="楷体_GB2312" w:hAnsi="楷体_GB2312" w:eastAsia="楷体_GB2312" w:cs="楷体_GB2312"/>
                <w:b/>
                <w:bCs/>
                <w:sz w:val="28"/>
                <w:szCs w:val="28"/>
                <w:highlight w:val="none"/>
                <w:vertAlign w:val="baseline"/>
                <w:lang w:val="en-US" w:eastAsia="zh-CN"/>
              </w:rPr>
              <w:t>处理各种形式来源的15起投诉举报案件，解决拖欠工资14.15万元。截止4月15日累计处理案件673件，解决拖欠工资3493.73万元。</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楷体_GB2312" w:hAnsi="楷体_GB2312" w:eastAsia="楷体_GB2312" w:cs="楷体_GB2312"/>
                <w:b/>
                <w:bCs/>
                <w:sz w:val="28"/>
                <w:szCs w:val="28"/>
                <w:highlight w:val="none"/>
                <w:vertAlign w:val="baseline"/>
                <w:lang w:val="en-US" w:eastAsia="zh-CN"/>
              </w:rPr>
            </w:pPr>
            <w:r>
              <w:rPr>
                <w:rFonts w:hint="eastAsia" w:cs="仿宋_GB2312"/>
                <w:sz w:val="28"/>
                <w:szCs w:val="28"/>
                <w:highlight w:val="none"/>
                <w:vertAlign w:val="baseline"/>
                <w:lang w:val="en-US" w:eastAsia="zh-CN"/>
              </w:rPr>
              <w:t>2.</w:t>
            </w:r>
            <w:r>
              <w:rPr>
                <w:rFonts w:hint="eastAsia" w:ascii="仿宋_GB2312" w:hAnsi="仿宋_GB2312" w:eastAsia="仿宋_GB2312" w:cs="仿宋_GB2312"/>
                <w:sz w:val="28"/>
                <w:szCs w:val="28"/>
                <w:highlight w:val="none"/>
                <w:vertAlign w:val="baseline"/>
                <w:lang w:val="en-US" w:eastAsia="zh-CN"/>
              </w:rPr>
              <w:t>仲裁院积极开展各项仲裁工作，对涉及新就业形态劳动者的劳动争议案件高度重视，认真排查涉及新就业形态劳动者拖欠工资等各类劳动争议案件。对涉及新就业形态劳动者的案件，坚持“快立、快审、快结”办案原则，保障劳动者的合法权益。</w:t>
            </w:r>
            <w:r>
              <w:rPr>
                <w:rFonts w:hint="eastAsia" w:ascii="楷体_GB2312" w:hAnsi="楷体_GB2312" w:eastAsia="楷体_GB2312" w:cs="楷体_GB2312"/>
                <w:b/>
                <w:bCs/>
                <w:sz w:val="28"/>
                <w:szCs w:val="28"/>
                <w:highlight w:val="none"/>
                <w:vertAlign w:val="baseline"/>
                <w:lang w:val="en-US" w:eastAsia="zh-CN"/>
              </w:rPr>
              <w:t>2022年4月1日至4月15日涉及新就业形态劳动者的各类劳动人事争议案件2件。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密云社保中心稽核科稳步开展日常稽核工作，深入部分企业实地稽核，查看职工花名册、劳动合同、会计凭证等相关材料，及时发现、处置各类少报漏报、少缴漏缴社会保险费问题，确保社会保险费应收尽收。</w:t>
            </w:r>
            <w:r>
              <w:rPr>
                <w:rFonts w:hint="eastAsia" w:ascii="楷体_GB2312" w:hAnsi="楷体_GB2312" w:eastAsia="楷体_GB2312" w:cs="楷体_GB2312"/>
                <w:b/>
                <w:bCs/>
                <w:sz w:val="28"/>
                <w:szCs w:val="28"/>
                <w:highlight w:val="none"/>
                <w:vertAlign w:val="baseline"/>
                <w:lang w:val="en-US" w:eastAsia="zh-CN"/>
              </w:rPr>
              <w:t>受理投诉举报案件8件，下达整改意见12份，完成稽核补缴80.9万元。</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140</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北京鑫盛合餐饮管理有限公司、密云锦川建筑公司</w:t>
            </w:r>
            <w:r>
              <w:rPr>
                <w:rFonts w:hint="default" w:cs="仿宋_GB2312"/>
                <w:sz w:val="28"/>
                <w:szCs w:val="28"/>
                <w:vertAlign w:val="baseline"/>
                <w:lang w:val="en-US" w:eastAsia="zh-CN"/>
              </w:rPr>
              <w:t>、</w:t>
            </w:r>
            <w:r>
              <w:rPr>
                <w:rFonts w:hint="eastAsia" w:cs="仿宋_GB2312"/>
                <w:sz w:val="28"/>
                <w:szCs w:val="28"/>
                <w:vertAlign w:val="baseline"/>
                <w:lang w:val="en-US" w:eastAsia="zh-CN"/>
              </w:rPr>
              <w:t>北京朝环有限公司等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8"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8</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农村宅基地审批问题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4月12日，区农业农村局下发《关于规范农村建房管理的通知》</w:t>
            </w:r>
            <w:r>
              <w:rPr>
                <w:rFonts w:hint="eastAsia" w:ascii="仿宋_GB2312" w:hAnsi="仿宋_GB2312" w:eastAsia="仿宋_GB2312" w:cs="仿宋_GB2312"/>
                <w:sz w:val="28"/>
                <w:szCs w:val="28"/>
                <w:highlight w:val="none"/>
                <w:vertAlign w:val="baseline"/>
                <w:lang w:val="en-US" w:eastAsia="zh-CN"/>
              </w:rPr>
              <w:t>，要求各镇</w:t>
            </w:r>
            <w:r>
              <w:rPr>
                <w:rFonts w:hint="eastAsia" w:cs="仿宋_GB2312"/>
                <w:sz w:val="28"/>
                <w:szCs w:val="28"/>
                <w:highlight w:val="none"/>
                <w:vertAlign w:val="baseline"/>
                <w:lang w:val="en-US" w:eastAsia="zh-CN"/>
              </w:rPr>
              <w:t>对</w:t>
            </w:r>
            <w:r>
              <w:rPr>
                <w:rFonts w:hint="eastAsia" w:ascii="仿宋_GB2312" w:hAnsi="仿宋_GB2312" w:eastAsia="仿宋_GB2312" w:cs="仿宋_GB2312"/>
                <w:sz w:val="28"/>
                <w:szCs w:val="28"/>
                <w:highlight w:val="none"/>
                <w:vertAlign w:val="baseline"/>
                <w:lang w:val="en-US" w:eastAsia="zh-CN"/>
              </w:rPr>
              <w:t>2022年村民建房，进一步规范审批管理，压实镇级宅基地及建房审批验收管理职责，严格依法履行审批管理职责，按照“农户申请-村级审核-各镇审批-区级备案”的工作流程</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依法规范开展审批。健全联审联办工作机制，进一步优化审批程序，提高审批效能，缩短审批周期，主动靠前服务，引导和帮助广大村民认真履行宅基地及建房申请报批手续，防止“未批先建”</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不按批准内容建设等情形发生。</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74</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西田各庄镇董各庄村、河南寨镇北金沟屯村</w:t>
            </w:r>
            <w:r>
              <w:rPr>
                <w:rFonts w:hint="default" w:cs="仿宋_GB2312"/>
                <w:sz w:val="28"/>
                <w:szCs w:val="28"/>
                <w:vertAlign w:val="baseline"/>
                <w:lang w:val="en-US" w:eastAsia="zh-CN"/>
              </w:rPr>
              <w:t>、</w:t>
            </w:r>
            <w:r>
              <w:rPr>
                <w:rFonts w:hint="eastAsia" w:cs="仿宋_GB2312"/>
                <w:sz w:val="28"/>
                <w:szCs w:val="28"/>
                <w:vertAlign w:val="baseline"/>
                <w:lang w:val="en-US" w:eastAsia="zh-CN"/>
              </w:rPr>
              <w:t>十里堡镇庄禾屯村等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left"/>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为有效推动密云水库一级保护区人口疏解工作，按照余卫国书记 “密云水库一级保护区工作领导小组或机制（及下设人口疏解领导机制）加紧报批、下发</w:t>
            </w:r>
            <w:r>
              <w:rPr>
                <w:rFonts w:hint="eastAsia" w:cs="仿宋_GB2312"/>
                <w:sz w:val="28"/>
                <w:szCs w:val="28"/>
                <w:highlight w:val="none"/>
                <w:vertAlign w:val="baseline"/>
                <w:lang w:val="en-US" w:eastAsia="zh-CN"/>
              </w:rPr>
              <w:t>、</w:t>
            </w:r>
            <w:r>
              <w:rPr>
                <w:rFonts w:hint="default" w:ascii="仿宋_GB2312" w:hAnsi="仿宋_GB2312" w:eastAsia="仿宋_GB2312" w:cs="仿宋_GB2312"/>
                <w:sz w:val="28"/>
                <w:szCs w:val="28"/>
                <w:highlight w:val="none"/>
                <w:vertAlign w:val="baseline"/>
                <w:lang w:val="en-US" w:eastAsia="zh-CN"/>
              </w:rPr>
              <w:t>召开会议”的批示要求，拟成立密云水库一级保护区人口有序疏解办公室，负责统筹推进水库一级保护区人口有序疏解全面工作，方案</w:t>
            </w:r>
            <w:r>
              <w:rPr>
                <w:rFonts w:hint="eastAsia" w:cs="仿宋_GB2312"/>
                <w:sz w:val="28"/>
                <w:szCs w:val="28"/>
                <w:highlight w:val="none"/>
                <w:vertAlign w:val="baseline"/>
                <w:lang w:val="en-US" w:eastAsia="zh-CN"/>
              </w:rPr>
              <w:t>已</w:t>
            </w:r>
            <w:r>
              <w:rPr>
                <w:rFonts w:hint="default" w:ascii="仿宋_GB2312" w:hAnsi="仿宋_GB2312" w:eastAsia="仿宋_GB2312" w:cs="仿宋_GB2312"/>
                <w:sz w:val="28"/>
                <w:szCs w:val="28"/>
                <w:highlight w:val="none"/>
                <w:vertAlign w:val="baseline"/>
                <w:lang w:val="en-US" w:eastAsia="zh-CN"/>
              </w:rPr>
              <w:t>报请区委办公室，待区委区政府审议</w:t>
            </w:r>
            <w:r>
              <w:rPr>
                <w:rFonts w:hint="eastAsia"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9</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五月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物业服务不规范问题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tabs>
                <w:tab w:val="left" w:pos="1470"/>
              </w:tabs>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依据市住建委《物业服务不规范问题解决方案》，结合我区实际情况，已制定区级方案</w:t>
            </w:r>
            <w:r>
              <w:rPr>
                <w:rFonts w:hint="eastAsia" w:cs="仿宋_GB2312"/>
                <w:b w:val="0"/>
                <w:bCs w:val="0"/>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目前正在组织实施</w:t>
            </w:r>
            <w:r>
              <w:rPr>
                <w:rFonts w:hint="eastAsia"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118</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鼓楼街道开元小区、果园街道学府花园小区</w:t>
            </w:r>
            <w:r>
              <w:rPr>
                <w:rFonts w:hint="default" w:cs="仿宋_GB2312"/>
                <w:sz w:val="28"/>
                <w:szCs w:val="28"/>
                <w:vertAlign w:val="baseline"/>
                <w:lang w:val="en-US" w:eastAsia="zh-CN"/>
              </w:rPr>
              <w:t>、</w:t>
            </w:r>
            <w:r>
              <w:rPr>
                <w:rFonts w:hint="eastAsia" w:cs="仿宋_GB2312"/>
                <w:sz w:val="28"/>
                <w:szCs w:val="28"/>
                <w:vertAlign w:val="baseline"/>
                <w:lang w:val="en-US" w:eastAsia="zh-CN"/>
              </w:rPr>
              <w:t>密云镇大唐庄小区等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9"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住宅楼内下水管道</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堵塞问题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已制定《住宅楼内下水管道堵塞问题解决建议方案》，根据临时突发点进行维修补救。</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43</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涉及点位：石城镇水堡子村、</w:t>
            </w:r>
            <w:r>
              <w:rPr>
                <w:rFonts w:hint="eastAsia" w:cs="仿宋_GB2312"/>
                <w:sz w:val="28"/>
                <w:szCs w:val="28"/>
                <w:vertAlign w:val="baseline"/>
                <w:lang w:val="en-US" w:eastAsia="zh-CN"/>
              </w:rPr>
              <w:t>鼓楼街道宾阳里小区</w:t>
            </w:r>
            <w:r>
              <w:rPr>
                <w:rFonts w:hint="default" w:cs="仿宋_GB2312"/>
                <w:sz w:val="28"/>
                <w:szCs w:val="28"/>
                <w:vertAlign w:val="baseline"/>
                <w:lang w:val="en-US" w:eastAsia="zh-CN"/>
              </w:rPr>
              <w:t>、</w:t>
            </w:r>
            <w:r>
              <w:rPr>
                <w:rFonts w:hint="eastAsia" w:cs="仿宋_GB2312"/>
                <w:sz w:val="28"/>
                <w:szCs w:val="28"/>
                <w:vertAlign w:val="baseline"/>
                <w:lang w:val="en-US" w:eastAsia="zh-CN"/>
              </w:rPr>
              <w:t>果园街道果园西里小区等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5"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11</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六月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道路积水问题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楷体_GB2312" w:hAnsi="楷体_GB2312" w:eastAsia="楷体_GB2312" w:cs="楷体_GB2312"/>
                <w:b/>
                <w:bCs/>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1.完成项目启动会，完成《掘占道施工许可》相关方案向区公路分局汇报工作，正在按照意见修改，完成安监、质监备案等相关工作，完成施工图评审，与潮白河管理所对接入河口施工事项。</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2.完成清掏雨水箅子70%、疏通雨水管线200余处。其余清掏、疏通工作计划5月底前完成。</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12</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冯家峪镇下营村、巨各庄镇前焦家坞村</w:t>
            </w:r>
            <w:r>
              <w:rPr>
                <w:rFonts w:hint="default" w:cs="仿宋_GB2312"/>
                <w:sz w:val="28"/>
                <w:szCs w:val="28"/>
                <w:vertAlign w:val="baseline"/>
                <w:lang w:val="en-US" w:eastAsia="zh-CN"/>
              </w:rPr>
              <w:t>、</w:t>
            </w:r>
            <w:r>
              <w:rPr>
                <w:rFonts w:hint="eastAsia" w:cs="仿宋_GB2312"/>
                <w:sz w:val="28"/>
                <w:szCs w:val="28"/>
                <w:vertAlign w:val="baseline"/>
                <w:lang w:val="en-US" w:eastAsia="zh-CN"/>
              </w:rPr>
              <w:t>东邵渠镇史长峪村等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3"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12</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农村污水治理问题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主责单位：区水务局</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1.污水骨干管网工程已开工；</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污水处理站、湿地及支管网建设工程为PPP项目，目前已取得《项目建议书（代可研报告）》批复文件，取得项目《物有所值报告》《财政承受能力论证报告》审查意见。待区政府常务会审查通过《PPP实施方案》，进行项目社会投资人的招标工作。</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136</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河南寨镇提辖庄村</w:t>
            </w:r>
            <w:r>
              <w:rPr>
                <w:rFonts w:hint="default" w:cs="仿宋_GB2312"/>
                <w:sz w:val="28"/>
                <w:szCs w:val="28"/>
                <w:vertAlign w:val="baseline"/>
                <w:lang w:val="en-US" w:eastAsia="zh-CN"/>
              </w:rPr>
              <w:t>、</w:t>
            </w:r>
            <w:r>
              <w:rPr>
                <w:rFonts w:hint="eastAsia" w:cs="仿宋_GB2312"/>
                <w:sz w:val="28"/>
                <w:szCs w:val="28"/>
                <w:vertAlign w:val="baseline"/>
                <w:lang w:val="en-US" w:eastAsia="zh-CN"/>
              </w:rPr>
              <w:t>不老屯镇燕落村、石城镇红星村等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6"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13</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七月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社区健身设施建设与</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管理问题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主责单位：区体育局</w:t>
            </w:r>
          </w:p>
        </w:tc>
        <w:tc>
          <w:tcPr>
            <w:tcW w:w="5635" w:type="dxa"/>
            <w:vAlign w:val="top"/>
          </w:tcPr>
          <w:p>
            <w:pPr>
              <w:pStyle w:val="4"/>
              <w:keepNext w:val="0"/>
              <w:keepLines w:val="0"/>
              <w:pageBreakBefore w:val="0"/>
              <w:widowControl w:val="0"/>
              <w:numPr>
                <w:ilvl w:val="0"/>
                <w:numId w:val="0"/>
              </w:numPr>
              <w:kinsoku/>
              <w:wordWrap/>
              <w:overflowPunct/>
              <w:topLinePunct w:val="0"/>
              <w:bidi w:val="0"/>
              <w:adjustRightInd/>
              <w:snapToGrid/>
              <w:spacing w:before="55" w:line="4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1.与各镇街建立推进联络机制，了解各镇街对全民健身场地设施管理情况和接诉即办诉求情况，督促各镇街</w:t>
            </w:r>
            <w:r>
              <w:rPr>
                <w:rFonts w:hint="eastAsia" w:cs="仿宋_GB2312"/>
                <w:sz w:val="28"/>
                <w:szCs w:val="28"/>
                <w:highlight w:val="none"/>
                <w:vertAlign w:val="baseline"/>
                <w:lang w:val="en-US" w:eastAsia="zh-CN"/>
              </w:rPr>
              <w:t>（地区）</w:t>
            </w:r>
            <w:r>
              <w:rPr>
                <w:rFonts w:hint="eastAsia" w:ascii="仿宋_GB2312" w:hAnsi="仿宋_GB2312" w:eastAsia="仿宋_GB2312" w:cs="仿宋_GB2312"/>
                <w:sz w:val="28"/>
                <w:szCs w:val="28"/>
                <w:highlight w:val="none"/>
                <w:vertAlign w:val="baseline"/>
                <w:lang w:val="en-US" w:eastAsia="zh-CN"/>
              </w:rPr>
              <w:t xml:space="preserve">加强管理和维护。   </w:t>
            </w:r>
            <w:r>
              <w:rPr>
                <w:rFonts w:hint="eastAsia" w:ascii="楷体_GB2312" w:hAnsi="楷体_GB2312" w:eastAsia="楷体_GB2312" w:cs="楷体_GB2312"/>
                <w:b/>
                <w:bCs/>
                <w:sz w:val="28"/>
                <w:szCs w:val="28"/>
                <w:highlight w:val="none"/>
                <w:vertAlign w:val="baseline"/>
                <w:lang w:val="en-US" w:eastAsia="zh-CN"/>
              </w:rPr>
              <w:t xml:space="preserve">                        </w:t>
            </w:r>
          </w:p>
          <w:p>
            <w:pPr>
              <w:pStyle w:val="4"/>
              <w:keepNext w:val="0"/>
              <w:keepLines w:val="0"/>
              <w:pageBreakBefore w:val="0"/>
              <w:widowControl w:val="0"/>
              <w:numPr>
                <w:ilvl w:val="0"/>
                <w:numId w:val="0"/>
              </w:numPr>
              <w:kinsoku/>
              <w:wordWrap/>
              <w:overflowPunct/>
              <w:topLinePunct w:val="0"/>
              <w:bidi w:val="0"/>
              <w:adjustRightInd/>
              <w:snapToGrid/>
              <w:spacing w:before="55" w:line="4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2.已完成健身广场、微运动体育健身角项目、更新和建设健身器材项目的勘测、调研及设计工作，已开展招投标工作。</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16</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溪翁庄镇东营子村</w:t>
            </w:r>
            <w:r>
              <w:rPr>
                <w:rFonts w:hint="default" w:cs="仿宋_GB2312"/>
                <w:sz w:val="28"/>
                <w:szCs w:val="28"/>
                <w:vertAlign w:val="baseline"/>
                <w:lang w:val="en-US" w:eastAsia="zh-CN"/>
              </w:rPr>
              <w:t>、北庄镇北庄村</w:t>
            </w:r>
            <w:r>
              <w:rPr>
                <w:rFonts w:hint="eastAsia" w:cs="仿宋_GB2312"/>
                <w:sz w:val="28"/>
                <w:szCs w:val="28"/>
                <w:vertAlign w:val="baseline"/>
                <w:lang w:val="en-US" w:eastAsia="zh-CN"/>
              </w:rPr>
              <w:t>、鼓楼街道东菜园小区等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14</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棚户区改造问题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区住建委派专人负责跟踪棚改项目进展，积极与棚改指挥部沟通，对实施方案、补偿方案多次开会研究，解决存在问题。</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9</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溪翁庄镇溪翁庄村</w:t>
            </w:r>
            <w:r>
              <w:rPr>
                <w:rFonts w:hint="default" w:cs="仿宋_GB2312"/>
                <w:sz w:val="28"/>
                <w:szCs w:val="28"/>
                <w:vertAlign w:val="baseline"/>
                <w:lang w:val="en-US" w:eastAsia="zh-CN"/>
              </w:rPr>
              <w:t>、</w:t>
            </w:r>
            <w:r>
              <w:rPr>
                <w:rFonts w:hint="eastAsia" w:cs="仿宋_GB2312"/>
                <w:sz w:val="28"/>
                <w:szCs w:val="28"/>
                <w:vertAlign w:val="baseline"/>
                <w:lang w:val="en-US" w:eastAsia="zh-CN"/>
              </w:rPr>
              <w:t>穆家峪镇新农村、果园街道兴云小区等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5"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15</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农村地区煤改清洁能源后期运行管护问题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cs="仿宋_GB2312"/>
                <w:b w:val="0"/>
                <w:bCs w:val="0"/>
                <w:sz w:val="28"/>
                <w:szCs w:val="28"/>
                <w:highlight w:val="none"/>
                <w:vertAlign w:val="baseline"/>
                <w:lang w:val="en-US" w:eastAsia="zh-CN"/>
              </w:rPr>
            </w:pPr>
            <w:r>
              <w:rPr>
                <w:rFonts w:hint="eastAsia" w:cs="仿宋_GB2312"/>
                <w:sz w:val="28"/>
                <w:szCs w:val="28"/>
                <w:highlight w:val="none"/>
                <w:vertAlign w:val="baseline"/>
                <w:lang w:val="en-US" w:eastAsia="zh-CN"/>
              </w:rPr>
              <w:t>1.完善了《密云区冬季清洁取暖工作售后维护保障方案》并结合市级文件起草并报审了《密云区农村地区“煤改清洁能源”过保取暖设备后期运行维护工作实施方案（试行）》。</w:t>
            </w:r>
            <w:r>
              <w:rPr>
                <w:rFonts w:hint="eastAsia" w:ascii="仿宋_GB2312" w:hAnsi="仿宋_GB2312" w:eastAsia="仿宋_GB2312" w:cs="仿宋_GB2312"/>
                <w:b w:val="0"/>
                <w:bCs w:val="0"/>
                <w:sz w:val="28"/>
                <w:szCs w:val="28"/>
                <w:highlight w:val="none"/>
                <w:vertAlign w:val="baseline"/>
                <w:lang w:val="en-US" w:eastAsia="zh-CN"/>
              </w:rPr>
              <w:t>于2021年9月初至10月底组织开展历年已安装的电取暖设备巡检工作，为保障农村地区冬季清洁取暖工作顺利推进夯实硬件基础。</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2.明确、宣传报修途径。对电话报修、微信公众号报修、远程终端一键报修、联系村级电工报修等多种报修途径进行广泛宣传。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3.做好派单结单和跟踪回访。维修中心接报修后要尽快形成工单并通过手机APP派给村级电工进行处理，村级电工要在30分钟之内到达现场了解情况并对取暖设备进行维修。维修中心要时刻关注工单进展，及时协调督促维修进度，结单后进行回访，售后维护各环节要无缝连接形成严格闭环。</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4.做好应急准备。依托抢单系统鼓励具有空气源热泵维修能力的技术人员注册为热泵维修员。遇有极寒天气、大面积停电等特殊情况，现有维修人员人手不足时，通过抢单系统将部分维修任务派至热泵维修员。</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5.强化服务意识。维修中心代表政府形象，要强化服务意识，做到着装正规、流程规范、业务熟练，要严格应急值守制度。</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26</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大城子镇南沟村</w:t>
            </w:r>
            <w:r>
              <w:rPr>
                <w:rFonts w:hint="default" w:cs="仿宋_GB2312"/>
                <w:sz w:val="28"/>
                <w:szCs w:val="28"/>
                <w:vertAlign w:val="baseline"/>
                <w:lang w:val="en-US" w:eastAsia="zh-CN"/>
              </w:rPr>
              <w:t>、</w:t>
            </w:r>
            <w:r>
              <w:rPr>
                <w:rFonts w:hint="eastAsia" w:cs="仿宋_GB2312"/>
                <w:sz w:val="28"/>
                <w:szCs w:val="28"/>
                <w:vertAlign w:val="baseline"/>
                <w:lang w:val="en-US" w:eastAsia="zh-CN"/>
              </w:rPr>
              <w:t>太师屯镇沙峪村、冯家峪镇司营子村等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2022年4月1日-4月15日接到12345工单共计18单，其中设备报修工单5</w:t>
            </w:r>
            <w:r>
              <w:rPr>
                <w:rFonts w:hint="eastAsia" w:cs="仿宋_GB2312"/>
                <w:sz w:val="28"/>
                <w:szCs w:val="28"/>
                <w:highlight w:val="none"/>
                <w:vertAlign w:val="baseline"/>
                <w:lang w:val="en-US" w:eastAsia="zh-CN"/>
              </w:rPr>
              <w:t>件</w:t>
            </w:r>
            <w:r>
              <w:rPr>
                <w:rFonts w:hint="eastAsia" w:ascii="仿宋_GB2312" w:hAnsi="仿宋_GB2312" w:eastAsia="仿宋_GB2312" w:cs="仿宋_GB2312"/>
                <w:sz w:val="28"/>
                <w:szCs w:val="28"/>
                <w:highlight w:val="none"/>
                <w:vertAlign w:val="baseline"/>
                <w:lang w:val="en-US" w:eastAsia="zh-CN"/>
              </w:rPr>
              <w:t>；政策咨询问题8</w:t>
            </w:r>
            <w:r>
              <w:rPr>
                <w:rFonts w:hint="eastAsia" w:cs="仿宋_GB2312"/>
                <w:sz w:val="28"/>
                <w:szCs w:val="28"/>
                <w:highlight w:val="none"/>
                <w:vertAlign w:val="baseline"/>
                <w:lang w:val="en-US" w:eastAsia="zh-CN"/>
              </w:rPr>
              <w:t>件</w:t>
            </w:r>
            <w:r>
              <w:rPr>
                <w:rFonts w:hint="eastAsia" w:ascii="仿宋_GB2312" w:hAnsi="仿宋_GB2312" w:eastAsia="仿宋_GB2312" w:cs="仿宋_GB2312"/>
                <w:sz w:val="28"/>
                <w:szCs w:val="28"/>
                <w:highlight w:val="none"/>
                <w:vertAlign w:val="baseline"/>
                <w:lang w:val="en-US" w:eastAsia="zh-CN"/>
              </w:rPr>
              <w:t>；费用与补贴问题1</w:t>
            </w:r>
            <w:r>
              <w:rPr>
                <w:rFonts w:hint="eastAsia" w:cs="仿宋_GB2312"/>
                <w:sz w:val="28"/>
                <w:szCs w:val="28"/>
                <w:highlight w:val="none"/>
                <w:vertAlign w:val="baseline"/>
                <w:lang w:val="en-US" w:eastAsia="zh-CN"/>
              </w:rPr>
              <w:t>件</w:t>
            </w:r>
            <w:r>
              <w:rPr>
                <w:rFonts w:hint="eastAsia" w:ascii="仿宋_GB2312" w:hAnsi="仿宋_GB2312" w:eastAsia="仿宋_GB2312" w:cs="仿宋_GB2312"/>
                <w:sz w:val="28"/>
                <w:szCs w:val="28"/>
                <w:highlight w:val="none"/>
                <w:vertAlign w:val="baseline"/>
                <w:lang w:val="en-US" w:eastAsia="zh-CN"/>
              </w:rPr>
              <w:t>；改造申请与安装问题4</w:t>
            </w:r>
            <w:r>
              <w:rPr>
                <w:rFonts w:hint="eastAsia" w:cs="仿宋_GB2312"/>
                <w:sz w:val="28"/>
                <w:szCs w:val="28"/>
                <w:highlight w:val="none"/>
                <w:vertAlign w:val="baseline"/>
                <w:lang w:val="en-US" w:eastAsia="zh-CN"/>
              </w:rPr>
              <w:t>件。</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55" w:line="46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以上形成工单咨询类问题均已解答，设备报修问题均已解决。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0"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16</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集中供暖不热问题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2021-2022采暖季已结束，</w:t>
            </w:r>
            <w:r>
              <w:rPr>
                <w:rFonts w:hint="eastAsia" w:ascii="楷体_GB2312" w:hAnsi="楷体_GB2312" w:eastAsia="楷体_GB2312" w:cs="楷体_GB2312"/>
                <w:b/>
                <w:bCs/>
                <w:sz w:val="28"/>
                <w:szCs w:val="28"/>
                <w:highlight w:val="none"/>
                <w:vertAlign w:val="baseline"/>
                <w:lang w:val="en-US" w:eastAsia="zh-CN"/>
              </w:rPr>
              <w:t>将组织供热单位全方位落实“冬病夏治”措施，针对性的开展设备、管网检修、更新和维护工作。对2021-2022采暖季暴露出的管网问题、安全隐患问题进行排查解决</w:t>
            </w:r>
            <w:r>
              <w:rPr>
                <w:rFonts w:hint="eastAsia" w:ascii="楷体_GB2312" w:hAnsi="楷体_GB2312" w:eastAsia="楷体_GB2312" w:cs="楷体_GB2312"/>
                <w:b w:val="0"/>
                <w:bCs w:val="0"/>
                <w:sz w:val="28"/>
                <w:szCs w:val="28"/>
                <w:highlight w:val="none"/>
                <w:vertAlign w:val="baseline"/>
                <w:lang w:val="en-US" w:eastAsia="zh-CN"/>
              </w:rPr>
              <w:t>，</w:t>
            </w:r>
            <w:r>
              <w:rPr>
                <w:rFonts w:hint="eastAsia" w:ascii="仿宋_GB2312" w:hAnsi="仿宋_GB2312" w:eastAsia="仿宋_GB2312" w:cs="仿宋_GB2312"/>
                <w:b w:val="0"/>
                <w:bCs w:val="0"/>
                <w:sz w:val="28"/>
                <w:szCs w:val="28"/>
                <w:highlight w:val="none"/>
                <w:vertAlign w:val="baseline"/>
                <w:lang w:val="en-US" w:eastAsia="zh-CN"/>
              </w:rPr>
              <w:t>切实提高我区供热安全运行水平。</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 xml:space="preserve">月底前完成夏季检修计划制定；10月底前完成设备检修并具备运行条件。 </w:t>
            </w:r>
            <w:r>
              <w:rPr>
                <w:rFonts w:hint="eastAsia" w:ascii="仿宋_GB2312" w:hAnsi="仿宋_GB2312" w:eastAsia="仿宋_GB2312" w:cs="仿宋_GB2312"/>
                <w:b/>
                <w:bCs/>
                <w:sz w:val="28"/>
                <w:szCs w:val="28"/>
                <w:highlight w:val="none"/>
                <w:vertAlign w:val="baseline"/>
                <w:lang w:val="en-US" w:eastAsia="zh-CN"/>
              </w:rPr>
              <w:t xml:space="preserve"> </w:t>
            </w:r>
            <w:r>
              <w:rPr>
                <w:rFonts w:hint="eastAsia" w:ascii="楷体_GB2312" w:hAnsi="楷体_GB2312" w:eastAsia="楷体_GB2312" w:cs="楷体_GB2312"/>
                <w:b/>
                <w:bCs/>
                <w:sz w:val="28"/>
                <w:szCs w:val="28"/>
                <w:highlight w:val="none"/>
                <w:vertAlign w:val="baseline"/>
                <w:lang w:val="en-US" w:eastAsia="zh-CN"/>
              </w:rPr>
              <w:t xml:space="preserve">                            </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1</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鼓楼街道白檀小区</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bCs/>
                <w:color w:val="auto"/>
                <w:sz w:val="28"/>
                <w:szCs w:val="28"/>
                <w:highlight w:val="none"/>
                <w:vertAlign w:val="baseline"/>
                <w:lang w:val="en-US" w:eastAsia="zh-CN"/>
              </w:rPr>
              <w:t>17</w:t>
            </w:r>
          </w:p>
        </w:tc>
        <w:tc>
          <w:tcPr>
            <w:tcW w:w="1050" w:type="dxa"/>
            <w:vMerge w:val="restart"/>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九月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公交运营调度</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优化问题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主责单位：区交通局</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根据密云站列车时刻，结合密云站点客流需求，组织公交企业制定公交接驳方案</w:t>
            </w:r>
            <w:r>
              <w:rPr>
                <w:rFonts w:hint="eastAsia" w:ascii="仿宋_GB2312" w:hAnsi="仿宋_GB2312" w:eastAsia="仿宋_GB2312" w:cs="仿宋_GB2312"/>
                <w:sz w:val="28"/>
                <w:szCs w:val="28"/>
                <w:highlight w:val="none"/>
                <w:vertAlign w:val="baseline"/>
                <w:lang w:val="en-US" w:eastAsia="zh-CN"/>
              </w:rPr>
              <w:t>，通过优化调整公交线路和发车时间，做好密云站公交接驳工作，实现公交线网与高铁线网的融合衔接，提升乘客出行体验和综合运输效率。</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5</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密66路、密2路</w:t>
            </w:r>
            <w:r>
              <w:rPr>
                <w:rFonts w:hint="default" w:cs="仿宋_GB2312"/>
                <w:sz w:val="28"/>
                <w:szCs w:val="28"/>
                <w:vertAlign w:val="baseline"/>
                <w:lang w:val="en-US" w:eastAsia="zh-CN"/>
              </w:rPr>
              <w:t>、</w:t>
            </w:r>
            <w:r>
              <w:rPr>
                <w:rFonts w:hint="eastAsia" w:cs="仿宋_GB2312"/>
                <w:sz w:val="28"/>
                <w:szCs w:val="28"/>
                <w:vertAlign w:val="baseline"/>
                <w:lang w:val="en-US" w:eastAsia="zh-CN"/>
              </w:rPr>
              <w:t>密9路等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18</w:t>
            </w:r>
          </w:p>
        </w:tc>
        <w:tc>
          <w:tcPr>
            <w:tcW w:w="1050" w:type="dxa"/>
            <w:vMerge w:val="continue"/>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信号灯问题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区交通支队</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信号灯移交窗口期，开展其他单位新建信号灯的接养工作</w:t>
            </w:r>
            <w:r>
              <w:rPr>
                <w:rFonts w:hint="eastAsia" w:ascii="仿宋_GB2312" w:hAnsi="仿宋_GB2312" w:eastAsia="仿宋_GB2312" w:cs="仿宋_GB2312"/>
                <w:sz w:val="28"/>
                <w:szCs w:val="28"/>
                <w:highlight w:val="none"/>
                <w:vertAlign w:val="baseline"/>
                <w:lang w:val="en-US" w:eastAsia="zh-CN"/>
              </w:rPr>
              <w:t>。目前，密云区有未接养信号灯16处，根据产权单位建设进度，</w:t>
            </w:r>
            <w:r>
              <w:rPr>
                <w:rFonts w:hint="eastAsia" w:ascii="仿宋_GB2312" w:hAnsi="仿宋_GB2312" w:eastAsia="仿宋_GB2312" w:cs="仿宋_GB2312"/>
                <w:b w:val="0"/>
                <w:bCs w:val="0"/>
                <w:sz w:val="28"/>
                <w:szCs w:val="28"/>
                <w:highlight w:val="none"/>
                <w:vertAlign w:val="baseline"/>
                <w:lang w:val="en-US" w:eastAsia="zh-CN"/>
              </w:rPr>
              <w:t>要求建设单位上报台账，移交信号灯。</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vertAlign w:val="baseline"/>
                <w:lang w:val="en-US" w:eastAsia="zh-CN"/>
              </w:rPr>
              <w:t>无</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1"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19</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餐饮行业</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食品安全问题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区市场监管局</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根据已制定的《密云区市场监督管理局推动解决“餐饮行业食品安全问题”工作方案》要求，</w:t>
            </w:r>
            <w:r>
              <w:rPr>
                <w:rFonts w:hint="eastAsia" w:ascii="楷体_GB2312" w:hAnsi="楷体_GB2312" w:eastAsia="楷体_GB2312" w:cs="楷体_GB2312"/>
                <w:b/>
                <w:bCs/>
                <w:sz w:val="28"/>
                <w:szCs w:val="28"/>
                <w:highlight w:val="none"/>
                <w:vertAlign w:val="baseline"/>
                <w:lang w:val="en-US" w:eastAsia="zh-CN"/>
              </w:rPr>
              <w:t>加强对网络外卖配送平台和网络餐饮单位的监管，加强网络送餐单位食品抽检。持续开展反餐饮浪费工作。</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8</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鼓楼街道万象汇物美生鲜超市、密云好伦哥餐厅</w:t>
            </w:r>
            <w:r>
              <w:rPr>
                <w:rFonts w:hint="default" w:cs="仿宋_GB2312"/>
                <w:sz w:val="28"/>
                <w:szCs w:val="28"/>
                <w:vertAlign w:val="baseline"/>
                <w:lang w:val="en-US" w:eastAsia="zh-CN"/>
              </w:rPr>
              <w:t>、</w:t>
            </w:r>
            <w:r>
              <w:rPr>
                <w:rFonts w:hint="eastAsia" w:cs="仿宋_GB2312"/>
                <w:sz w:val="28"/>
                <w:szCs w:val="28"/>
                <w:vertAlign w:val="baseline"/>
                <w:lang w:val="en-US" w:eastAsia="zh-CN"/>
              </w:rPr>
              <w:t>鼓楼街道豫见烤冷面餐厅等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结合餐饮行业大检查工作重点对网络送餐单位进行检查，发现问题依法处理并在区政府官网对外公示。持续加强网络送餐食品抽检工作力度。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7"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20</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一</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噪声扰民问题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区生态环境局</w:t>
            </w:r>
          </w:p>
        </w:tc>
        <w:tc>
          <w:tcPr>
            <w:tcW w:w="5635" w:type="dxa"/>
            <w:vAlign w:val="top"/>
          </w:tcPr>
          <w:p>
            <w:pPr>
              <w:pStyle w:val="4"/>
              <w:keepNext w:val="0"/>
              <w:keepLines w:val="0"/>
              <w:pageBreakBefore w:val="0"/>
              <w:widowControl w:val="0"/>
              <w:kinsoku/>
              <w:wordWrap/>
              <w:overflowPunct/>
              <w:topLinePunct w:val="0"/>
              <w:autoSpaceDE w:val="0"/>
              <w:autoSpaceDN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1.开展工业企业噪声专项检查，4月1日-4月15日，共计检查工业企业69家次。建城区内各镇（街）开展商业噪声巡查检查，</w:t>
            </w:r>
            <w:r>
              <w:rPr>
                <w:rFonts w:hint="eastAsia" w:ascii="楷体_GB2312" w:hAnsi="楷体_GB2312" w:eastAsia="楷体_GB2312" w:cs="楷体_GB2312"/>
                <w:b/>
                <w:bCs/>
                <w:sz w:val="28"/>
                <w:szCs w:val="28"/>
                <w:highlight w:val="none"/>
                <w:vertAlign w:val="baseline"/>
                <w:lang w:val="en-US" w:eastAsia="zh-CN"/>
              </w:rPr>
              <w:t>4月1日-4月15日共计检查商铺65家次</w:t>
            </w:r>
            <w:r>
              <w:rPr>
                <w:rFonts w:hint="eastAsia" w:ascii="仿宋_GB2312" w:hAnsi="仿宋_GB2312" w:eastAsia="仿宋_GB2312" w:cs="仿宋_GB2312"/>
                <w:sz w:val="28"/>
                <w:szCs w:val="28"/>
                <w:highlight w:val="none"/>
                <w:vertAlign w:val="baseline"/>
                <w:lang w:val="en-US" w:eastAsia="zh-CN"/>
              </w:rPr>
              <w:t>。2022年4月1日以来区住建委夜施审批0件。</w:t>
            </w:r>
          </w:p>
          <w:p>
            <w:pPr>
              <w:pStyle w:val="4"/>
              <w:keepNext w:val="0"/>
              <w:keepLines w:val="0"/>
              <w:pageBreakBefore w:val="0"/>
              <w:widowControl w:val="0"/>
              <w:kinsoku/>
              <w:wordWrap/>
              <w:overflowPunct/>
              <w:topLinePunct w:val="0"/>
              <w:autoSpaceDE w:val="0"/>
              <w:autoSpaceDN w:val="0"/>
              <w:bidi w:val="0"/>
              <w:adjustRightInd/>
              <w:snapToGrid/>
              <w:spacing w:before="55" w:line="46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ascii="楷体_GB2312" w:hAnsi="楷体_GB2312" w:eastAsia="楷体_GB2312" w:cs="楷体_GB2312"/>
                <w:b/>
                <w:bCs/>
                <w:sz w:val="28"/>
                <w:szCs w:val="28"/>
                <w:highlight w:val="none"/>
                <w:vertAlign w:val="baseline"/>
                <w:lang w:val="en-US" w:eastAsia="zh-CN"/>
              </w:rPr>
              <w:t>全区共受理噪声扰民类信访25件</w:t>
            </w:r>
            <w:r>
              <w:rPr>
                <w:rFonts w:hint="eastAsia" w:ascii="仿宋_GB2312" w:hAnsi="仿宋_GB2312" w:eastAsia="仿宋_GB2312" w:cs="仿宋_GB2312"/>
                <w:sz w:val="28"/>
                <w:szCs w:val="28"/>
                <w:highlight w:val="none"/>
                <w:vertAlign w:val="baseline"/>
                <w:lang w:val="en-US" w:eastAsia="zh-CN"/>
              </w:rPr>
              <w:t>，工业生产噪音1件、施工扰民噪声5件、鼓风机噪声1件，邻里噪声8件，其他噪声10件。其中：18件双满，双否2件，5件处理</w:t>
            </w:r>
            <w:r>
              <w:rPr>
                <w:rFonts w:hint="eastAsia" w:cs="仿宋_GB2312"/>
                <w:sz w:val="28"/>
                <w:szCs w:val="28"/>
                <w:highlight w:val="none"/>
                <w:vertAlign w:val="baseline"/>
                <w:lang w:val="en-US" w:eastAsia="zh-CN"/>
              </w:rPr>
              <w:t>中</w:t>
            </w:r>
            <w:r>
              <w:rPr>
                <w:rFonts w:hint="eastAsia" w:ascii="仿宋_GB2312" w:hAnsi="仿宋_GB2312" w:eastAsia="仿宋_GB2312" w:cs="仿宋_GB2312"/>
                <w:sz w:val="28"/>
                <w:szCs w:val="28"/>
                <w:highlight w:val="none"/>
                <w:vertAlign w:val="baseline"/>
                <w:lang w:val="en-US" w:eastAsia="zh-CN"/>
              </w:rPr>
              <w:t xml:space="preserve">。  </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jc w:val="both"/>
              <w:textAlignment w:val="auto"/>
              <w:rPr>
                <w:rFonts w:hint="default" w:cs="仿宋_GB2312"/>
                <w:sz w:val="28"/>
                <w:szCs w:val="28"/>
                <w:vertAlign w:val="baseline"/>
                <w:lang w:val="en-US" w:eastAsia="zh-CN"/>
              </w:rPr>
            </w:pPr>
            <w:r>
              <w:rPr>
                <w:rFonts w:hint="default" w:cs="仿宋_GB2312"/>
                <w:sz w:val="28"/>
                <w:szCs w:val="28"/>
                <w:vertAlign w:val="baseline"/>
                <w:lang w:val="en-US" w:eastAsia="zh-CN"/>
              </w:rPr>
              <w:t>问题工单</w:t>
            </w:r>
            <w:r>
              <w:rPr>
                <w:rFonts w:hint="eastAsia" w:cs="仿宋_GB2312"/>
                <w:sz w:val="28"/>
                <w:szCs w:val="28"/>
                <w:vertAlign w:val="baseline"/>
                <w:lang w:val="en-US" w:eastAsia="zh-CN"/>
              </w:rPr>
              <w:t>73</w:t>
            </w:r>
            <w:r>
              <w:rPr>
                <w:rFonts w:hint="default" w:cs="仿宋_GB2312"/>
                <w:sz w:val="28"/>
                <w:szCs w:val="28"/>
                <w:vertAlign w:val="baseline"/>
                <w:lang w:val="en-US" w:eastAsia="zh-CN"/>
              </w:rPr>
              <w:t>件；</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vertAlign w:val="baseline"/>
                <w:lang w:val="en-US" w:eastAsia="zh-CN"/>
              </w:rPr>
              <w:t>涉及点位：</w:t>
            </w:r>
            <w:r>
              <w:rPr>
                <w:rFonts w:hint="eastAsia" w:cs="仿宋_GB2312"/>
                <w:sz w:val="28"/>
                <w:szCs w:val="28"/>
                <w:vertAlign w:val="baseline"/>
                <w:lang w:val="en-US" w:eastAsia="zh-CN"/>
              </w:rPr>
              <w:t>河南寨镇荆栗园村、鼓楼街道沿湖小区</w:t>
            </w:r>
            <w:r>
              <w:rPr>
                <w:rFonts w:hint="default" w:cs="仿宋_GB2312"/>
                <w:sz w:val="28"/>
                <w:szCs w:val="28"/>
                <w:vertAlign w:val="baseline"/>
                <w:lang w:val="en-US" w:eastAsia="zh-CN"/>
              </w:rPr>
              <w:t>、</w:t>
            </w:r>
            <w:r>
              <w:rPr>
                <w:rFonts w:hint="eastAsia" w:cs="仿宋_GB2312"/>
                <w:sz w:val="28"/>
                <w:szCs w:val="28"/>
                <w:vertAlign w:val="baseline"/>
                <w:lang w:val="en-US" w:eastAsia="zh-CN"/>
              </w:rPr>
              <w:t>巨各庄镇丰各庄村等</w:t>
            </w:r>
            <w:r>
              <w:rPr>
                <w:rFonts w:hint="default" w:cs="仿宋_GB2312"/>
                <w:sz w:val="28"/>
                <w:szCs w:val="28"/>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left"/>
              <w:textAlignment w:val="auto"/>
              <w:rPr>
                <w:rFonts w:hint="default"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0" w:hRule="atLeast"/>
          <w:jc w:val="center"/>
        </w:trPr>
        <w:tc>
          <w:tcPr>
            <w:tcW w:w="925"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color w:val="auto"/>
                <w:sz w:val="28"/>
                <w:szCs w:val="28"/>
                <w:highlight w:val="none"/>
                <w:vertAlign w:val="baseline"/>
                <w:lang w:val="en-US" w:eastAsia="zh-CN"/>
              </w:rPr>
            </w:pPr>
            <w:r>
              <w:rPr>
                <w:rFonts w:hint="eastAsia" w:cs="仿宋_GB2312"/>
                <w:b w:val="0"/>
                <w:bCs w:val="0"/>
                <w:color w:val="auto"/>
                <w:sz w:val="28"/>
                <w:szCs w:val="28"/>
                <w:highlight w:val="none"/>
                <w:vertAlign w:val="baseline"/>
                <w:lang w:val="en-US" w:eastAsia="zh-CN"/>
              </w:rPr>
              <w:t>21</w:t>
            </w:r>
          </w:p>
        </w:tc>
        <w:tc>
          <w:tcPr>
            <w:tcW w:w="105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0-3岁婴幼儿普惠托育服务资源不足问题</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区卫生健康委</w:t>
            </w:r>
          </w:p>
        </w:tc>
        <w:tc>
          <w:tcPr>
            <w:tcW w:w="5635"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firstLine="562" w:firstLineChars="200"/>
              <w:jc w:val="both"/>
              <w:textAlignment w:val="auto"/>
              <w:rPr>
                <w:rFonts w:hint="default"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组织区级相关职能部门对《北京市普惠托育服务试点工作方案》研提意见建议；联合监督所对市场监督管理局新推送的8家托育机构进行实地检查。</w:t>
            </w:r>
          </w:p>
        </w:tc>
        <w:tc>
          <w:tcPr>
            <w:tcW w:w="2782"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vertAlign w:val="baseline"/>
                <w:lang w:val="en-US" w:eastAsia="zh-CN"/>
              </w:rPr>
              <w:t>无</w:t>
            </w:r>
          </w:p>
        </w:tc>
        <w:tc>
          <w:tcPr>
            <w:tcW w:w="2424" w:type="dxa"/>
            <w:vAlign w:val="top"/>
          </w:tcPr>
          <w:p>
            <w:pPr>
              <w:pStyle w:val="4"/>
              <w:keepNext w:val="0"/>
              <w:keepLines w:val="0"/>
              <w:pageBreakBefore w:val="0"/>
              <w:widowControl w:val="0"/>
              <w:kinsoku/>
              <w:wordWrap/>
              <w:overflowPunct/>
              <w:topLinePunct w:val="0"/>
              <w:bidi w:val="0"/>
              <w:adjustRightInd/>
              <w:snapToGrid/>
              <w:spacing w:before="55" w:line="46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bl>
    <w:p>
      <w:pPr>
        <w:keepNext w:val="0"/>
        <w:keepLines w:val="0"/>
        <w:pageBreakBefore w:val="0"/>
        <w:widowControl w:val="0"/>
        <w:tabs>
          <w:tab w:val="left" w:pos="5325"/>
        </w:tabs>
        <w:kinsoku/>
        <w:wordWrap/>
        <w:overflowPunct/>
        <w:topLinePunct w:val="0"/>
        <w:autoSpaceDE/>
        <w:autoSpaceDN/>
        <w:bidi/>
        <w:adjustRightInd/>
        <w:snapToGrid/>
        <w:spacing w:line="20" w:lineRule="exact"/>
        <w:jc w:val="right"/>
        <w:textAlignment w:val="auto"/>
        <w:rPr>
          <w:rFonts w:hint="default"/>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FA9263-BA4A-4440-BD14-4C2142427E1C}"/>
  </w:font>
  <w:font w:name="黑体">
    <w:panose1 w:val="02010609060101010101"/>
    <w:charset w:val="86"/>
    <w:family w:val="auto"/>
    <w:pitch w:val="default"/>
    <w:sig w:usb0="800002BF" w:usb1="38CF7CFA" w:usb2="00000016" w:usb3="00000000" w:csb0="00040001" w:csb1="00000000"/>
    <w:embedRegular r:id="rId2" w:fontKey="{AB509F3E-0358-404A-BCC3-CD8C4398EC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93A76A7-BAF8-4B78-A901-1BFF274DA234}"/>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4" w:fontKey="{64BC3B58-9F78-4AE3-A401-9F2421841954}"/>
  </w:font>
  <w:font w:name="楷体_GB2312">
    <w:panose1 w:val="02010609030101010101"/>
    <w:charset w:val="86"/>
    <w:family w:val="auto"/>
    <w:pitch w:val="default"/>
    <w:sig w:usb0="00000001" w:usb1="080E0000" w:usb2="00000000" w:usb3="00000000" w:csb0="00040000" w:csb1="00000000"/>
    <w:embedRegular r:id="rId5" w:fontKey="{A40AE5BF-644F-4F05-89A3-545A927E59C2}"/>
  </w:font>
  <w:font w:name="Helvetica">
    <w:altName w:val="Arial"/>
    <w:panose1 w:val="00000000000000000000"/>
    <w:charset w:val="00"/>
    <w:family w:val="auto"/>
    <w:pitch w:val="default"/>
    <w:sig w:usb0="00000000" w:usb1="00000000" w:usb2="00000000" w:usb3="00000000" w:csb0="00040001" w:csb1="00000000"/>
    <w:embedRegular r:id="rId6" w:fontKey="{6C7FC671-1E50-4741-AE61-5F160D1B707B}"/>
  </w:font>
  <w:font w:name="方正小标宋简体">
    <w:panose1 w:val="03000509000000000000"/>
    <w:charset w:val="86"/>
    <w:family w:val="auto"/>
    <w:pitch w:val="default"/>
    <w:sig w:usb0="00000001" w:usb1="080E0000" w:usb2="00000000" w:usb3="00000000" w:csb0="00040000" w:csb1="00000000"/>
    <w:embedRegular r:id="rId7" w:fontKey="{A5608227-45AF-4BF9-A705-9F1EED929D4D}"/>
  </w:font>
  <w:font w:name="仿宋">
    <w:panose1 w:val="02010609060101010101"/>
    <w:charset w:val="86"/>
    <w:family w:val="modern"/>
    <w:pitch w:val="default"/>
    <w:sig w:usb0="800002BF" w:usb1="38CF7CFA" w:usb2="00000016" w:usb3="00000000" w:csb0="00040001" w:csb1="00000000"/>
    <w:embedRegular r:id="rId8" w:fontKey="{B70E5343-554F-494B-B179-017CF388A9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ljNzRiZDBiZjllNDY1YTQ0NjkwOTFmNzMyNjgifQ=="/>
  </w:docVars>
  <w:rsids>
    <w:rsidRoot w:val="00172A27"/>
    <w:rsid w:val="00300BB8"/>
    <w:rsid w:val="00911EE1"/>
    <w:rsid w:val="0091378F"/>
    <w:rsid w:val="009721D3"/>
    <w:rsid w:val="010E1FFB"/>
    <w:rsid w:val="01725658"/>
    <w:rsid w:val="01CB1192"/>
    <w:rsid w:val="01E511F3"/>
    <w:rsid w:val="024A64D6"/>
    <w:rsid w:val="03005303"/>
    <w:rsid w:val="03173A2C"/>
    <w:rsid w:val="038112E9"/>
    <w:rsid w:val="03F04426"/>
    <w:rsid w:val="04011FC1"/>
    <w:rsid w:val="044863B9"/>
    <w:rsid w:val="058E1745"/>
    <w:rsid w:val="063B5E82"/>
    <w:rsid w:val="065A7B9F"/>
    <w:rsid w:val="06731023"/>
    <w:rsid w:val="0706091E"/>
    <w:rsid w:val="07824A87"/>
    <w:rsid w:val="079E2883"/>
    <w:rsid w:val="07FF1D65"/>
    <w:rsid w:val="080E7116"/>
    <w:rsid w:val="085119DA"/>
    <w:rsid w:val="090D144D"/>
    <w:rsid w:val="09173C16"/>
    <w:rsid w:val="09450ACC"/>
    <w:rsid w:val="094E261A"/>
    <w:rsid w:val="09785D09"/>
    <w:rsid w:val="09DF581B"/>
    <w:rsid w:val="09EC32C4"/>
    <w:rsid w:val="0AA74AF8"/>
    <w:rsid w:val="0ABC3FB7"/>
    <w:rsid w:val="0AD46DD3"/>
    <w:rsid w:val="0AF00D2D"/>
    <w:rsid w:val="0B434BFB"/>
    <w:rsid w:val="0B6B221F"/>
    <w:rsid w:val="0B8B6EA2"/>
    <w:rsid w:val="0BA57DE9"/>
    <w:rsid w:val="0BB76D3C"/>
    <w:rsid w:val="0BD845F9"/>
    <w:rsid w:val="0C475403"/>
    <w:rsid w:val="0CBC16A0"/>
    <w:rsid w:val="0CD16EB6"/>
    <w:rsid w:val="0D323B7B"/>
    <w:rsid w:val="0E5532F6"/>
    <w:rsid w:val="0E6412C5"/>
    <w:rsid w:val="0E9B7E64"/>
    <w:rsid w:val="0ED31954"/>
    <w:rsid w:val="0F1D513F"/>
    <w:rsid w:val="0F707076"/>
    <w:rsid w:val="0FF25C71"/>
    <w:rsid w:val="10B75F76"/>
    <w:rsid w:val="10C33CAD"/>
    <w:rsid w:val="11A52E58"/>
    <w:rsid w:val="11C06567"/>
    <w:rsid w:val="11FB7BEA"/>
    <w:rsid w:val="125C581A"/>
    <w:rsid w:val="12787B48"/>
    <w:rsid w:val="12B74EA4"/>
    <w:rsid w:val="12CA599D"/>
    <w:rsid w:val="13561AB1"/>
    <w:rsid w:val="13644ABA"/>
    <w:rsid w:val="13BF78B3"/>
    <w:rsid w:val="13EA3D9B"/>
    <w:rsid w:val="140506AF"/>
    <w:rsid w:val="147A2D89"/>
    <w:rsid w:val="14CC1810"/>
    <w:rsid w:val="15B5628A"/>
    <w:rsid w:val="163A31D4"/>
    <w:rsid w:val="173E7321"/>
    <w:rsid w:val="189775FC"/>
    <w:rsid w:val="18A963D9"/>
    <w:rsid w:val="18D70F9E"/>
    <w:rsid w:val="194164C5"/>
    <w:rsid w:val="198D6D32"/>
    <w:rsid w:val="19A36D4C"/>
    <w:rsid w:val="19AB37CA"/>
    <w:rsid w:val="1A4464C1"/>
    <w:rsid w:val="1A680672"/>
    <w:rsid w:val="1A90159F"/>
    <w:rsid w:val="1A97570D"/>
    <w:rsid w:val="1B090D19"/>
    <w:rsid w:val="1B5E1E7E"/>
    <w:rsid w:val="1B82033A"/>
    <w:rsid w:val="1BAB3DA6"/>
    <w:rsid w:val="1BDF5788"/>
    <w:rsid w:val="1BE85F5C"/>
    <w:rsid w:val="1C1A387E"/>
    <w:rsid w:val="1C600BBE"/>
    <w:rsid w:val="1C764685"/>
    <w:rsid w:val="1C834F7C"/>
    <w:rsid w:val="1D6A35F5"/>
    <w:rsid w:val="1D721CAA"/>
    <w:rsid w:val="1D745321"/>
    <w:rsid w:val="1D777A68"/>
    <w:rsid w:val="1DA405C0"/>
    <w:rsid w:val="1DFB6432"/>
    <w:rsid w:val="1EA46FDA"/>
    <w:rsid w:val="1F137D18"/>
    <w:rsid w:val="1F4703F5"/>
    <w:rsid w:val="1F7C73C5"/>
    <w:rsid w:val="204477A0"/>
    <w:rsid w:val="214D349D"/>
    <w:rsid w:val="230E685F"/>
    <w:rsid w:val="2325562D"/>
    <w:rsid w:val="23522413"/>
    <w:rsid w:val="23B24463"/>
    <w:rsid w:val="241A7AF3"/>
    <w:rsid w:val="257E7F49"/>
    <w:rsid w:val="25E3232D"/>
    <w:rsid w:val="27024FBF"/>
    <w:rsid w:val="272D3C76"/>
    <w:rsid w:val="27AA5BE2"/>
    <w:rsid w:val="288D78CB"/>
    <w:rsid w:val="29323C9D"/>
    <w:rsid w:val="29525874"/>
    <w:rsid w:val="29C46270"/>
    <w:rsid w:val="29D41089"/>
    <w:rsid w:val="2A027138"/>
    <w:rsid w:val="2A335287"/>
    <w:rsid w:val="2A57117E"/>
    <w:rsid w:val="2AF43873"/>
    <w:rsid w:val="2B225018"/>
    <w:rsid w:val="2B46020C"/>
    <w:rsid w:val="2BCB0BEB"/>
    <w:rsid w:val="2BCD7F13"/>
    <w:rsid w:val="2BFC1908"/>
    <w:rsid w:val="2C6D614E"/>
    <w:rsid w:val="2CFC1926"/>
    <w:rsid w:val="2CFC441B"/>
    <w:rsid w:val="2CFD3799"/>
    <w:rsid w:val="2D105E1F"/>
    <w:rsid w:val="2D5946D2"/>
    <w:rsid w:val="2D5B4E4C"/>
    <w:rsid w:val="2DE61E96"/>
    <w:rsid w:val="2F4B41B9"/>
    <w:rsid w:val="2FBB4E44"/>
    <w:rsid w:val="300D79C7"/>
    <w:rsid w:val="306F4BA2"/>
    <w:rsid w:val="31DF3842"/>
    <w:rsid w:val="322B52A6"/>
    <w:rsid w:val="327301A8"/>
    <w:rsid w:val="33441120"/>
    <w:rsid w:val="33684BE5"/>
    <w:rsid w:val="336942CD"/>
    <w:rsid w:val="33BD1099"/>
    <w:rsid w:val="33FC49DF"/>
    <w:rsid w:val="347B152B"/>
    <w:rsid w:val="347E1F44"/>
    <w:rsid w:val="34D42349"/>
    <w:rsid w:val="353848A8"/>
    <w:rsid w:val="354D1C91"/>
    <w:rsid w:val="35865788"/>
    <w:rsid w:val="35F535D9"/>
    <w:rsid w:val="37AF7979"/>
    <w:rsid w:val="380531F5"/>
    <w:rsid w:val="385F645E"/>
    <w:rsid w:val="387263A2"/>
    <w:rsid w:val="38B407BA"/>
    <w:rsid w:val="394C2C99"/>
    <w:rsid w:val="39567873"/>
    <w:rsid w:val="3BFA244D"/>
    <w:rsid w:val="3C474DB2"/>
    <w:rsid w:val="3C4F4D9C"/>
    <w:rsid w:val="3C584B8A"/>
    <w:rsid w:val="3DB304F2"/>
    <w:rsid w:val="3E384CBC"/>
    <w:rsid w:val="3E86642D"/>
    <w:rsid w:val="3EC228A4"/>
    <w:rsid w:val="3F015DE4"/>
    <w:rsid w:val="3F5A282F"/>
    <w:rsid w:val="3FB96DE9"/>
    <w:rsid w:val="3FC17294"/>
    <w:rsid w:val="400E4ACB"/>
    <w:rsid w:val="402C319A"/>
    <w:rsid w:val="40C5437D"/>
    <w:rsid w:val="40D71F42"/>
    <w:rsid w:val="40E72D16"/>
    <w:rsid w:val="41117683"/>
    <w:rsid w:val="41A702B3"/>
    <w:rsid w:val="41F03643"/>
    <w:rsid w:val="435F5950"/>
    <w:rsid w:val="43996CCD"/>
    <w:rsid w:val="441D19BF"/>
    <w:rsid w:val="44AD579C"/>
    <w:rsid w:val="44BA36B9"/>
    <w:rsid w:val="44E61AA7"/>
    <w:rsid w:val="455A5D46"/>
    <w:rsid w:val="46824B39"/>
    <w:rsid w:val="468C557D"/>
    <w:rsid w:val="469876F4"/>
    <w:rsid w:val="46D82B43"/>
    <w:rsid w:val="470A316C"/>
    <w:rsid w:val="471F57BA"/>
    <w:rsid w:val="481E6CAD"/>
    <w:rsid w:val="48BA4EBC"/>
    <w:rsid w:val="49281DC3"/>
    <w:rsid w:val="49414D94"/>
    <w:rsid w:val="4973045E"/>
    <w:rsid w:val="499257F9"/>
    <w:rsid w:val="49E52694"/>
    <w:rsid w:val="4ACB3A0B"/>
    <w:rsid w:val="4B312DBE"/>
    <w:rsid w:val="4B697022"/>
    <w:rsid w:val="4C24038E"/>
    <w:rsid w:val="4C2540DA"/>
    <w:rsid w:val="4C7F756D"/>
    <w:rsid w:val="4CC51B2D"/>
    <w:rsid w:val="4CD35DED"/>
    <w:rsid w:val="4D1B5C23"/>
    <w:rsid w:val="4EAD59C3"/>
    <w:rsid w:val="4EB32A0E"/>
    <w:rsid w:val="4F8C2542"/>
    <w:rsid w:val="4FB225D2"/>
    <w:rsid w:val="4FF93405"/>
    <w:rsid w:val="501B32F3"/>
    <w:rsid w:val="50341A97"/>
    <w:rsid w:val="506625F7"/>
    <w:rsid w:val="508A627E"/>
    <w:rsid w:val="509F7DF6"/>
    <w:rsid w:val="50F32112"/>
    <w:rsid w:val="50FC28ED"/>
    <w:rsid w:val="512D6CB0"/>
    <w:rsid w:val="517E540A"/>
    <w:rsid w:val="519A53EE"/>
    <w:rsid w:val="51CE225D"/>
    <w:rsid w:val="51EC2948"/>
    <w:rsid w:val="522C3415"/>
    <w:rsid w:val="5299126C"/>
    <w:rsid w:val="52FA5D69"/>
    <w:rsid w:val="530D214B"/>
    <w:rsid w:val="53804E24"/>
    <w:rsid w:val="541C19EA"/>
    <w:rsid w:val="545531E9"/>
    <w:rsid w:val="54CE1176"/>
    <w:rsid w:val="558856D7"/>
    <w:rsid w:val="55A77E89"/>
    <w:rsid w:val="55F532C4"/>
    <w:rsid w:val="560A2043"/>
    <w:rsid w:val="56604C3D"/>
    <w:rsid w:val="567540C3"/>
    <w:rsid w:val="569978BD"/>
    <w:rsid w:val="57063200"/>
    <w:rsid w:val="570D6804"/>
    <w:rsid w:val="574276A2"/>
    <w:rsid w:val="57BB3F1F"/>
    <w:rsid w:val="57C21ABF"/>
    <w:rsid w:val="581B5034"/>
    <w:rsid w:val="58CE3461"/>
    <w:rsid w:val="58F970F5"/>
    <w:rsid w:val="590A2719"/>
    <w:rsid w:val="590B2198"/>
    <w:rsid w:val="593277EB"/>
    <w:rsid w:val="5960657D"/>
    <w:rsid w:val="5A215B7C"/>
    <w:rsid w:val="5AAF1CEA"/>
    <w:rsid w:val="5AE02C29"/>
    <w:rsid w:val="5AE23BA6"/>
    <w:rsid w:val="5B1C6768"/>
    <w:rsid w:val="5B3A093D"/>
    <w:rsid w:val="5B3D3675"/>
    <w:rsid w:val="5BC55A61"/>
    <w:rsid w:val="5C003AA1"/>
    <w:rsid w:val="5C8B324C"/>
    <w:rsid w:val="5CBA296F"/>
    <w:rsid w:val="5D190F57"/>
    <w:rsid w:val="5F096C86"/>
    <w:rsid w:val="5F692F1A"/>
    <w:rsid w:val="5FB8578D"/>
    <w:rsid w:val="607737D3"/>
    <w:rsid w:val="60C51E93"/>
    <w:rsid w:val="618A365B"/>
    <w:rsid w:val="61D57581"/>
    <w:rsid w:val="62623731"/>
    <w:rsid w:val="628E3265"/>
    <w:rsid w:val="634D2E5C"/>
    <w:rsid w:val="63964E61"/>
    <w:rsid w:val="63A51F96"/>
    <w:rsid w:val="63AA3E84"/>
    <w:rsid w:val="63DF56F0"/>
    <w:rsid w:val="644A4A97"/>
    <w:rsid w:val="64F24635"/>
    <w:rsid w:val="64F51FB7"/>
    <w:rsid w:val="654E5671"/>
    <w:rsid w:val="657011A9"/>
    <w:rsid w:val="657D7EDE"/>
    <w:rsid w:val="65882F94"/>
    <w:rsid w:val="65973DC0"/>
    <w:rsid w:val="65BF660F"/>
    <w:rsid w:val="66404416"/>
    <w:rsid w:val="670E2C61"/>
    <w:rsid w:val="671A29F5"/>
    <w:rsid w:val="677E5613"/>
    <w:rsid w:val="67F00B7B"/>
    <w:rsid w:val="67F324E6"/>
    <w:rsid w:val="67F52347"/>
    <w:rsid w:val="685510D5"/>
    <w:rsid w:val="689E7FE2"/>
    <w:rsid w:val="692A63D1"/>
    <w:rsid w:val="692F45B1"/>
    <w:rsid w:val="699661B1"/>
    <w:rsid w:val="69DB5E08"/>
    <w:rsid w:val="6A11213F"/>
    <w:rsid w:val="6A152CA1"/>
    <w:rsid w:val="6A3F4EE6"/>
    <w:rsid w:val="6A426D56"/>
    <w:rsid w:val="6A556154"/>
    <w:rsid w:val="6AA3033C"/>
    <w:rsid w:val="6AA913FF"/>
    <w:rsid w:val="6ABC21C1"/>
    <w:rsid w:val="6ADC0AED"/>
    <w:rsid w:val="6B05769F"/>
    <w:rsid w:val="6BCB3352"/>
    <w:rsid w:val="6BE72AB5"/>
    <w:rsid w:val="6C645960"/>
    <w:rsid w:val="6CB053DF"/>
    <w:rsid w:val="6CC458CA"/>
    <w:rsid w:val="6D070E60"/>
    <w:rsid w:val="6D437EC6"/>
    <w:rsid w:val="6D4578FD"/>
    <w:rsid w:val="6DC924CB"/>
    <w:rsid w:val="6DE74460"/>
    <w:rsid w:val="6E1223A0"/>
    <w:rsid w:val="6E261F3F"/>
    <w:rsid w:val="6E7C7E46"/>
    <w:rsid w:val="6E9831D9"/>
    <w:rsid w:val="6EF15B11"/>
    <w:rsid w:val="6EF977A4"/>
    <w:rsid w:val="6F0D6CDB"/>
    <w:rsid w:val="6F3A29C7"/>
    <w:rsid w:val="70054E3E"/>
    <w:rsid w:val="700E4B07"/>
    <w:rsid w:val="703E08FC"/>
    <w:rsid w:val="708D2743"/>
    <w:rsid w:val="708F4FAB"/>
    <w:rsid w:val="70B039FC"/>
    <w:rsid w:val="70CC1A58"/>
    <w:rsid w:val="70D16BD3"/>
    <w:rsid w:val="716E1573"/>
    <w:rsid w:val="71A928BA"/>
    <w:rsid w:val="720B0242"/>
    <w:rsid w:val="7234375A"/>
    <w:rsid w:val="72E43F9C"/>
    <w:rsid w:val="72FF7F5F"/>
    <w:rsid w:val="73330B8C"/>
    <w:rsid w:val="738F1A28"/>
    <w:rsid w:val="73B065DF"/>
    <w:rsid w:val="73B850F9"/>
    <w:rsid w:val="73E9288F"/>
    <w:rsid w:val="745030E5"/>
    <w:rsid w:val="74D93E1F"/>
    <w:rsid w:val="757F6C64"/>
    <w:rsid w:val="75A42B19"/>
    <w:rsid w:val="75A96964"/>
    <w:rsid w:val="76057D43"/>
    <w:rsid w:val="77A416A0"/>
    <w:rsid w:val="77B8425F"/>
    <w:rsid w:val="78053D81"/>
    <w:rsid w:val="78544592"/>
    <w:rsid w:val="79626336"/>
    <w:rsid w:val="7AA1164B"/>
    <w:rsid w:val="7AD1001B"/>
    <w:rsid w:val="7AE336A3"/>
    <w:rsid w:val="7B2220F8"/>
    <w:rsid w:val="7B8D33E2"/>
    <w:rsid w:val="7BB222EA"/>
    <w:rsid w:val="7CBA42BA"/>
    <w:rsid w:val="7CD72B22"/>
    <w:rsid w:val="7D165655"/>
    <w:rsid w:val="7D1744C8"/>
    <w:rsid w:val="7DF86B77"/>
    <w:rsid w:val="7E01556A"/>
    <w:rsid w:val="7E380418"/>
    <w:rsid w:val="7E590BE8"/>
    <w:rsid w:val="7E8E2A59"/>
    <w:rsid w:val="7EC76E00"/>
    <w:rsid w:val="7EDE1D6A"/>
    <w:rsid w:val="7F134F65"/>
    <w:rsid w:val="7F556626"/>
    <w:rsid w:val="7F8715AE"/>
    <w:rsid w:val="7F96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widowControl/>
      <w:spacing w:line="560" w:lineRule="exact"/>
    </w:pPr>
    <w:rPr>
      <w:szCs w:val="32"/>
    </w:rPr>
  </w:style>
  <w:style w:type="paragraph" w:styleId="3">
    <w:name w:val="Normal Indent"/>
    <w:basedOn w:val="1"/>
    <w:unhideWhenUsed/>
    <w:qFormat/>
    <w:uiPriority w:val="99"/>
    <w:pPr>
      <w:ind w:firstLine="420" w:firstLine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8">
    <w:name w:val="index 9"/>
    <w:basedOn w:val="1"/>
    <w:next w:val="1"/>
    <w:qFormat/>
    <w:uiPriority w:val="0"/>
    <w:pPr>
      <w:ind w:left="1600" w:leftChars="16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Index9"/>
    <w:basedOn w:val="1"/>
    <w:next w:val="1"/>
    <w:qFormat/>
    <w:uiPriority w:val="0"/>
    <w:pPr>
      <w:ind w:left="1600" w:leftChars="1600"/>
    </w:pPr>
    <w:rPr>
      <w:rFonts w:ascii="Calibri" w:hAnsi="Calibri" w:eastAsia="宋体"/>
    </w:rPr>
  </w:style>
  <w:style w:type="character" w:customStyle="1" w:styleId="14">
    <w:name w:val="font21"/>
    <w:basedOn w:val="11"/>
    <w:qFormat/>
    <w:uiPriority w:val="0"/>
    <w:rPr>
      <w:rFonts w:hint="eastAsia" w:ascii="仿宋_GB2312" w:eastAsia="仿宋_GB2312" w:cs="仿宋_GB2312"/>
      <w:b/>
      <w:color w:val="000000"/>
      <w:sz w:val="28"/>
      <w:szCs w:val="28"/>
      <w:u w:val="none"/>
    </w:rPr>
  </w:style>
  <w:style w:type="character" w:customStyle="1" w:styleId="15">
    <w:name w:val="font31"/>
    <w:basedOn w:val="11"/>
    <w:qFormat/>
    <w:uiPriority w:val="0"/>
    <w:rPr>
      <w:rFonts w:hint="eastAsia" w:ascii="仿宋_GB2312" w:eastAsia="仿宋_GB2312" w:cs="仿宋_GB2312"/>
      <w:color w:val="000000"/>
      <w:sz w:val="28"/>
      <w:szCs w:val="28"/>
      <w:u w:val="none"/>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51"/>
    <w:basedOn w:val="11"/>
    <w:qFormat/>
    <w:uiPriority w:val="0"/>
    <w:rPr>
      <w:rFonts w:hint="eastAsia" w:ascii="黑体" w:hAnsi="宋体" w:eastAsia="黑体" w:cs="黑体"/>
      <w:color w:val="000000"/>
      <w:sz w:val="22"/>
      <w:szCs w:val="22"/>
      <w:u w:val="none"/>
    </w:rPr>
  </w:style>
  <w:style w:type="character" w:customStyle="1" w:styleId="18">
    <w:name w:val="font11"/>
    <w:basedOn w:val="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6718</Words>
  <Characters>9129</Characters>
  <Lines>0</Lines>
  <Paragraphs>0</Paragraphs>
  <TotalTime>1</TotalTime>
  <ScaleCrop>false</ScaleCrop>
  <LinksUpToDate>false</LinksUpToDate>
  <CharactersWithSpaces>9300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2021-07-28T06:25:00Z</dcterms:created>
  <dc:creator>user</dc:creator>
  <cp:lastModifiedBy>晚个安吧</cp:lastModifiedBy>
  <cp:lastPrinted>2021-12-02T08:51:00Z</cp:lastPrinted>
  <dcterms:modified xsi:type="dcterms:W3CDTF">2023-07-18T00:50:27Z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570703698_cloud</vt:lpwstr>
  </property>
  <property fmtid="{D5CDD505-2E9C-101B-9397-08002B2CF9AE}" pid="4" name="ICV">
    <vt:lpwstr>906232068F934AFAB3FAC2589FE33935</vt:lpwstr>
  </property>
</Properties>
</file>