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_GBK" w:hAnsi="方正小标宋_GBK" w:eastAsia="方正小标宋_GBK" w:cs="方正小标宋_GBK"/>
          <w:color w:val="auto"/>
          <w:sz w:val="44"/>
          <w:szCs w:val="44"/>
          <w:highlight w:val="none"/>
          <w:u w:val="none"/>
          <w:lang w:val="en-US" w:eastAsia="zh-CN"/>
        </w:rPr>
        <w:t>密云区2</w:t>
      </w:r>
      <w:r>
        <w:rPr>
          <w:rFonts w:hint="eastAsia" w:ascii="方正小标宋_GBK" w:hAnsi="方正小标宋_GBK" w:eastAsia="方正小标宋_GBK" w:cs="方正小标宋_GBK"/>
          <w:color w:val="auto"/>
          <w:sz w:val="44"/>
          <w:szCs w:val="44"/>
          <w:highlight w:val="none"/>
          <w:u w:val="none"/>
          <w:lang w:eastAsia="zh-CN"/>
        </w:rPr>
        <w:t>月“接诉即办”考核期工作情况分析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一、诉求总量情况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2022年1月19日0时至2月19日0时，我区共受理“12345”市民服务热线群众诉求</w:t>
      </w:r>
      <w:r>
        <w:rPr>
          <w:rFonts w:hint="eastAsia" w:ascii="仿宋_GB2312" w:hAnsi="仿宋_GB2312" w:eastAsia="仿宋_GB2312" w:cs="仿宋_GB2312"/>
          <w:b/>
          <w:bCs w:val="0"/>
          <w:color w:val="auto"/>
          <w:sz w:val="32"/>
          <w:szCs w:val="32"/>
          <w:highlight w:val="none"/>
          <w:u w:val="none"/>
          <w:lang w:val="en-US" w:eastAsia="zh-CN"/>
        </w:rPr>
        <w:t>10623件</w:t>
      </w:r>
      <w:r>
        <w:rPr>
          <w:rFonts w:hint="eastAsia" w:ascii="仿宋_GB2312" w:hAnsi="仿宋_GB2312" w:eastAsia="仿宋_GB2312" w:cs="仿宋_GB2312"/>
          <w:b w:val="0"/>
          <w:bCs/>
          <w:color w:val="auto"/>
          <w:sz w:val="32"/>
          <w:szCs w:val="32"/>
          <w:highlight w:val="none"/>
          <w:u w:val="none"/>
          <w:lang w:val="en-US" w:eastAsia="zh-CN"/>
        </w:rPr>
        <w:t>，</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同比</w:t>
      </w:r>
      <w:r>
        <w:rPr>
          <w:rFonts w:hint="eastAsia" w:ascii="仿宋_GB2312" w:hAnsi="仿宋_GB2312" w:eastAsia="仿宋_GB2312" w:cs="仿宋_GB2312"/>
          <w:b w:val="0"/>
          <w:bCs/>
          <w:color w:val="auto"/>
          <w:sz w:val="32"/>
          <w:szCs w:val="32"/>
          <w:highlight w:val="none"/>
          <w:u w:val="none"/>
          <w:lang w:val="en-US" w:eastAsia="zh-CN"/>
        </w:rPr>
        <w:t>上升</w:t>
      </w:r>
      <w:r>
        <w:rPr>
          <w:rFonts w:hint="eastAsia" w:ascii="仿宋_GB2312" w:hAnsi="仿宋_GB2312" w:eastAsia="仿宋_GB2312" w:cs="仿宋_GB2312"/>
          <w:b/>
          <w:bCs w:val="0"/>
          <w:color w:val="000000" w:themeColor="text1"/>
          <w:sz w:val="32"/>
          <w:szCs w:val="32"/>
          <w:highlight w:val="none"/>
          <w:u w:val="none"/>
          <w:lang w:val="en-US" w:eastAsia="zh-CN"/>
          <w14:textFill>
            <w14:solidFill>
              <w14:schemeClr w14:val="tx1"/>
            </w14:solidFill>
          </w14:textFill>
        </w:rPr>
        <w:t>5.50%</w:t>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40" w:lineRule="auto"/>
        <w:ind w:firstLine="640" w:firstLineChars="200"/>
        <w:textAlignment w:val="auto"/>
        <w:outlineLvl w:val="9"/>
        <w:rPr>
          <w:rFonts w:hint="eastAsia"/>
          <w:lang w:val="en-US" w:eastAsia="zh-CN"/>
        </w:rPr>
      </w:pPr>
      <w:r>
        <w:rPr>
          <w:rFonts w:hint="eastAsia" w:ascii="黑体" w:hAnsi="黑体" w:eastAsia="黑体" w:cs="黑体"/>
          <w:b w:val="0"/>
          <w:bCs/>
          <w:color w:val="auto"/>
          <w:sz w:val="32"/>
          <w:szCs w:val="32"/>
          <w:highlight w:val="none"/>
          <w:u w:val="none"/>
          <w:lang w:val="en-US" w:eastAsia="zh-CN"/>
        </w:rPr>
        <w:t>二、诉求办理情况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val="0"/>
          <w:bCs/>
          <w:color w:val="auto"/>
          <w:spacing w:val="0"/>
          <w:sz w:val="32"/>
          <w:szCs w:val="32"/>
          <w:highlight w:val="none"/>
          <w:u w:val="none"/>
          <w:lang w:val="en-US" w:eastAsia="zh-CN"/>
        </w:rPr>
        <w:t>本月纳入市级考评工单</w:t>
      </w:r>
      <w:r>
        <w:rPr>
          <w:rFonts w:hint="eastAsia" w:ascii="仿宋_GB2312" w:hAnsi="仿宋_GB2312" w:eastAsia="仿宋_GB2312" w:cs="仿宋_GB2312"/>
          <w:b/>
          <w:bCs w:val="0"/>
          <w:color w:val="auto"/>
          <w:spacing w:val="0"/>
          <w:sz w:val="32"/>
          <w:szCs w:val="32"/>
          <w:highlight w:val="none"/>
          <w:u w:val="none"/>
          <w:lang w:val="en-US" w:eastAsia="zh-CN"/>
        </w:rPr>
        <w:t>5016件</w:t>
      </w:r>
      <w:r>
        <w:rPr>
          <w:rFonts w:hint="eastAsia" w:ascii="仿宋_GB2312" w:hAnsi="仿宋_GB2312" w:eastAsia="仿宋_GB2312" w:cs="仿宋_GB2312"/>
          <w:b w:val="0"/>
          <w:bCs/>
          <w:color w:val="auto"/>
          <w:spacing w:val="0"/>
          <w:sz w:val="32"/>
          <w:szCs w:val="32"/>
          <w:highlight w:val="none"/>
          <w:u w:val="none"/>
          <w:lang w:val="en-US" w:eastAsia="zh-CN"/>
        </w:rPr>
        <w:t>，其中，</w:t>
      </w:r>
      <w:r>
        <w:rPr>
          <w:rFonts w:hint="eastAsia" w:ascii="仿宋_GB2312" w:hAnsi="仿宋_GB2312" w:eastAsia="仿宋_GB2312" w:cs="仿宋_GB2312"/>
          <w:b/>
          <w:bCs w:val="0"/>
          <w:color w:val="auto"/>
          <w:spacing w:val="0"/>
          <w:sz w:val="32"/>
          <w:szCs w:val="32"/>
          <w:highlight w:val="none"/>
          <w:u w:val="none"/>
          <w:lang w:val="en-US" w:eastAsia="zh-CN"/>
        </w:rPr>
        <w:t>“只考核响应率”工单964件，“考核三率”工单4052件</w:t>
      </w:r>
      <w:r>
        <w:rPr>
          <w:rFonts w:hint="eastAsia" w:ascii="仿宋_GB2312" w:hAnsi="仿宋_GB2312" w:eastAsia="仿宋_GB2312" w:cs="仿宋_GB2312"/>
          <w:b w:val="0"/>
          <w:bCs/>
          <w:color w:val="auto"/>
          <w:spacing w:val="0"/>
          <w:sz w:val="32"/>
          <w:szCs w:val="32"/>
          <w:highlight w:val="none"/>
          <w:u w:val="none"/>
          <w:lang w:val="en-US" w:eastAsia="zh-CN"/>
        </w:rPr>
        <w:t>。“考核三率”工单中“双满工单”3777件，“双否工单”182件，“单否工单”93件。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bCs w:val="0"/>
          <w:color w:val="auto"/>
          <w:spacing w:val="0"/>
          <w:sz w:val="32"/>
          <w:szCs w:val="32"/>
          <w:highlight w:val="none"/>
          <w:u w:val="none"/>
          <w:lang w:val="en-US" w:eastAsia="zh-CN"/>
        </w:rPr>
        <w:t>市级考评成绩为：</w:t>
      </w:r>
      <w:r>
        <w:rPr>
          <w:rFonts w:hint="eastAsia" w:ascii="仿宋_GB2312" w:hAnsi="仿宋_GB2312" w:eastAsia="仿宋_GB2312" w:cs="仿宋_GB2312"/>
          <w:b w:val="0"/>
          <w:bCs/>
          <w:color w:val="auto"/>
          <w:spacing w:val="0"/>
          <w:sz w:val="32"/>
          <w:szCs w:val="32"/>
          <w:highlight w:val="none"/>
          <w:u w:val="none"/>
          <w:lang w:val="en-US" w:eastAsia="zh-CN"/>
        </w:rPr>
        <w:t>响应率97.56</w:t>
      </w:r>
      <w:r>
        <w:rPr>
          <w:rFonts w:hint="default"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同比</w:t>
      </w:r>
      <w:r>
        <w:rPr>
          <w:rFonts w:hint="eastAsia" w:ascii="仿宋_GB2312" w:hAnsi="仿宋_GB2312" w:eastAsia="仿宋_GB2312" w:cs="仿宋_GB2312"/>
          <w:b w:val="0"/>
          <w:bCs/>
          <w:color w:val="auto"/>
          <w:sz w:val="32"/>
          <w:szCs w:val="32"/>
          <w:highlight w:val="none"/>
          <w:u w:val="none"/>
          <w:lang w:val="en-US" w:eastAsia="zh-CN"/>
        </w:rPr>
        <w:t>上升4.83%；</w:t>
      </w:r>
      <w:r>
        <w:rPr>
          <w:rFonts w:hint="eastAsia" w:ascii="仿宋_GB2312" w:hAnsi="仿宋_GB2312" w:eastAsia="仿宋_GB2312" w:cs="仿宋_GB2312"/>
          <w:b w:val="0"/>
          <w:bCs/>
          <w:color w:val="auto"/>
          <w:spacing w:val="0"/>
          <w:sz w:val="32"/>
          <w:szCs w:val="32"/>
          <w:highlight w:val="none"/>
          <w:u w:val="none"/>
          <w:lang w:val="en-US" w:eastAsia="zh-CN"/>
        </w:rPr>
        <w:t>解决率93.16</w:t>
      </w:r>
      <w:r>
        <w:rPr>
          <w:rFonts w:hint="default"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同比</w:t>
      </w:r>
      <w:r>
        <w:rPr>
          <w:rFonts w:hint="eastAsia" w:ascii="仿宋_GB2312" w:hAnsi="仿宋_GB2312" w:eastAsia="仿宋_GB2312" w:cs="仿宋_GB2312"/>
          <w:b w:val="0"/>
          <w:bCs/>
          <w:color w:val="auto"/>
          <w:sz w:val="32"/>
          <w:szCs w:val="32"/>
          <w:highlight w:val="none"/>
          <w:u w:val="none"/>
          <w:lang w:val="en-US" w:eastAsia="zh-CN"/>
        </w:rPr>
        <w:t>上升9.49%；</w:t>
      </w:r>
      <w:r>
        <w:rPr>
          <w:rFonts w:hint="eastAsia" w:ascii="仿宋_GB2312" w:hAnsi="仿宋_GB2312" w:eastAsia="仿宋_GB2312" w:cs="仿宋_GB2312"/>
          <w:b w:val="0"/>
          <w:bCs/>
          <w:color w:val="auto"/>
          <w:spacing w:val="0"/>
          <w:sz w:val="32"/>
          <w:szCs w:val="32"/>
          <w:highlight w:val="none"/>
          <w:u w:val="none"/>
          <w:lang w:val="en-US" w:eastAsia="zh-CN"/>
        </w:rPr>
        <w:t>满意率</w:t>
      </w:r>
      <w:r>
        <w:rPr>
          <w:rFonts w:hint="default" w:ascii="仿宋_GB2312" w:hAnsi="仿宋_GB2312" w:eastAsia="仿宋_GB2312" w:cs="仿宋_GB2312"/>
          <w:b w:val="0"/>
          <w:bCs/>
          <w:color w:val="auto"/>
          <w:spacing w:val="0"/>
          <w:sz w:val="32"/>
          <w:szCs w:val="32"/>
          <w:highlight w:val="none"/>
          <w:u w:val="none"/>
          <w:lang w:val="en-US" w:eastAsia="zh-CN"/>
        </w:rPr>
        <w:t>94.</w:t>
      </w:r>
      <w:r>
        <w:rPr>
          <w:rFonts w:hint="eastAsia" w:ascii="仿宋_GB2312" w:hAnsi="仿宋_GB2312" w:eastAsia="仿宋_GB2312" w:cs="仿宋_GB2312"/>
          <w:b w:val="0"/>
          <w:bCs/>
          <w:color w:val="auto"/>
          <w:spacing w:val="0"/>
          <w:sz w:val="32"/>
          <w:szCs w:val="32"/>
          <w:highlight w:val="none"/>
          <w:u w:val="none"/>
          <w:lang w:val="en-US" w:eastAsia="zh-CN"/>
        </w:rPr>
        <w:t>80</w:t>
      </w:r>
      <w:r>
        <w:rPr>
          <w:rFonts w:hint="default"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同比</w:t>
      </w:r>
      <w:r>
        <w:rPr>
          <w:rFonts w:hint="eastAsia" w:ascii="仿宋_GB2312" w:hAnsi="仿宋_GB2312" w:eastAsia="仿宋_GB2312" w:cs="仿宋_GB2312"/>
          <w:b w:val="0"/>
          <w:bCs/>
          <w:color w:val="auto"/>
          <w:sz w:val="32"/>
          <w:szCs w:val="32"/>
          <w:highlight w:val="none"/>
          <w:u w:val="none"/>
          <w:lang w:val="en-US" w:eastAsia="zh-CN"/>
        </w:rPr>
        <w:t>上升6.34%；</w:t>
      </w:r>
      <w:r>
        <w:rPr>
          <w:rFonts w:hint="eastAsia" w:ascii="仿宋_GB2312" w:hAnsi="仿宋_GB2312" w:eastAsia="仿宋_GB2312" w:cs="仿宋_GB2312"/>
          <w:b w:val="0"/>
          <w:bCs/>
          <w:color w:val="auto"/>
          <w:spacing w:val="0"/>
          <w:sz w:val="32"/>
          <w:szCs w:val="32"/>
          <w:highlight w:val="none"/>
          <w:u w:val="none"/>
          <w:lang w:val="en-US" w:eastAsia="zh-CN"/>
        </w:rPr>
        <w:t>加分项0.21分，</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同比下降0.1分；</w:t>
      </w:r>
      <w:r>
        <w:rPr>
          <w:rFonts w:hint="eastAsia" w:ascii="仿宋_GB2312" w:hAnsi="仿宋_GB2312" w:eastAsia="仿宋_GB2312" w:cs="仿宋_GB2312"/>
          <w:b w:val="0"/>
          <w:bCs/>
          <w:color w:val="auto"/>
          <w:spacing w:val="0"/>
          <w:sz w:val="32"/>
          <w:szCs w:val="32"/>
          <w:highlight w:val="none"/>
          <w:u w:val="none"/>
          <w:lang w:val="en-US" w:eastAsia="zh-CN"/>
        </w:rPr>
        <w:t>综合成绩</w:t>
      </w:r>
      <w:r>
        <w:rPr>
          <w:rFonts w:hint="default" w:ascii="仿宋_GB2312" w:hAnsi="仿宋_GB2312" w:eastAsia="仿宋_GB2312" w:cs="仿宋_GB2312"/>
          <w:b w:val="0"/>
          <w:bCs/>
          <w:color w:val="auto"/>
          <w:spacing w:val="0"/>
          <w:sz w:val="32"/>
          <w:szCs w:val="32"/>
          <w:highlight w:val="none"/>
          <w:u w:val="none"/>
          <w:lang w:val="en-US" w:eastAsia="zh-CN"/>
        </w:rPr>
        <w:t>94.</w:t>
      </w:r>
      <w:r>
        <w:rPr>
          <w:rFonts w:hint="eastAsia" w:ascii="仿宋_GB2312" w:hAnsi="仿宋_GB2312" w:eastAsia="仿宋_GB2312" w:cs="仿宋_GB2312"/>
          <w:b w:val="0"/>
          <w:bCs/>
          <w:color w:val="auto"/>
          <w:spacing w:val="0"/>
          <w:sz w:val="32"/>
          <w:szCs w:val="32"/>
          <w:highlight w:val="none"/>
          <w:u w:val="none"/>
          <w:lang w:val="en-US" w:eastAsia="zh-CN"/>
        </w:rPr>
        <w:t>91分，同比上升7.2分；排名十六区第8位，同比上升4位。</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b w:val="0"/>
          <w:bCs/>
          <w:color w:val="auto"/>
          <w:spacing w:val="0"/>
          <w:sz w:val="32"/>
          <w:szCs w:val="32"/>
          <w:highlight w:val="none"/>
          <w:u w:val="none"/>
          <w:lang w:val="en-US" w:eastAsia="zh-CN"/>
        </w:rPr>
      </w:pPr>
      <w:r>
        <w:rPr>
          <w:rFonts w:hint="eastAsia" w:ascii="仿宋_GB2312" w:hAnsi="仿宋_GB2312" w:eastAsia="仿宋_GB2312" w:cs="仿宋_GB2312"/>
          <w:b/>
          <w:bCs w:val="0"/>
          <w:color w:val="auto"/>
          <w:spacing w:val="0"/>
          <w:sz w:val="32"/>
          <w:szCs w:val="32"/>
          <w:highlight w:val="none"/>
          <w:u w:val="none"/>
          <w:lang w:val="en-US" w:eastAsia="zh-CN"/>
        </w:rPr>
        <w:t>镇街成绩：</w:t>
      </w:r>
      <w:r>
        <w:rPr>
          <w:rFonts w:hint="eastAsia" w:ascii="仿宋_GB2312" w:hAnsi="仿宋_GB2312" w:eastAsia="仿宋_GB2312" w:cs="仿宋_GB2312"/>
          <w:b w:val="0"/>
          <w:bCs/>
          <w:color w:val="auto"/>
          <w:spacing w:val="0"/>
          <w:sz w:val="32"/>
          <w:szCs w:val="32"/>
          <w:highlight w:val="none"/>
          <w:u w:val="none"/>
          <w:lang w:val="en-US" w:eastAsia="zh-CN"/>
        </w:rPr>
        <w:t>全区镇街直派综合成绩96.98分，</w:t>
      </w:r>
      <w:r>
        <w:rPr>
          <w:rFonts w:hint="eastAsia" w:ascii="仿宋_GB2312" w:hAnsi="仿宋_GB2312" w:eastAsia="仿宋_GB2312" w:cs="仿宋_GB2312"/>
          <w:b/>
          <w:bCs w:val="0"/>
          <w:color w:val="auto"/>
          <w:spacing w:val="0"/>
          <w:kern w:val="2"/>
          <w:sz w:val="32"/>
          <w:szCs w:val="32"/>
          <w:highlight w:val="none"/>
          <w:u w:val="none"/>
          <w:lang w:val="en-US" w:eastAsia="zh-CN" w:bidi="ar-SA"/>
        </w:rPr>
        <w:t>低于</w:t>
      </w:r>
      <w:r>
        <w:rPr>
          <w:rFonts w:hint="eastAsia" w:ascii="仿宋_GB2312" w:hAnsi="仿宋_GB2312" w:eastAsia="仿宋_GB2312" w:cs="仿宋_GB2312"/>
          <w:b w:val="0"/>
          <w:bCs/>
          <w:color w:val="auto"/>
          <w:spacing w:val="0"/>
          <w:sz w:val="32"/>
          <w:szCs w:val="32"/>
          <w:highlight w:val="none"/>
          <w:u w:val="none"/>
          <w:lang w:val="en-US" w:eastAsia="zh-CN"/>
        </w:rPr>
        <w:t>全市街乡镇平均水平（97.17分）</w:t>
      </w:r>
      <w:r>
        <w:rPr>
          <w:rFonts w:hint="eastAsia" w:ascii="仿宋_GB2312" w:hAnsi="仿宋_GB2312" w:eastAsia="仿宋_GB2312" w:cs="仿宋_GB2312"/>
          <w:b/>
          <w:bCs w:val="0"/>
          <w:color w:val="auto"/>
          <w:spacing w:val="0"/>
          <w:sz w:val="32"/>
          <w:szCs w:val="32"/>
          <w:highlight w:val="none"/>
          <w:u w:val="none"/>
          <w:lang w:val="en-US" w:eastAsia="zh-CN"/>
        </w:rPr>
        <w:t>0.19分</w:t>
      </w:r>
      <w:r>
        <w:rPr>
          <w:rFonts w:hint="eastAsia" w:ascii="仿宋_GB2312" w:hAnsi="仿宋_GB2312" w:eastAsia="仿宋_GB2312" w:cs="仿宋_GB2312"/>
          <w:b w:val="0"/>
          <w:bCs/>
          <w:color w:val="auto"/>
          <w:spacing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仿宋_GB2312" w:hAnsi="仿宋_GB2312" w:eastAsia="仿宋_GB2312" w:cs="仿宋_GB2312"/>
          <w:b/>
          <w:bCs w:val="0"/>
          <w:color w:val="auto"/>
          <w:spacing w:val="0"/>
          <w:kern w:val="2"/>
          <w:sz w:val="32"/>
          <w:szCs w:val="32"/>
          <w:highlight w:val="none"/>
          <w:u w:val="none"/>
          <w:lang w:val="en-US" w:eastAsia="zh-CN" w:bidi="ar-SA"/>
        </w:rPr>
        <w:t>部门成绩：</w:t>
      </w:r>
      <w:r>
        <w:rPr>
          <w:rFonts w:hint="eastAsia" w:ascii="仿宋_GB2312" w:hAnsi="仿宋_GB2312" w:eastAsia="仿宋_GB2312" w:cs="仿宋_GB2312"/>
          <w:b w:val="0"/>
          <w:bCs/>
          <w:color w:val="auto"/>
          <w:spacing w:val="0"/>
          <w:kern w:val="2"/>
          <w:sz w:val="32"/>
          <w:szCs w:val="32"/>
          <w:highlight w:val="none"/>
          <w:u w:val="none"/>
          <w:lang w:val="en-US" w:eastAsia="zh-CN" w:bidi="ar-SA"/>
        </w:rPr>
        <w:t>全区部门综合成绩94.03分，</w:t>
      </w:r>
      <w:r>
        <w:rPr>
          <w:rFonts w:hint="eastAsia" w:ascii="仿宋_GB2312" w:hAnsi="仿宋_GB2312" w:eastAsia="仿宋_GB2312" w:cs="仿宋_GB2312"/>
          <w:b/>
          <w:bCs w:val="0"/>
          <w:color w:val="auto"/>
          <w:spacing w:val="0"/>
          <w:kern w:val="2"/>
          <w:sz w:val="32"/>
          <w:szCs w:val="32"/>
          <w:highlight w:val="none"/>
          <w:u w:val="none"/>
          <w:lang w:val="en-US" w:eastAsia="zh-CN" w:bidi="ar-SA"/>
        </w:rPr>
        <w:t>低于</w:t>
      </w:r>
      <w:r>
        <w:rPr>
          <w:rFonts w:hint="eastAsia" w:ascii="仿宋_GB2312" w:hAnsi="仿宋_GB2312" w:eastAsia="仿宋_GB2312" w:cs="仿宋_GB2312"/>
          <w:b w:val="0"/>
          <w:bCs/>
          <w:color w:val="auto"/>
          <w:spacing w:val="0"/>
          <w:kern w:val="2"/>
          <w:sz w:val="32"/>
          <w:szCs w:val="32"/>
          <w:highlight w:val="none"/>
          <w:u w:val="none"/>
          <w:lang w:val="en-US" w:eastAsia="zh-CN" w:bidi="ar-SA"/>
        </w:rPr>
        <w:t>全市各部门平均水平（95.78分）</w:t>
      </w:r>
      <w:r>
        <w:rPr>
          <w:rFonts w:hint="eastAsia" w:ascii="仿宋_GB2312" w:hAnsi="仿宋_GB2312" w:eastAsia="仿宋_GB2312" w:cs="仿宋_GB2312"/>
          <w:b/>
          <w:bCs w:val="0"/>
          <w:color w:val="auto"/>
          <w:spacing w:val="0"/>
          <w:kern w:val="2"/>
          <w:sz w:val="32"/>
          <w:szCs w:val="32"/>
          <w:highlight w:val="none"/>
          <w:u w:val="none"/>
          <w:lang w:val="en-US" w:eastAsia="zh-CN" w:bidi="ar-SA"/>
        </w:rPr>
        <w:t>1.75分</w:t>
      </w:r>
      <w:r>
        <w:rPr>
          <w:rFonts w:hint="eastAsia" w:ascii="仿宋_GB2312" w:hAnsi="仿宋_GB2312" w:eastAsia="仿宋_GB2312" w:cs="仿宋_GB2312"/>
          <w:b w:val="0"/>
          <w:bCs/>
          <w:color w:val="auto"/>
          <w:spacing w:val="0"/>
          <w:kern w:val="2"/>
          <w:sz w:val="32"/>
          <w:szCs w:val="32"/>
          <w:highlight w:val="none"/>
          <w:u w:val="none"/>
          <w:lang w:val="en-US" w:eastAsia="zh-CN" w:bidi="ar-SA"/>
        </w:rPr>
        <w:t>。</w:t>
      </w:r>
    </w:p>
    <w:p>
      <w:pPr>
        <w:pStyle w:val="8"/>
        <w:ind w:left="0" w:leftChars="0" w:firstLine="0" w:firstLineChars="0"/>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表1：市级考评各镇街群众诉求办理情况统计表（直派）</w:t>
      </w:r>
    </w:p>
    <w:tbl>
      <w:tblPr>
        <w:tblStyle w:val="9"/>
        <w:tblW w:w="8870" w:type="dxa"/>
        <w:tblInd w:w="0" w:type="dxa"/>
        <w:shd w:val="clear" w:color="auto" w:fill="auto"/>
        <w:tblLayout w:type="fixed"/>
        <w:tblCellMar>
          <w:top w:w="0" w:type="dxa"/>
          <w:left w:w="0" w:type="dxa"/>
          <w:bottom w:w="0" w:type="dxa"/>
          <w:right w:w="0" w:type="dxa"/>
        </w:tblCellMar>
      </w:tblPr>
      <w:tblGrid>
        <w:gridCol w:w="480"/>
        <w:gridCol w:w="1557"/>
        <w:gridCol w:w="959"/>
        <w:gridCol w:w="969"/>
        <w:gridCol w:w="969"/>
        <w:gridCol w:w="969"/>
        <w:gridCol w:w="2967"/>
      </w:tblGrid>
      <w:tr>
        <w:tblPrEx>
          <w:shd w:val="clear" w:color="auto" w:fill="auto"/>
          <w:tblCellMar>
            <w:top w:w="0" w:type="dxa"/>
            <w:left w:w="0" w:type="dxa"/>
            <w:bottom w:w="0" w:type="dxa"/>
            <w:right w:w="0"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成绩</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新城子镇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98.68%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97.63%</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98.53</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西田各庄镇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98.54%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98.73%</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98.23</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石城镇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98.61%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98.61%</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97.95</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考评</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成绩</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不老屯镇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93.81%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98.71%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99.10%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97.89</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冯家峪镇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96.99%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98.10%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97.61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果园街道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96.92%</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97.48</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鼓楼街道</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97.43%</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97.37</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95.73%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97.95%</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97.35</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太师屯镇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98.02%</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97.23</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99.64%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95.95%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96.76%</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97.01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大城子镇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91.69%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97.67%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96.74</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十里堡镇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98.97%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95.91%</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96.7</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河南寨镇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97.23%</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96.51</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檀营地区</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97.20%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96.48</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97.14%</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96.38</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古北口镇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97.09%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97.00%</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96.22</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高岭镇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93.62%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97.02%</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95.73</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溪翁庄镇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94.96%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94.68%</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95.52</w:t>
            </w:r>
          </w:p>
        </w:tc>
      </w:tr>
      <w:tr>
        <w:tblPrEx>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北庄镇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96.47%</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95.09</w:t>
            </w:r>
          </w:p>
        </w:tc>
      </w:tr>
      <w:tr>
        <w:tblPrEx>
          <w:shd w:val="clear" w:color="auto" w:fill="auto"/>
          <w:tblCellMar>
            <w:top w:w="0" w:type="dxa"/>
            <w:left w:w="0" w:type="dxa"/>
            <w:bottom w:w="0" w:type="dxa"/>
            <w:right w:w="0" w:type="dxa"/>
          </w:tblCellMar>
        </w:tblPrEx>
        <w:trPr>
          <w:trHeight w:val="3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穆家峪镇</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95.90%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89.53%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94.42%</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92.76</w:t>
            </w:r>
          </w:p>
        </w:tc>
      </w:tr>
      <w:tr>
        <w:tblPrEx>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全市共343个街乡镇参与排名，综合成绩为97.17分。</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表2：市级考评各镇街群众诉求办理情况统计表（转派）</w:t>
      </w:r>
    </w:p>
    <w:tbl>
      <w:tblPr>
        <w:tblStyle w:val="9"/>
        <w:tblW w:w="8870" w:type="dxa"/>
        <w:tblInd w:w="0" w:type="dxa"/>
        <w:shd w:val="clear" w:color="auto" w:fill="auto"/>
        <w:tblLayout w:type="fixed"/>
        <w:tblCellMar>
          <w:top w:w="0" w:type="dxa"/>
          <w:left w:w="0" w:type="dxa"/>
          <w:bottom w:w="0" w:type="dxa"/>
          <w:right w:w="0" w:type="dxa"/>
        </w:tblCellMar>
      </w:tblPr>
      <w:tblGrid>
        <w:gridCol w:w="717"/>
        <w:gridCol w:w="1669"/>
        <w:gridCol w:w="1180"/>
        <w:gridCol w:w="1315"/>
        <w:gridCol w:w="1315"/>
        <w:gridCol w:w="1315"/>
        <w:gridCol w:w="1359"/>
      </w:tblGrid>
      <w:tr>
        <w:tblPrEx>
          <w:shd w:val="clear" w:color="auto" w:fill="auto"/>
          <w:tblCellMar>
            <w:top w:w="0" w:type="dxa"/>
            <w:left w:w="0" w:type="dxa"/>
            <w:bottom w:w="0" w:type="dxa"/>
            <w:right w:w="0"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纳入考评</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新城子镇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大城子镇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冯家峪镇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76.47%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95.29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檀营地区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88.89%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97.78%</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94.67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太师屯镇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85.45%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95.00%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93.09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河南寨镇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96.80%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88.89%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94.44%</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92.69 </w:t>
            </w:r>
          </w:p>
        </w:tc>
      </w:tr>
      <w:tr>
        <w:tblPrEx>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西田各庄镇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97.50%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85.19%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96.30%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92.09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98.05%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84.85%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93.94%</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91.12 </w:t>
            </w:r>
          </w:p>
        </w:tc>
      </w:tr>
      <w:tr>
        <w:tblPrEx>
          <w:shd w:val="clear" w:color="auto" w:fill="auto"/>
          <w:tblCellMar>
            <w:top w:w="0" w:type="dxa"/>
            <w:left w:w="0" w:type="dxa"/>
            <w:bottom w:w="0" w:type="dxa"/>
            <w:right w:w="0"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纳入考评</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鼓楼街道</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98.92%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86.44%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88.47%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89.75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86.67%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84.00%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88.27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果园街道</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79.49%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88.21%</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87.08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石城镇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70.91%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85.71%</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85.71%</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82.75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穆家峪镇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94.07%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75.00%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81.67%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81.48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高岭镇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62.50%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87.50%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80.00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古北口镇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72.73%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70.91%</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77.45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不老屯镇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86.67%</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71.43%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71.43%</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74.48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北庄镇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83.33%</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70.13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67.00%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72.73%</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66.49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十里堡镇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66.40 </w:t>
            </w:r>
          </w:p>
        </w:tc>
      </w:tr>
      <w:tr>
        <w:tblPrEx>
          <w:shd w:val="clear" w:color="auto" w:fill="auto"/>
          <w:tblCellMar>
            <w:top w:w="0" w:type="dxa"/>
            <w:left w:w="0" w:type="dxa"/>
            <w:bottom w:w="0" w:type="dxa"/>
            <w:right w:w="0" w:type="dxa"/>
          </w:tblCellMar>
        </w:tblPrEx>
        <w:trPr>
          <w:trHeight w:val="39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溪翁庄镇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93.85%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55.56%</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55.56%</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63.21 </w:t>
            </w:r>
          </w:p>
        </w:tc>
      </w:tr>
      <w:tr>
        <w:tblPrEx>
          <w:shd w:val="clear" w:color="auto" w:fill="auto"/>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镇街转派工单综合成绩为85.92分。</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表3：市级考评各镇街群众诉求办理情况统计表（直派+转派）</w:t>
      </w:r>
    </w:p>
    <w:tbl>
      <w:tblPr>
        <w:tblStyle w:val="9"/>
        <w:tblW w:w="8870" w:type="dxa"/>
        <w:tblInd w:w="0" w:type="dxa"/>
        <w:shd w:val="clear" w:color="auto" w:fill="auto"/>
        <w:tblLayout w:type="fixed"/>
        <w:tblCellMar>
          <w:top w:w="0" w:type="dxa"/>
          <w:left w:w="0" w:type="dxa"/>
          <w:bottom w:w="0" w:type="dxa"/>
          <w:right w:w="0" w:type="dxa"/>
        </w:tblCellMar>
      </w:tblPr>
      <w:tblGrid>
        <w:gridCol w:w="719"/>
        <w:gridCol w:w="1652"/>
        <w:gridCol w:w="1297"/>
        <w:gridCol w:w="1297"/>
        <w:gridCol w:w="1297"/>
        <w:gridCol w:w="1297"/>
        <w:gridCol w:w="1311"/>
      </w:tblGrid>
      <w:tr>
        <w:tblPrEx>
          <w:shd w:val="clear" w:color="auto" w:fill="auto"/>
          <w:tblCellMar>
            <w:top w:w="0" w:type="dxa"/>
            <w:left w:w="0" w:type="dxa"/>
            <w:bottom w:w="0" w:type="dxa"/>
            <w:right w:w="0"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  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纳入考评</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新城子镇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98.81%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97.86%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98.67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西田各庄镇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96.70%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96.98%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97.51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冯家峪镇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94.67%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97.62%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98.25%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97.28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大城子镇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92.29%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98.46%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97.85%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96.98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太师屯镇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94.33%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97.11%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97.77%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96.82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不老屯镇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93.17%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97.53%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97.90%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96.81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石城镇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92.50%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97.47%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97.47%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96.47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巨各庄镇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99.69%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95.21%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95.74%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96.32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檀营地区</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93.22%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97.29%</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96.20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河南寨镇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95.51%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95.65%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96.96%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96.15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鼓楼街道</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99.21%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95.97%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96.13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密云镇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99.06%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93.33%</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97.07%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95.97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果园街道</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99.49%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92.31%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94.64 </w:t>
            </w:r>
          </w:p>
        </w:tc>
      </w:tr>
      <w:tr>
        <w:tblPrEx>
          <w:shd w:val="clear" w:color="auto" w:fill="auto"/>
          <w:tblCellMar>
            <w:top w:w="0" w:type="dxa"/>
            <w:left w:w="0" w:type="dxa"/>
            <w:bottom w:w="0" w:type="dxa"/>
            <w:right w:w="0" w:type="dxa"/>
          </w:tblCellMar>
        </w:tblPrEx>
        <w:trPr>
          <w:trHeight w:val="454"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排名</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镇  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纳入考评</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响应率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解决率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满意率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综合成绩</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十里堡镇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93.88%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93.47%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94.57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高岭镇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97.87%</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89.09%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95.64%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93.46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古北口镇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97.68%</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90.20%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91.37%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92.16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溪翁庄镇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97.39%</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90.45%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90.19%</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91.73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穆家峪镇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95.56%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87.76%</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92.86%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91.36 </w:t>
            </w:r>
          </w:p>
        </w:tc>
      </w:tr>
      <w:tr>
        <w:tblPrEx>
          <w:shd w:val="clear" w:color="auto" w:fill="auto"/>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北庄镇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92.31%</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87.50%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94.50%</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91.26 </w:t>
            </w:r>
          </w:p>
        </w:tc>
      </w:tr>
      <w:tr>
        <w:tblPrEx>
          <w:tblCellMar>
            <w:top w:w="0" w:type="dxa"/>
            <w:left w:w="0" w:type="dxa"/>
            <w:bottom w:w="0" w:type="dxa"/>
            <w:right w:w="0" w:type="dxa"/>
          </w:tblCellMar>
        </w:tblPrEx>
        <w:trPr>
          <w:trHeight w:val="3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东邵渠镇</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86.75%</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91.30%</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88.26%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89.18 </w:t>
            </w:r>
          </w:p>
        </w:tc>
      </w:tr>
      <w:tr>
        <w:tblPrEx>
          <w:shd w:val="clear" w:color="auto" w:fill="auto"/>
          <w:tblCellMar>
            <w:top w:w="0" w:type="dxa"/>
            <w:left w:w="0" w:type="dxa"/>
            <w:bottom w:w="0" w:type="dxa"/>
            <w:right w:w="0" w:type="dxa"/>
          </w:tblCellMar>
        </w:tblPrEx>
        <w:trPr>
          <w:trHeight w:val="425" w:hRule="atLeast"/>
        </w:trPr>
        <w:tc>
          <w:tcPr>
            <w:tcW w:w="88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eastAsia" w:ascii="黑体" w:hAnsi="宋体" w:eastAsia="黑体" w:cs="黑体"/>
                <w:i w:val="0"/>
                <w:color w:val="000000"/>
                <w:kern w:val="0"/>
                <w:sz w:val="24"/>
                <w:szCs w:val="24"/>
                <w:u w:val="none"/>
                <w:lang w:val="en-US" w:eastAsia="zh-CN" w:bidi="ar"/>
              </w:rPr>
              <w:t>镇街直派工单+转派工单综合成绩为95.58分。</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表4：市级考评各部门群众诉求办理情况统计表</w:t>
      </w:r>
    </w:p>
    <w:tbl>
      <w:tblPr>
        <w:tblStyle w:val="9"/>
        <w:tblW w:w="8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16"/>
        <w:gridCol w:w="400"/>
        <w:gridCol w:w="2560"/>
        <w:gridCol w:w="1086"/>
        <w:gridCol w:w="1086"/>
        <w:gridCol w:w="1086"/>
        <w:gridCol w:w="1086"/>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0"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4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分类</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  门</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纳入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考评</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响应率</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解决率</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满意率</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一类部门</w:t>
            </w:r>
          </w:p>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教  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园林中心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99.82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城市管理委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98.29%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98.25%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城建投开发公司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97.30%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96.76%</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心连心城服公司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94.53%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96.41%</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规自分局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92.86%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98.57%</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卫生健康委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99.64%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95.88%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94.64%</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商务局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94.23%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95.38%</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中关村密云园</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91.30%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98.26%</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体育局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94.92%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市场监督管理局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99.48%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94.16%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文化和旅游局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98.96%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91.53%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95.59%</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水务局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89.09%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90.91%</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14</w:t>
            </w:r>
          </w:p>
        </w:tc>
        <w:tc>
          <w:tcPr>
            <w:tcW w:w="400"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一类部门</w:t>
            </w: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人力资源和社会保障局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99.49%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81.36%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95.93%</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90.81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15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交通局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90.63%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85.31%</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90.38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住建委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96.94%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81.08%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90.99%</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88.22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二类部门</w:t>
            </w:r>
          </w:p>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发改委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国资委</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民政局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农业服务中心</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生态环境局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消防支队</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医疗保障局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供销社</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eastAsia" w:ascii="Times New Roman" w:hAnsi="Times New Roman" w:cs="Times New Roman"/>
                <w:i w:val="0"/>
                <w:iCs w:val="0"/>
                <w:color w:val="000000"/>
                <w:kern w:val="0"/>
                <w:sz w:val="24"/>
                <w:szCs w:val="24"/>
                <w:u w:val="none"/>
                <w:lang w:val="en-US" w:eastAsia="zh-CN" w:bidi="ar"/>
              </w:rPr>
              <w:t>10</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园林绿化局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98.05%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1</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公路分局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98.52%</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2</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静态交通</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98.18%</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3</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渔阳集团</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93.85%</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98.77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退役军人事务局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96.30%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98.52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农业农村局</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92.73%</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98.82%</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98.07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4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16</w:t>
            </w:r>
          </w:p>
        </w:tc>
        <w:tc>
          <w:tcPr>
            <w:tcW w:w="400"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檀州资源公司</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92.31%</w:t>
            </w:r>
          </w:p>
        </w:tc>
        <w:tc>
          <w:tcPr>
            <w:tcW w:w="10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99.23%</w:t>
            </w:r>
          </w:p>
        </w:tc>
        <w:tc>
          <w:tcPr>
            <w:tcW w:w="11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96.62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5" w:hRule="atLeast"/>
        </w:trPr>
        <w:tc>
          <w:tcPr>
            <w:tcW w:w="8870" w:type="dxa"/>
            <w:gridSpan w:val="8"/>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全区各部门平均综合成绩为94.03分。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三、当月典型案例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区体育局解决运动盒子体育馆预付式消费卡退费问题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1.事件概述</w:t>
      </w:r>
    </w:p>
    <w:p>
      <w:pPr>
        <w:keepNext w:val="0"/>
        <w:keepLines w:val="0"/>
        <w:pageBreakBefore w:val="0"/>
        <w:kinsoku/>
        <w:wordWrap/>
        <w:overflowPunct/>
        <w:topLinePunct w:val="0"/>
        <w:autoSpaceDE/>
        <w:autoSpaceDN/>
        <w:bidi w:val="0"/>
        <w:adjustRightInd/>
        <w:snapToGrid/>
        <w:spacing w:line="560" w:lineRule="exact"/>
        <w:ind w:left="7" w:right="81" w:firstLine="646" w:firstLineChars="202"/>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2019年，运动盒子体育运动中心建成营业，主体结构为8000平米气膜馆，馆内设篮球场、羽毛球场、儿童蹦床、淘气堡等多种体育娱乐设施，是一家知名度较高的综合性体育娱乐场所。</w:t>
      </w:r>
    </w:p>
    <w:p>
      <w:pPr>
        <w:keepNext w:val="0"/>
        <w:keepLines w:val="0"/>
        <w:pageBreakBefore w:val="0"/>
        <w:widowControl w:val="0"/>
        <w:kinsoku/>
        <w:wordWrap/>
        <w:overflowPunct/>
        <w:topLinePunct w:val="0"/>
        <w:autoSpaceDE/>
        <w:autoSpaceDN/>
        <w:bidi w:val="0"/>
        <w:adjustRightInd/>
        <w:snapToGrid/>
        <w:spacing w:line="560" w:lineRule="exact"/>
        <w:ind w:left="7" w:right="81" w:firstLine="646" w:firstLineChars="202"/>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2021年10月，因该公司内部股东产生纠纷，所以导致无法正常营业，严重影响了消费者权益，造成大量会员反复拨打“12345”市民服务热线要求进行会员卡退费。截至目前，密云区体育局共接到关于诉求解决退费派单47件，本周期内16件。 </w:t>
      </w:r>
    </w:p>
    <w:p>
      <w:pPr>
        <w:keepNext w:val="0"/>
        <w:keepLines w:val="0"/>
        <w:pageBreakBefore w:val="0"/>
        <w:widowControl w:val="0"/>
        <w:kinsoku/>
        <w:wordWrap/>
        <w:overflowPunct/>
        <w:topLinePunct w:val="0"/>
        <w:autoSpaceDE/>
        <w:autoSpaceDN/>
        <w:bidi w:val="0"/>
        <w:adjustRightInd/>
        <w:snapToGrid/>
        <w:spacing w:line="560" w:lineRule="exact"/>
        <w:ind w:left="7" w:right="81" w:firstLine="649" w:firstLineChars="202"/>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2.解决情况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面对大量群众诉求，区体育局坚持以人民为中心的办事宗旨，快速响应、主动发力、全力破解难题。一是主要领导亲自督办，多次约谈运动盒子相关责任人，详细了解该公司及退费金额情况，后该企业负责人也表示积极配合解决问题。二是会同区市场监管局、区应急局、区公安分局、区城指中心、果园街道及居委会多次召开会商会，研究解决方案。最终，经多方努力，运动盒子所在公司承诺在核实好会员相关信息和剩余金额后给予全额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目前，退费工作已陆续开始，按照疫情防控常态化要求，进行分批分次预约办理。第一批已退费会员500人，于1月20日开始办理，每天限办100人。会员持会员卡、办卡金额截屏、身份证复印件、银行卡号等有效信息到信访办综合服务大厅办理退费事宜。第二批退费将在春节后3月20日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pacing w:val="8"/>
          <w:sz w:val="32"/>
          <w:szCs w:val="32"/>
          <w:lang w:eastAsia="zh-CN"/>
        </w:rPr>
      </w:pPr>
      <w:r>
        <w:rPr>
          <w:rFonts w:hint="eastAsia" w:ascii="仿宋_GB2312" w:hAnsi="仿宋_GB2312" w:eastAsia="仿宋_GB2312" w:cs="仿宋_GB2312"/>
          <w:color w:val="auto"/>
          <w:kern w:val="2"/>
          <w:sz w:val="32"/>
          <w:szCs w:val="32"/>
          <w:lang w:val="en-US" w:eastAsia="zh-CN" w:bidi="ar-SA"/>
        </w:rPr>
        <w:drawing>
          <wp:anchor distT="0" distB="0" distL="114300" distR="114300" simplePos="0" relativeHeight="251660288" behindDoc="0" locked="0" layoutInCell="1" allowOverlap="1">
            <wp:simplePos x="0" y="0"/>
            <wp:positionH relativeFrom="column">
              <wp:posOffset>3106420</wp:posOffset>
            </wp:positionH>
            <wp:positionV relativeFrom="paragraph">
              <wp:posOffset>45720</wp:posOffset>
            </wp:positionV>
            <wp:extent cx="2185670" cy="1692275"/>
            <wp:effectExtent l="0" t="0" r="8890" b="14605"/>
            <wp:wrapSquare wrapText="bothSides"/>
            <wp:docPr id="6" name="图片 6" descr="fa09005be6d90a7b59554cc01661a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a09005be6d90a7b59554cc01661abd"/>
                    <pic:cNvPicPr>
                      <a:picLocks noChangeAspect="1"/>
                    </pic:cNvPicPr>
                  </pic:nvPicPr>
                  <pic:blipFill>
                    <a:blip r:embed="rId5"/>
                    <a:stretch>
                      <a:fillRect/>
                    </a:stretch>
                  </pic:blipFill>
                  <pic:spPr>
                    <a:xfrm>
                      <a:off x="0" y="0"/>
                      <a:ext cx="2185670" cy="1692275"/>
                    </a:xfrm>
                    <a:prstGeom prst="rect">
                      <a:avLst/>
                    </a:prstGeom>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298450</wp:posOffset>
            </wp:positionH>
            <wp:positionV relativeFrom="paragraph">
              <wp:posOffset>36195</wp:posOffset>
            </wp:positionV>
            <wp:extent cx="2231390" cy="1715770"/>
            <wp:effectExtent l="0" t="0" r="8890" b="6350"/>
            <wp:wrapNone/>
            <wp:docPr id="2" name="图片 2" descr="954fd1ee084ef1d07409b477921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4fd1ee084ef1d07409b4779214083"/>
                    <pic:cNvPicPr>
                      <a:picLocks noChangeAspect="1"/>
                    </pic:cNvPicPr>
                  </pic:nvPicPr>
                  <pic:blipFill>
                    <a:blip r:embed="rId6"/>
                    <a:stretch>
                      <a:fillRect/>
                    </a:stretch>
                  </pic:blipFill>
                  <pic:spPr>
                    <a:xfrm>
                      <a:off x="0" y="0"/>
                      <a:ext cx="2231390" cy="17157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1344" w:firstLineChars="400"/>
        <w:textAlignment w:val="auto"/>
        <w:rPr>
          <w:rFonts w:hint="eastAsia" w:ascii="方正楷体_GBK" w:hAnsi="方正楷体_GBK" w:eastAsia="方正楷体_GBK" w:cs="方正楷体_GBK"/>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344" w:firstLineChars="400"/>
        <w:textAlignment w:val="auto"/>
        <w:rPr>
          <w:rFonts w:hint="eastAsia" w:ascii="方正楷体_GBK" w:hAnsi="方正楷体_GBK" w:eastAsia="方正楷体_GBK" w:cs="方正楷体_GBK"/>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344" w:firstLineChars="400"/>
        <w:textAlignment w:val="auto"/>
        <w:rPr>
          <w:rFonts w:hint="eastAsia" w:ascii="方正楷体_GBK" w:hAnsi="方正楷体_GBK" w:eastAsia="方正楷体_GBK" w:cs="方正楷体_GBK"/>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344" w:firstLineChars="400"/>
        <w:jc w:val="both"/>
        <w:textAlignment w:val="auto"/>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pacing w:val="8"/>
          <w:sz w:val="32"/>
          <w:szCs w:val="32"/>
          <w:lang w:eastAsia="zh-CN"/>
        </w:rPr>
        <w:t>图：</w:t>
      </w:r>
      <w:r>
        <w:rPr>
          <w:rFonts w:hint="eastAsia" w:ascii="方正楷体_GBK" w:hAnsi="方正楷体_GBK" w:eastAsia="方正楷体_GBK" w:cs="方正楷体_GBK"/>
          <w:spacing w:val="8"/>
          <w:sz w:val="32"/>
          <w:szCs w:val="32"/>
        </w:rPr>
        <w:t>现场约谈企业、会员代表</w:t>
      </w:r>
      <w:r>
        <w:rPr>
          <w:rFonts w:hint="eastAsia" w:ascii="方正楷体_GBK" w:hAnsi="方正楷体_GBK" w:eastAsia="方正楷体_GBK" w:cs="方正楷体_GBK"/>
          <w:spacing w:val="8"/>
          <w:sz w:val="32"/>
          <w:szCs w:val="32"/>
          <w:lang w:eastAsia="zh-CN"/>
        </w:rPr>
        <w:t>和</w:t>
      </w:r>
      <w:r>
        <w:rPr>
          <w:rFonts w:hint="eastAsia" w:ascii="方正楷体_GBK" w:hAnsi="方正楷体_GBK" w:eastAsia="方正楷体_GBK" w:cs="方正楷体_GBK"/>
          <w:spacing w:val="3"/>
          <w:sz w:val="32"/>
          <w:szCs w:val="32"/>
        </w:rPr>
        <w:t>退费现场</w:t>
      </w:r>
      <w:r>
        <w:rPr>
          <w:rFonts w:hint="eastAsia" w:ascii="方正楷体_GBK" w:hAnsi="方正楷体_GBK" w:eastAsia="方正楷体_GBK" w:cs="方正楷体_GBK"/>
          <w:spacing w:val="3"/>
          <w:sz w:val="32"/>
          <w:szCs w:val="32"/>
          <w:lang w:eastAsia="zh-CN"/>
        </w:rPr>
        <w:t>照片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b w:val="0"/>
          <w:bCs/>
          <w:color w:val="auto"/>
          <w:sz w:val="32"/>
          <w:szCs w:val="32"/>
          <w:highlight w:val="none"/>
          <w:u w:val="none"/>
          <w:lang w:val="en-US" w:eastAsia="zh-CN"/>
        </w:rPr>
        <w:t>密云区2022年“每月一题”工作进度统计表</w:t>
      </w:r>
    </w:p>
    <w:p>
      <w:pPr>
        <w:rPr>
          <w:rFonts w:hint="eastAsia"/>
          <w:lang w:val="en-US" w:eastAsia="zh-CN"/>
        </w:rPr>
      </w:pPr>
    </w:p>
    <w:p>
      <w:pPr>
        <w:pStyle w:val="4"/>
        <w:rPr>
          <w:rFonts w:hint="eastAsia"/>
          <w:lang w:val="en-US" w:eastAsia="zh-CN"/>
        </w:rPr>
      </w:pPr>
    </w:p>
    <w:p>
      <w:pPr>
        <w:rPr>
          <w:rFonts w:hint="eastAsia"/>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pPr>
        <w:pStyle w:val="12"/>
        <w:ind w:left="0" w:leftChars="0" w:firstLine="0" w:firstLineChars="0"/>
        <w:rPr>
          <w:rFonts w:hint="eastAsia" w:ascii="仿宋_GB2312" w:hAnsi="仿宋_GB2312" w:eastAsia="仿宋_GB2312" w:cs="仿宋_GB2312"/>
          <w:b w:val="0"/>
          <w:bCs/>
          <w:color w:val="auto"/>
          <w:sz w:val="32"/>
          <w:szCs w:val="32"/>
          <w:highlight w:val="none"/>
          <w:u w:val="none"/>
          <w:lang w:val="en-US" w:eastAsia="zh-CN"/>
        </w:rPr>
      </w:pPr>
      <w:r>
        <w:rPr>
          <w:rFonts w:hint="eastAsia" w:ascii="黑体" w:hAnsi="黑体" w:eastAsia="黑体" w:cs="黑体"/>
          <w:b w:val="0"/>
          <w:bCs/>
          <w:color w:val="auto"/>
          <w:sz w:val="28"/>
          <w:szCs w:val="28"/>
          <w:highlight w:val="none"/>
          <w:u w:val="none"/>
          <w:lang w:val="en-US" w:eastAsia="zh-CN"/>
        </w:rPr>
        <w:t xml:space="preserve">附件：                </w:t>
      </w:r>
      <w:r>
        <w:rPr>
          <w:rFonts w:hint="eastAsia" w:ascii="方正小标宋_GBK" w:hAnsi="方正小标宋_GBK" w:eastAsia="方正小标宋_GBK" w:cs="方正小标宋_GBK"/>
          <w:b w:val="0"/>
          <w:bCs/>
          <w:color w:val="auto"/>
          <w:sz w:val="32"/>
          <w:szCs w:val="32"/>
          <w:highlight w:val="none"/>
          <w:u w:val="none"/>
          <w:lang w:val="en-US" w:eastAsia="zh-CN"/>
        </w:rPr>
        <w:t>密云区2022年“每月一题”工作进度统计表（2月20日至3月4日）</w:t>
      </w:r>
    </w:p>
    <w:tbl>
      <w:tblPr>
        <w:tblStyle w:val="10"/>
        <w:tblW w:w="15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50"/>
        <w:gridCol w:w="2800"/>
        <w:gridCol w:w="5635"/>
        <w:gridCol w:w="2782"/>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序</w:t>
            </w:r>
          </w:p>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号</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上会</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月份</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整治问题</w:t>
            </w:r>
          </w:p>
        </w:tc>
        <w:tc>
          <w:tcPr>
            <w:tcW w:w="563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当前工作进度</w:t>
            </w:r>
          </w:p>
        </w:tc>
        <w:tc>
          <w:tcPr>
            <w:tcW w:w="2782"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诉求情况</w:t>
            </w:r>
          </w:p>
        </w:tc>
        <w:tc>
          <w:tcPr>
            <w:tcW w:w="2424"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一月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老旧小区加装</w:t>
            </w:r>
          </w:p>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电梯问题</w:t>
            </w:r>
          </w:p>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鼓楼街道矿山公司家属院C楼3、4、6单元，已完成地下市政管线改移、电梯基坑制作等工作，</w:t>
            </w:r>
            <w:r>
              <w:rPr>
                <w:rFonts w:hint="eastAsia" w:ascii="仿宋_GB2312" w:hAnsi="仿宋_GB2312" w:eastAsia="仿宋_GB2312" w:cs="仿宋_GB2312"/>
                <w:b w:val="0"/>
                <w:bCs w:val="0"/>
                <w:sz w:val="28"/>
                <w:szCs w:val="28"/>
                <w:highlight w:val="none"/>
                <w:vertAlign w:val="baseline"/>
                <w:lang w:val="en-US" w:eastAsia="zh-CN"/>
              </w:rPr>
              <w:t>目前正在准备进行下一步施工。</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2</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涉及点位：鼓楼街道花园小区</w:t>
            </w:r>
            <w:r>
              <w:rPr>
                <w:rFonts w:hint="eastAsia" w:cs="仿宋_GB2312"/>
                <w:sz w:val="28"/>
                <w:szCs w:val="28"/>
                <w:highlight w:val="none"/>
                <w:vertAlign w:val="baseline"/>
                <w:lang w:val="en-US" w:eastAsia="zh-CN"/>
              </w:rPr>
              <w:t>、果园街道康居小区</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default" w:ascii="方正小标宋简体" w:hAnsi="方正小标宋简体" w:eastAsia="方正小标宋简体" w:cs="方正小标宋简体"/>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雨季房屋漏雨问题</w:t>
            </w:r>
          </w:p>
          <w:p>
            <w:pPr>
              <w:pStyle w:val="4"/>
              <w:keepNext w:val="0"/>
              <w:keepLines w:val="0"/>
              <w:pageBreakBefore w:val="0"/>
              <w:widowControl w:val="0"/>
              <w:kinsoku/>
              <w:wordWrap/>
              <w:overflowPunct/>
              <w:topLinePunct w:val="0"/>
              <w:autoSpaceDE/>
              <w:autoSpaceDN/>
              <w:bidi w:val="0"/>
              <w:adjustRightInd/>
              <w:snapToGrid/>
              <w:spacing w:before="55" w:line="4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1.已发《关于开展2022年严重漏雨房屋统计及修缮工作的通知》，请相关镇街（地区）部署开展辖区内住宅楼房屋漏雨情况调查统计，目前正在开展调查统计工作。</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针对保修期内的工程接到工单后第一时间与市民及建设单位取得联系，3天之内明确处理进展情况，因冬季无法进行防水施工作业，要求建设单位根据京建发【2021】360号文要求在次年雨季前完成维修工作，并向市民出具维修记录以作为延保依据。</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32</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涉及点位：果园街道绿地国际花都小区</w:t>
            </w:r>
            <w:r>
              <w:rPr>
                <w:rFonts w:hint="eastAsia" w:cs="仿宋_GB2312"/>
                <w:sz w:val="28"/>
                <w:szCs w:val="28"/>
                <w:highlight w:val="none"/>
                <w:vertAlign w:val="baseline"/>
                <w:lang w:val="en-US" w:eastAsia="zh-CN"/>
              </w:rPr>
              <w:t>、</w:t>
            </w:r>
            <w:r>
              <w:rPr>
                <w:rFonts w:hint="default" w:cs="仿宋_GB2312"/>
                <w:sz w:val="28"/>
                <w:szCs w:val="28"/>
                <w:highlight w:val="none"/>
                <w:vertAlign w:val="baseline"/>
                <w:lang w:val="en-US" w:eastAsia="zh-CN"/>
              </w:rPr>
              <w:t>鼓楼街道蓝河湾小区、</w:t>
            </w:r>
            <w:r>
              <w:rPr>
                <w:rFonts w:hint="eastAsia" w:cs="仿宋_GB2312"/>
                <w:sz w:val="28"/>
                <w:szCs w:val="28"/>
                <w:highlight w:val="none"/>
                <w:vertAlign w:val="baseline"/>
                <w:lang w:val="en-US" w:eastAsia="zh-CN"/>
              </w:rPr>
              <w:t>溪翁庄镇</w:t>
            </w:r>
            <w:r>
              <w:rPr>
                <w:rFonts w:hint="default" w:cs="仿宋_GB2312"/>
                <w:sz w:val="28"/>
                <w:szCs w:val="28"/>
                <w:highlight w:val="none"/>
                <w:vertAlign w:val="baseline"/>
                <w:lang w:val="en-US" w:eastAsia="zh-CN"/>
              </w:rPr>
              <w:t>弗农小镇。</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4"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3</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二月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房产证办理难问题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区规自分局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市级任务计划2022年为10万套房屋解决“房产证办理难”问题，</w:t>
            </w:r>
            <w:r>
              <w:rPr>
                <w:rFonts w:hint="eastAsia" w:ascii="楷体_GB2312" w:hAnsi="楷体_GB2312" w:eastAsia="楷体_GB2312" w:cs="楷体_GB2312"/>
                <w:b/>
                <w:bCs/>
                <w:sz w:val="28"/>
                <w:szCs w:val="28"/>
                <w:highlight w:val="none"/>
                <w:vertAlign w:val="baseline"/>
                <w:lang w:val="en-US" w:eastAsia="zh-CN"/>
              </w:rPr>
              <w:t>区级任务已明确，解决500套房屋“房产证办理难”问题</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16</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溪翁庄镇</w:t>
            </w:r>
            <w:r>
              <w:rPr>
                <w:rFonts w:hint="default" w:cs="仿宋_GB2312"/>
                <w:sz w:val="28"/>
                <w:szCs w:val="28"/>
                <w:highlight w:val="none"/>
                <w:vertAlign w:val="baseline"/>
                <w:lang w:val="en-US" w:eastAsia="zh-CN"/>
              </w:rPr>
              <w:t>溪水花园</w:t>
            </w:r>
            <w:r>
              <w:rPr>
                <w:rFonts w:hint="eastAsia" w:cs="仿宋_GB2312"/>
                <w:sz w:val="28"/>
                <w:szCs w:val="28"/>
                <w:highlight w:val="none"/>
                <w:vertAlign w:val="baseline"/>
                <w:lang w:val="en-US" w:eastAsia="zh-CN"/>
              </w:rPr>
              <w:t>小区、密云镇</w:t>
            </w:r>
            <w:r>
              <w:rPr>
                <w:rFonts w:hint="default" w:cs="仿宋_GB2312"/>
                <w:sz w:val="28"/>
                <w:szCs w:val="28"/>
                <w:highlight w:val="none"/>
                <w:vertAlign w:val="baseline"/>
                <w:lang w:val="en-US" w:eastAsia="zh-CN"/>
              </w:rPr>
              <w:t>万利花园小区、十里堡镇赏星悦木小区。</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4</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居住区电动自行车</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集中充电设施建设</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1.2022年2月7日市城管委召开进一步加强本区电动自行车全链条管控的实施方案视频会，根据市实施方案制定密云区电动自行车全链条管控的实施方案，现阶段已经完成初稿。</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w:t>
            </w:r>
            <w:r>
              <w:rPr>
                <w:rFonts w:hint="eastAsia" w:cs="仿宋_GB2312"/>
                <w:b w:val="0"/>
                <w:bCs w:val="0"/>
                <w:sz w:val="28"/>
                <w:szCs w:val="28"/>
                <w:highlight w:val="none"/>
                <w:vertAlign w:val="baseline"/>
                <w:lang w:val="en-US" w:eastAsia="zh-CN"/>
              </w:rPr>
              <w:t>区</w:t>
            </w:r>
            <w:r>
              <w:rPr>
                <w:rFonts w:hint="eastAsia" w:ascii="仿宋_GB2312" w:hAnsi="仿宋_GB2312" w:eastAsia="仿宋_GB2312" w:cs="仿宋_GB2312"/>
                <w:b w:val="0"/>
                <w:bCs w:val="0"/>
                <w:sz w:val="28"/>
                <w:szCs w:val="28"/>
                <w:highlight w:val="none"/>
                <w:vertAlign w:val="baseline"/>
                <w:lang w:val="en-US" w:eastAsia="zh-CN"/>
              </w:rPr>
              <w:t>城管委专班根据市城管委提供的北京充电设施企业联系人表，完成与企业联系对接，确定厂家意向及厂家生产安装能力。</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4</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河南寨镇宁村、河南寨村；</w:t>
            </w:r>
            <w:r>
              <w:rPr>
                <w:rFonts w:hint="default" w:cs="仿宋_GB2312"/>
                <w:sz w:val="28"/>
                <w:szCs w:val="28"/>
                <w:highlight w:val="none"/>
                <w:vertAlign w:val="baseline"/>
                <w:lang w:val="en-US" w:eastAsia="zh-CN"/>
              </w:rPr>
              <w:t>溪翁庄镇京溪小区。</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5</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停车难问题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与北京市各区停车管理部门对于区域停车自治开展经验进行交流。</w:t>
            </w:r>
            <w:r>
              <w:rPr>
                <w:rFonts w:hint="eastAsia" w:ascii="楷体_GB2312" w:hAnsi="楷体_GB2312" w:eastAsia="楷体_GB2312" w:cs="楷体_GB2312"/>
                <w:b/>
                <w:bCs/>
                <w:sz w:val="32"/>
                <w:szCs w:val="32"/>
                <w:highlight w:val="none"/>
                <w:vertAlign w:val="baseline"/>
                <w:lang w:val="en-US" w:eastAsia="zh-CN"/>
              </w:rPr>
              <w:t>与鼓楼街道、密云静态公司召开长安社区停车区域自治管理进行初步沟通对接，听取了密云静态初步规划方案，并提出了针对性建议，后续将到已开展停车区域自治管理的区域进行学习。</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9</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果园街道兴云乙小区、</w:t>
            </w:r>
            <w:r>
              <w:rPr>
                <w:rFonts w:hint="default" w:cs="仿宋_GB2312"/>
                <w:sz w:val="28"/>
                <w:szCs w:val="28"/>
                <w:highlight w:val="none"/>
                <w:vertAlign w:val="baseline"/>
                <w:lang w:val="en-US" w:eastAsia="zh-CN"/>
              </w:rPr>
              <w:t>不老屯镇燕落村、</w:t>
            </w:r>
            <w:r>
              <w:rPr>
                <w:rFonts w:hint="eastAsia" w:cs="仿宋_GB2312"/>
                <w:sz w:val="28"/>
                <w:szCs w:val="28"/>
                <w:highlight w:val="none"/>
                <w:vertAlign w:val="baseline"/>
                <w:lang w:val="en-US" w:eastAsia="zh-CN"/>
              </w:rPr>
              <w:t>檀营地区檀府家园小区</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6</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bCs/>
                <w:sz w:val="28"/>
                <w:szCs w:val="28"/>
                <w:highlight w:val="none"/>
                <w:vertAlign w:val="baseline"/>
                <w:lang w:val="en-US" w:eastAsia="zh-CN"/>
              </w:rPr>
            </w:pPr>
            <w:r>
              <w:rPr>
                <w:rFonts w:hint="eastAsia" w:cs="仿宋_GB2312"/>
                <w:b/>
                <w:bCs/>
                <w:sz w:val="28"/>
                <w:szCs w:val="28"/>
                <w:highlight w:val="none"/>
                <w:vertAlign w:val="baseline"/>
                <w:lang w:val="en-US" w:eastAsia="zh-CN"/>
              </w:rPr>
              <w:t>三月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中小学教学管理问题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主责单位：区教委</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r>
              <w:rPr>
                <w:rFonts w:hint="eastAsia" w:ascii="楷体_GB2312" w:hAnsi="楷体_GB2312" w:eastAsia="楷体_GB2312" w:cs="楷体_GB2312"/>
                <w:b/>
                <w:bCs/>
                <w:sz w:val="32"/>
                <w:szCs w:val="32"/>
                <w:highlight w:val="none"/>
                <w:vertAlign w:val="baseline"/>
                <w:lang w:val="en-US" w:eastAsia="zh-CN"/>
              </w:rPr>
              <w:t>2月19日，区教委小教科组织2022学上半年小学教育教学工作布置会，对新学期教学、德育、课后服务工作进行专项布置；</w:t>
            </w:r>
            <w:r>
              <w:rPr>
                <w:rFonts w:hint="eastAsia" w:ascii="仿宋_GB2312" w:hAnsi="仿宋_GB2312" w:eastAsia="仿宋_GB2312" w:cs="仿宋_GB2312"/>
                <w:sz w:val="28"/>
                <w:szCs w:val="28"/>
                <w:highlight w:val="none"/>
                <w:vertAlign w:val="baseline"/>
                <w:lang w:val="en-US" w:eastAsia="zh-CN"/>
              </w:rPr>
              <w:t>中教科召开区中学2021-2022学年第二学期工作布置会，落实北京市基础教育大会和密云区2022年寒假领导干部工作会相关会议精神，布置中学新学期工作，提升中学教育教学质量，做好推进义务教育优质均衡发展相关工作。</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r>
              <w:rPr>
                <w:rFonts w:hint="eastAsia" w:ascii="楷体_GB2312" w:hAnsi="楷体_GB2312" w:eastAsia="楷体_GB2312" w:cs="楷体_GB2312"/>
                <w:b/>
                <w:bCs/>
                <w:sz w:val="32"/>
                <w:szCs w:val="32"/>
                <w:highlight w:val="none"/>
                <w:vertAlign w:val="baseline"/>
                <w:lang w:val="en-US" w:eastAsia="zh-CN"/>
              </w:rPr>
              <w:t>2月23日，区教委小教科人员对七所学校新学期课后服务开展时间、内容安排、学生参与情况进行实地调研。</w:t>
            </w:r>
            <w:r>
              <w:rPr>
                <w:rFonts w:hint="eastAsia" w:ascii="仿宋_GB2312" w:hAnsi="仿宋_GB2312" w:eastAsia="仿宋_GB2312" w:cs="仿宋_GB2312"/>
                <w:sz w:val="28"/>
                <w:szCs w:val="28"/>
                <w:highlight w:val="none"/>
                <w:vertAlign w:val="baseline"/>
                <w:lang w:val="en-US" w:eastAsia="zh-CN"/>
              </w:rPr>
              <w:t>截止25日统计，全区29所小学在开学第一周全部开展课后服务，学生参与率99.9%。</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w:t>
            </w:r>
            <w:r>
              <w:rPr>
                <w:rFonts w:hint="eastAsia" w:ascii="楷体_GB2312" w:hAnsi="楷体_GB2312" w:eastAsia="楷体_GB2312" w:cs="楷体_GB2312"/>
                <w:b/>
                <w:bCs/>
                <w:sz w:val="32"/>
                <w:szCs w:val="32"/>
                <w:highlight w:val="none"/>
                <w:vertAlign w:val="baseline"/>
                <w:lang w:val="en-US" w:eastAsia="zh-CN"/>
              </w:rPr>
              <w:t>2月24日，组织29所小学副校长开展教学工作计划交流会</w:t>
            </w:r>
            <w:r>
              <w:rPr>
                <w:rFonts w:hint="eastAsia" w:ascii="仿宋_GB2312" w:hAnsi="仿宋_GB2312" w:eastAsia="仿宋_GB2312" w:cs="仿宋_GB2312"/>
                <w:sz w:val="32"/>
                <w:szCs w:val="32"/>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进一步规范教学常规管理，不断提高学校育人水平。</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w:t>
            </w:r>
            <w:r>
              <w:rPr>
                <w:rFonts w:hint="eastAsia" w:ascii="楷体_GB2312" w:hAnsi="楷体_GB2312" w:eastAsia="楷体_GB2312" w:cs="楷体_GB2312"/>
                <w:b/>
                <w:bCs/>
                <w:sz w:val="32"/>
                <w:szCs w:val="32"/>
                <w:highlight w:val="none"/>
                <w:vertAlign w:val="baseline"/>
                <w:lang w:val="en-US" w:eastAsia="zh-CN"/>
              </w:rPr>
              <w:t>3月2日，区教委、教师研修学院召开“密云区英语特级教师工作站”成立启动会</w:t>
            </w:r>
            <w:r>
              <w:rPr>
                <w:rFonts w:hint="eastAsia" w:ascii="仿宋_GB2312" w:hAnsi="仿宋_GB2312" w:eastAsia="仿宋_GB2312" w:cs="仿宋_GB2312"/>
                <w:sz w:val="32"/>
                <w:szCs w:val="32"/>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进一步加强薄弱学科教研活动的实效性，为全面提升区域英语教师队伍整体水平。</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2</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河南寨镇中心小学、首都经济贸易大学密云分校</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6"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7</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四月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新就业形态劳动者劳动保障问题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区人力社保局</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1.</w:t>
            </w:r>
            <w:r>
              <w:rPr>
                <w:rFonts w:hint="eastAsia" w:ascii="仿宋_GB2312" w:hAnsi="仿宋_GB2312" w:eastAsia="仿宋_GB2312" w:cs="仿宋_GB2312"/>
                <w:sz w:val="28"/>
                <w:szCs w:val="28"/>
                <w:highlight w:val="none"/>
                <w:vertAlign w:val="baseline"/>
                <w:lang w:val="en-US" w:eastAsia="zh-CN"/>
              </w:rPr>
              <w:t>2022年2月1</w:t>
            </w:r>
            <w:r>
              <w:rPr>
                <w:rFonts w:hint="eastAsia" w:cs="仿宋_GB2312"/>
                <w:sz w:val="28"/>
                <w:szCs w:val="28"/>
                <w:highlight w:val="none"/>
                <w:vertAlign w:val="baseline"/>
                <w:lang w:val="en-US" w:eastAsia="zh-CN"/>
              </w:rPr>
              <w:t>5</w:t>
            </w:r>
            <w:r>
              <w:rPr>
                <w:rFonts w:hint="eastAsia" w:ascii="仿宋_GB2312" w:hAnsi="仿宋_GB2312" w:eastAsia="仿宋_GB2312" w:cs="仿宋_GB2312"/>
                <w:sz w:val="28"/>
                <w:szCs w:val="28"/>
                <w:highlight w:val="none"/>
                <w:vertAlign w:val="baseline"/>
                <w:lang w:val="en-US" w:eastAsia="zh-CN"/>
              </w:rPr>
              <w:t>日至</w:t>
            </w: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月</w:t>
            </w:r>
            <w:r>
              <w:rPr>
                <w:rFonts w:hint="eastAsia" w:cs="仿宋_GB2312"/>
                <w:sz w:val="28"/>
                <w:szCs w:val="28"/>
                <w:highlight w:val="none"/>
                <w:vertAlign w:val="baseline"/>
                <w:lang w:val="en-US" w:eastAsia="zh-CN"/>
              </w:rPr>
              <w:t>1</w:t>
            </w:r>
            <w:r>
              <w:rPr>
                <w:rFonts w:hint="eastAsia" w:ascii="仿宋_GB2312" w:hAnsi="仿宋_GB2312" w:eastAsia="仿宋_GB2312" w:cs="仿宋_GB2312"/>
                <w:sz w:val="28"/>
                <w:szCs w:val="28"/>
                <w:highlight w:val="none"/>
                <w:vertAlign w:val="baseline"/>
                <w:lang w:val="en-US" w:eastAsia="zh-CN"/>
              </w:rPr>
              <w:t>日，区人力资源和社会保障综合执法队做好保障农民工工资支付工作，深入建筑工程、企业进行检查</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同时，</w:t>
            </w:r>
            <w:r>
              <w:rPr>
                <w:rFonts w:hint="eastAsia" w:ascii="楷体_GB2312" w:hAnsi="楷体_GB2312" w:eastAsia="楷体_GB2312" w:cs="楷体_GB2312"/>
                <w:b/>
                <w:bCs/>
                <w:sz w:val="32"/>
                <w:szCs w:val="32"/>
                <w:highlight w:val="none"/>
                <w:vertAlign w:val="baseline"/>
                <w:lang w:val="en-US" w:eastAsia="zh-CN"/>
              </w:rPr>
              <w:t>处理54件涉及工资支付的投诉举报案件，解决拖欠工资3040.36万元。截止3月1日累计处理案件462件，解决拖欠工资3359.19万元</w:t>
            </w:r>
            <w:r>
              <w:rPr>
                <w:rFonts w:hint="eastAsia" w:ascii="仿宋_GB2312" w:hAnsi="仿宋_GB2312" w:eastAsia="仿宋_GB2312" w:cs="仿宋_GB2312"/>
                <w:sz w:val="32"/>
                <w:szCs w:val="32"/>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2.</w:t>
            </w:r>
            <w:r>
              <w:rPr>
                <w:rFonts w:hint="eastAsia" w:ascii="仿宋_GB2312" w:hAnsi="仿宋_GB2312" w:eastAsia="仿宋_GB2312" w:cs="仿宋_GB2312"/>
                <w:sz w:val="28"/>
                <w:szCs w:val="28"/>
                <w:highlight w:val="none"/>
                <w:vertAlign w:val="baseline"/>
                <w:lang w:val="en-US" w:eastAsia="zh-CN"/>
              </w:rPr>
              <w:t>仲裁院积极开展各项仲裁工作，对涉及新就业形态劳动者的劳动争议案件高度重视，认真排查涉及新就业形态劳动者拖欠工资等各类劳动争议案件。自2022年2月1</w:t>
            </w:r>
            <w:r>
              <w:rPr>
                <w:rFonts w:hint="eastAsia" w:cs="仿宋_GB2312"/>
                <w:sz w:val="28"/>
                <w:szCs w:val="28"/>
                <w:highlight w:val="none"/>
                <w:vertAlign w:val="baseline"/>
                <w:lang w:val="en-US" w:eastAsia="zh-CN"/>
              </w:rPr>
              <w:t>6</w:t>
            </w:r>
            <w:r>
              <w:rPr>
                <w:rFonts w:hint="eastAsia" w:ascii="仿宋_GB2312" w:hAnsi="仿宋_GB2312" w:eastAsia="仿宋_GB2312" w:cs="仿宋_GB2312"/>
                <w:sz w:val="28"/>
                <w:szCs w:val="28"/>
                <w:highlight w:val="none"/>
                <w:vertAlign w:val="baseline"/>
                <w:lang w:val="en-US" w:eastAsia="zh-CN"/>
              </w:rPr>
              <w:t>日至2月</w:t>
            </w:r>
            <w:r>
              <w:rPr>
                <w:rFonts w:hint="eastAsia" w:cs="仿宋_GB2312"/>
                <w:sz w:val="28"/>
                <w:szCs w:val="28"/>
                <w:highlight w:val="none"/>
                <w:vertAlign w:val="baseline"/>
                <w:lang w:val="en-US" w:eastAsia="zh-CN"/>
              </w:rPr>
              <w:t>28</w:t>
            </w:r>
            <w:r>
              <w:rPr>
                <w:rFonts w:hint="eastAsia" w:ascii="仿宋_GB2312" w:hAnsi="仿宋_GB2312" w:eastAsia="仿宋_GB2312" w:cs="仿宋_GB2312"/>
                <w:sz w:val="28"/>
                <w:szCs w:val="28"/>
                <w:highlight w:val="none"/>
                <w:vertAlign w:val="baseline"/>
                <w:lang w:val="en-US" w:eastAsia="zh-CN"/>
              </w:rPr>
              <w:t>日涉及新就业形态劳动者的各类劳动人事争议案件0件。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密云社保中心稽核科稳步开展日常稽核工作，确保社会保险费应收尽收。</w:t>
            </w:r>
            <w:r>
              <w:rPr>
                <w:rFonts w:hint="eastAsia" w:ascii="楷体_GB2312" w:hAnsi="楷体_GB2312" w:eastAsia="楷体_GB2312" w:cs="楷体_GB2312"/>
                <w:b/>
                <w:bCs/>
                <w:sz w:val="32"/>
                <w:szCs w:val="32"/>
                <w:highlight w:val="none"/>
                <w:vertAlign w:val="baseline"/>
                <w:lang w:val="en-US" w:eastAsia="zh-CN"/>
              </w:rPr>
              <w:t>受理涉及社保的投诉举报案件50件。截至3月1日，通过日常稽核、举报稽核，下达整改意见45份，完成稽核补缴401.3万元</w:t>
            </w:r>
            <w:r>
              <w:rPr>
                <w:rFonts w:hint="eastAsia" w:cs="仿宋_GB2312"/>
                <w:sz w:val="32"/>
                <w:szCs w:val="32"/>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93</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北京永兴盛苗圃责任有限公司、多加网络科技（北京）有限公司</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北京极顺建筑有限公司</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8"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8</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四月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农村宅基地审批问题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区农业农村局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专门制作《关于密云区农村宅基地及房屋建设管理致广大村民的一封信》，并为各镇录制了音频，预留了各镇主管科室电话，准备发给各镇村，利用“村村响”在全区农村地区开展《密云区关于落实户有所居加强农村宅基地及房屋建设管理办法（试行）》春季宣传，为春季宅基地审批群众提供政策保障，减少群主拨打热线咨询数量。</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2.筹备密云区农村宅基地及房屋建设管理联席会议，计划于本月召开，联合成员单位，对审批宅基地涉及的各项规划、用地性质、农转用手续办理</w:t>
            </w:r>
            <w:r>
              <w:rPr>
                <w:rFonts w:hint="eastAsia" w:cs="仿宋_GB2312"/>
                <w:b w:val="0"/>
                <w:bCs w:val="0"/>
                <w:sz w:val="28"/>
                <w:szCs w:val="28"/>
                <w:highlight w:val="none"/>
                <w:vertAlign w:val="baseline"/>
                <w:lang w:val="en-US" w:eastAsia="zh-CN"/>
              </w:rPr>
              <w:t>给予</w:t>
            </w:r>
            <w:r>
              <w:rPr>
                <w:rFonts w:hint="eastAsia" w:ascii="仿宋_GB2312" w:hAnsi="仿宋_GB2312" w:eastAsia="仿宋_GB2312" w:cs="仿宋_GB2312"/>
                <w:b w:val="0"/>
                <w:bCs w:val="0"/>
                <w:sz w:val="28"/>
                <w:szCs w:val="28"/>
                <w:highlight w:val="none"/>
                <w:vertAlign w:val="baseline"/>
                <w:lang w:val="en-US" w:eastAsia="zh-CN"/>
              </w:rPr>
              <w:t>各镇进行讲解。</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3.帮助镇村共同</w:t>
            </w:r>
            <w:bookmarkStart w:id="0" w:name="_GoBack"/>
            <w:bookmarkEnd w:id="0"/>
            <w:r>
              <w:rPr>
                <w:rFonts w:hint="eastAsia" w:cs="仿宋_GB2312"/>
                <w:b w:val="0"/>
                <w:bCs w:val="0"/>
                <w:sz w:val="28"/>
                <w:szCs w:val="28"/>
                <w:highlight w:val="none"/>
                <w:vertAlign w:val="baseline"/>
                <w:lang w:val="en-US" w:eastAsia="zh-CN"/>
              </w:rPr>
              <w:t>研究</w:t>
            </w:r>
            <w:r>
              <w:rPr>
                <w:rFonts w:hint="eastAsia" w:ascii="仿宋_GB2312" w:hAnsi="仿宋_GB2312" w:eastAsia="仿宋_GB2312" w:cs="仿宋_GB2312"/>
                <w:b w:val="0"/>
                <w:bCs w:val="0"/>
                <w:sz w:val="28"/>
                <w:szCs w:val="28"/>
                <w:highlight w:val="none"/>
                <w:vertAlign w:val="baseline"/>
                <w:lang w:val="en-US" w:eastAsia="zh-CN"/>
              </w:rPr>
              <w:t>解决宅基地审批实际问题，对各镇村关心的重点宅基地审批问题进行研究和指导，如与河南寨、太师屯等对接，指导镇级解决原搬迁房屋未进行宅基地审批问题，已与市级沟通来我区共同商议补办宅基地审批手续具体事宜；北庄镇较为关注利用集体建设用地建设集中住宅小区解决宅基地紧缺问题，正在帮助镇级研究的集中住宅小区程序、流程、审批环节等具体问题。</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24</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ascii="仿宋_GB2312" w:hAnsi="仿宋_GB2312" w:eastAsia="仿宋_GB2312" w:cs="仿宋_GB2312"/>
                <w:sz w:val="28"/>
                <w:szCs w:val="28"/>
                <w:highlight w:val="no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巨各庄镇八家庄村</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河南寨镇提辖庄村、穆家峪镇上峪村</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修改完善《密云区人民政府关于妥善解决密云水库一级保护区群众住房问题的工作意见》，按照市区两级要求，对《意见》进行修改完善，作为“密云水库一级保护区生态保护和群众生产生活工作方案”的附件，按照区委区政府要求，上报市政府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8"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9</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五月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物业服务不规范问题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tabs>
                <w:tab w:val="left" w:pos="1470"/>
              </w:tabs>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市住建委正在起草《物业服务不规范问题解决方案》，区住建委已将意见进行了反馈。待市级文件正式出台后，区住建委将结合我区的实际积极落实。</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85</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鼓楼街道彩虹园小区、檀营地区悦欣汇小区</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果园街道涧桥山小区</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6"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10</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ascii="仿宋_GB2312" w:hAnsi="仿宋_GB2312" w:eastAsia="仿宋_GB2312"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住宅楼内下水管道</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堵塞问题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针对保修期内的工程接到工单后第一时间与市民及建设单位取得联系，3天之内明确处理进展情况，及时疏通管道。保证问题及时得到解决。对于修复的部位责令建设单位与业主签订延保协议，目前涉及管道堵塞工单均得到解决。</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17</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鼓楼街道檀城西区</w:t>
            </w:r>
            <w:r>
              <w:rPr>
                <w:rFonts w:hint="default" w:cs="仿宋_GB2312"/>
                <w:sz w:val="28"/>
                <w:szCs w:val="28"/>
                <w:highlight w:val="none"/>
                <w:vertAlign w:val="baseline"/>
                <w:lang w:val="en-US" w:eastAsia="zh-CN"/>
              </w:rPr>
              <w:t>、清鑫家园</w:t>
            </w:r>
            <w:r>
              <w:rPr>
                <w:rFonts w:hint="eastAsia" w:cs="仿宋_GB2312"/>
                <w:sz w:val="28"/>
                <w:szCs w:val="28"/>
                <w:highlight w:val="none"/>
                <w:vertAlign w:val="baseline"/>
                <w:lang w:val="en-US" w:eastAsia="zh-CN"/>
              </w:rPr>
              <w:t>小区；溪翁庄镇溪水花园小区</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11</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六月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道路积水问题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密云</w:t>
            </w:r>
            <w:r>
              <w:rPr>
                <w:rFonts w:hint="eastAsia" w:ascii="仿宋_GB2312" w:hAnsi="仿宋_GB2312" w:eastAsia="仿宋_GB2312" w:cs="仿宋_GB2312"/>
                <w:b w:val="0"/>
                <w:bCs w:val="0"/>
                <w:sz w:val="28"/>
                <w:szCs w:val="28"/>
                <w:highlight w:val="none"/>
                <w:vertAlign w:val="baseline"/>
                <w:lang w:val="en-US" w:eastAsia="zh-CN"/>
              </w:rPr>
              <w:t>城区积水点改造工程共包含11个积水点。</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一期计划对新东路（行政服务大厅前）、新东路（沙河早市前）、果园西路（38号院前）积水点、水源路（水源路与园林路交叉口）、西门外大街（档案局前）５个积水点进行治理，目前正在进行施工监理招投标。</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二期计划对檀西路（超市发门前）、行宫前街（行宫东区北侧）、新南路（教委门前）、西门外大街（档案局前）、双燕街（兴云路路口西侧）、水源路（三驾校路口、水源路与南河路交叉口）６个积水点进行治理，目前正在进行方案设计。</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25</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鼓楼街道鼓楼南大街、鼓楼街道檀溪路</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巨各庄镇左堤路</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12</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农村污水治理问题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主责单位：区水务局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1.施工人员入村核查项目情况</w:t>
            </w:r>
            <w:r>
              <w:rPr>
                <w:rFonts w:hint="eastAsia" w:cs="仿宋_GB2312"/>
                <w:sz w:val="28"/>
                <w:szCs w:val="28"/>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2.技术人员测量放线，做村内路面切割准备工作。</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34</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河南寨镇圣水头村、冯家峪镇西苍峪村</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太师屯镇太师屯村</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3"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13</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七月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社区健身设施建设与</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管理问题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主责单位：区体育局</w:t>
            </w:r>
          </w:p>
        </w:tc>
        <w:tc>
          <w:tcPr>
            <w:tcW w:w="5635" w:type="dxa"/>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1.</w:t>
            </w:r>
            <w:r>
              <w:rPr>
                <w:rFonts w:hint="eastAsia" w:ascii="楷体_GB2312" w:hAnsi="楷体_GB2312" w:eastAsia="楷体_GB2312" w:cs="楷体_GB2312"/>
                <w:b/>
                <w:bCs/>
                <w:sz w:val="32"/>
                <w:szCs w:val="32"/>
                <w:highlight w:val="none"/>
                <w:vertAlign w:val="baseline"/>
                <w:lang w:val="en-US" w:eastAsia="zh-CN"/>
              </w:rPr>
              <w:t>向各镇街（地区）发送关于做好2022年“每月一题”进展情况报送工作的函。</w:t>
            </w:r>
            <w:r>
              <w:rPr>
                <w:rFonts w:hint="eastAsia" w:ascii="仿宋_GB2312" w:hAnsi="仿宋_GB2312" w:eastAsia="仿宋_GB2312" w:cs="仿宋_GB2312"/>
                <w:sz w:val="28"/>
                <w:szCs w:val="28"/>
                <w:highlight w:val="none"/>
                <w:vertAlign w:val="baseline"/>
                <w:lang w:val="en-US" w:eastAsia="zh-CN"/>
              </w:rPr>
              <w:t>建立推进联络机制，了解各镇街对全民健身场地设施的使用情况及损坏情况，督促各镇街加强管理和维护。</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2.贯彻落实区政府为民办实事工程，利用疏解腾退空间、公园绿地、商圈等场地，已建设完成2处体育活动场地。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64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val="0"/>
                <w:bCs w:val="0"/>
                <w:sz w:val="32"/>
                <w:szCs w:val="32"/>
                <w:highlight w:val="none"/>
                <w:vertAlign w:val="baseline"/>
                <w:lang w:val="en-US" w:eastAsia="zh-CN"/>
              </w:rPr>
              <w:t>3.</w:t>
            </w:r>
            <w:r>
              <w:rPr>
                <w:rFonts w:hint="eastAsia" w:ascii="楷体_GB2312" w:hAnsi="楷体_GB2312" w:eastAsia="楷体_GB2312" w:cs="楷体_GB2312"/>
                <w:b/>
                <w:bCs/>
                <w:sz w:val="32"/>
                <w:szCs w:val="32"/>
                <w:highlight w:val="none"/>
                <w:vertAlign w:val="baseline"/>
                <w:lang w:val="en-US" w:eastAsia="zh-CN"/>
              </w:rPr>
              <w:t>更新和建设健身器材1000件项目已开展招投标工作。</w:t>
            </w:r>
            <w:r>
              <w:rPr>
                <w:rFonts w:hint="eastAsia" w:ascii="仿宋_GB2312" w:hAnsi="仿宋_GB2312" w:eastAsia="仿宋_GB2312" w:cs="仿宋_GB2312"/>
                <w:sz w:val="28"/>
                <w:szCs w:val="28"/>
                <w:highlight w:val="none"/>
                <w:vertAlign w:val="baseline"/>
                <w:lang w:val="en-US" w:eastAsia="zh-CN"/>
              </w:rPr>
              <w:t xml:space="preserve"> </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11</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巨各庄镇查子沟村、不老屯镇半城子村</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石城镇河北村</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14</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棚户区改造问题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主责单位：区住建委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无。</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4</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溪翁庄镇溪翁庄村</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穆家峪镇新农村、果园街道西大桥村</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5"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15</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八月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农村地区煤改清洁能源后期运行管护问题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区农业农村局</w:t>
            </w:r>
          </w:p>
        </w:tc>
        <w:tc>
          <w:tcPr>
            <w:tcW w:w="5635" w:type="dxa"/>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560" w:firstLineChars="200"/>
              <w:jc w:val="both"/>
              <w:textAlignment w:val="auto"/>
              <w:rPr>
                <w:rFonts w:hint="eastAsia" w:cs="仿宋_GB2312"/>
                <w:sz w:val="32"/>
                <w:szCs w:val="32"/>
                <w:highlight w:val="none"/>
                <w:vertAlign w:val="baseline"/>
                <w:lang w:val="en-US" w:eastAsia="zh-CN"/>
              </w:rPr>
            </w:pPr>
            <w:r>
              <w:rPr>
                <w:rFonts w:hint="eastAsia" w:cs="仿宋_GB2312"/>
                <w:sz w:val="28"/>
                <w:szCs w:val="28"/>
                <w:highlight w:val="none"/>
                <w:vertAlign w:val="baseline"/>
                <w:lang w:val="en-US" w:eastAsia="zh-CN"/>
              </w:rPr>
              <w:t>1.完善了《密云区冬季清洁取暖工作售后维护保障方案》并结合市级文件起草并报审了《密云区农村地区“煤改清洁能源”过保取暖设备后期运行维护工作实施方案（试行）》。</w:t>
            </w:r>
            <w:r>
              <w:rPr>
                <w:rFonts w:hint="eastAsia" w:ascii="楷体_GB2312" w:hAnsi="楷体_GB2312" w:eastAsia="楷体_GB2312" w:cs="楷体_GB2312"/>
                <w:b/>
                <w:bCs/>
                <w:sz w:val="32"/>
                <w:szCs w:val="32"/>
                <w:highlight w:val="none"/>
                <w:vertAlign w:val="baseline"/>
                <w:lang w:val="en-US" w:eastAsia="zh-CN"/>
              </w:rPr>
              <w:t>待区政府常务会议审议通过后下发落实。</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2.明确、宣传报修途径。对电话报修、微信公众号报修、远程终端一键报修、联系村级电工报修等多种报修途径进行广泛宣传。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3.做好派单结单和跟踪回访。维修中心接报修后要尽快形成工单并通过手机APP派给村级电工进行处理，村级电工要在30分钟之内到达现场了解情况并对取暖设备进行维修。维修中心要时刻关注工单进展，及时协调督促维修进度，结单后进行回访，售后维护各环节要无缝连接形成严格闭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4.做好应急准备。依托抢单系统鼓励具有空气源热泵维修能力的技术人员注册为热泵维修员。遇有极寒天气、大面积停电等特殊情况，现有维修人员人手不足时，通过抢单系统将部分维修任务派至热泵维修员。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5.强化服务意识。维修中心代表政府形象，要强化服务意识，做到着装正规、流程规范、业务熟练，要严格应急值守制度。</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66</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西田各庄镇白道峪村、河南寨镇荆栗园村</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冯家峪镇西苍峪村</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2022年2月16日-2月28日调度中心平台预警230条，形成有效工单50单。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2022年2月16日-2月28日调度中心共接到用户一键报修、电话报修、公众号报修共计550单。3</w:t>
            </w:r>
            <w:r>
              <w:rPr>
                <w:rFonts w:hint="eastAsia" w:cs="仿宋_GB2312"/>
                <w:sz w:val="28"/>
                <w:szCs w:val="28"/>
                <w:highlight w:val="none"/>
                <w:vertAlign w:val="baseline"/>
                <w:lang w:val="en-US" w:eastAsia="zh-CN"/>
              </w:rPr>
              <w:t>.</w:t>
            </w:r>
            <w:r>
              <w:rPr>
                <w:rFonts w:hint="eastAsia" w:ascii="仿宋_GB2312" w:hAnsi="仿宋_GB2312" w:eastAsia="仿宋_GB2312" w:cs="仿宋_GB2312"/>
                <w:sz w:val="28"/>
                <w:szCs w:val="28"/>
                <w:highlight w:val="none"/>
                <w:vertAlign w:val="baseline"/>
                <w:lang w:val="en-US" w:eastAsia="zh-CN"/>
              </w:rPr>
              <w:t>2022年2月16日-2月28日接到12345工单共计86单，其中设备报修工单62单；政策咨询问题11单；费用与补贴问题3单；改造申请与安装问题10单；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55" w:line="400" w:lineRule="exact"/>
              <w:ind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以上形成工单咨询类问题均已解答，设备报修问题均已解决。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0"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16</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八月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集中供暖不热问题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主责单位：区城管委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3" w:firstLineChars="200"/>
              <w:jc w:val="both"/>
              <w:textAlignment w:val="auto"/>
              <w:rPr>
                <w:rFonts w:hint="eastAsia" w:ascii="楷体_GB2312" w:hAnsi="楷体_GB2312" w:eastAsia="楷体_GB2312" w:cs="楷体_GB2312"/>
                <w:b/>
                <w:bCs/>
                <w:sz w:val="32"/>
                <w:szCs w:val="32"/>
                <w:highlight w:val="none"/>
                <w:vertAlign w:val="baseline"/>
                <w:lang w:val="en-US" w:eastAsia="zh-CN"/>
              </w:rPr>
            </w:pPr>
            <w:r>
              <w:rPr>
                <w:rFonts w:hint="eastAsia" w:ascii="楷体_GB2312" w:hAnsi="楷体_GB2312" w:eastAsia="楷体_GB2312" w:cs="楷体_GB2312"/>
                <w:b/>
                <w:bCs/>
                <w:sz w:val="32"/>
                <w:szCs w:val="32"/>
                <w:highlight w:val="none"/>
                <w:vertAlign w:val="baseline"/>
                <w:lang w:val="en-US" w:eastAsia="zh-CN"/>
              </w:rPr>
              <w:t>1.开展访民问暖活动2次，与居民代表展开座谈，了解居民室内温度情况，听取居民的意见和建议，详细解答供热问题，讲解供热知识。入户走访测温10户，认真查看居民室内温度，一对一接受住户咨询，点对点解释用热知识，面对面了解供暖状况和居民诉求。现场解决供暖问题6件，非现场解决供暖问题7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2</w:t>
            </w:r>
            <w:r>
              <w:rPr>
                <w:rFonts w:hint="eastAsia" w:ascii="仿宋_GB2312" w:hAnsi="仿宋_GB2312" w:eastAsia="仿宋_GB2312" w:cs="仿宋_GB2312"/>
                <w:b w:val="0"/>
                <w:bCs w:val="0"/>
                <w:sz w:val="28"/>
                <w:szCs w:val="28"/>
                <w:highlight w:val="none"/>
                <w:vertAlign w:val="baseline"/>
                <w:lang w:val="en-US" w:eastAsia="zh-CN"/>
              </w:rPr>
              <w:t>.利用区城管委一层智慧平台，24小时在线监测各供热企业供热供回水温度；利用69033333系统，实现常规供热问题一分钟接单、一小时内上门，有效降低了12345投诉，提高了群众满意度和幸福感。</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32</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果园街道阳光水岸小区</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鼓楼街道长安小区、溪翁庄镇弗农小镇</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1"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17</w:t>
            </w:r>
          </w:p>
        </w:tc>
        <w:tc>
          <w:tcPr>
            <w:tcW w:w="105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九月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公交运营调度</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优化问题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主责单位：区交通局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3"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32"/>
                <w:szCs w:val="32"/>
                <w:highlight w:val="none"/>
                <w:vertAlign w:val="baseline"/>
                <w:lang w:val="en-US" w:eastAsia="zh-CN"/>
              </w:rPr>
              <w:t>我局继续按照工作方案，组织客运企业对乘客诉求进行多维度分析，并且根据12345等渠道收集群众诉求，调整公交线路优化方案，</w:t>
            </w:r>
            <w:r>
              <w:rPr>
                <w:rFonts w:hint="eastAsia" w:ascii="仿宋_GB2312" w:hAnsi="仿宋_GB2312" w:eastAsia="仿宋_GB2312" w:cs="仿宋_GB2312"/>
                <w:b w:val="0"/>
                <w:bCs w:val="0"/>
                <w:sz w:val="28"/>
                <w:szCs w:val="28"/>
                <w:highlight w:val="none"/>
                <w:vertAlign w:val="baseline"/>
                <w:lang w:val="en-US" w:eastAsia="zh-CN"/>
              </w:rPr>
              <w:t>为后期优化调整公交线路打下坚实基础。</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3</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密2路、密16路</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密66路</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18</w:t>
            </w:r>
          </w:p>
        </w:tc>
        <w:tc>
          <w:tcPr>
            <w:tcW w:w="105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信号灯问题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区交通支队</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2月份工作任务：保障完成冬奥会期间信号灯安全运行工作。</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信号灯运营完成率99.4%，针对1处故障点位已采取加装临时信号灯的措施。保障交通秩序畅通。</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无</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走马庄处信号灯供电故障。正在请示分局尽快修复。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1"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19</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餐饮行业</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食品安全问题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区市场监管局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643"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32"/>
                <w:szCs w:val="32"/>
                <w:highlight w:val="none"/>
                <w:vertAlign w:val="baseline"/>
                <w:lang w:val="en-US" w:eastAsia="zh-CN"/>
              </w:rPr>
              <w:t>结合春季开学前校园及周边食品安全检查工作，重点检查学校食堂和学生餐集配单位及校园周边餐饮单位，督促餐饮服务单位落实食品安全主体责任，确保学校师生用餐安全</w:t>
            </w:r>
            <w:r>
              <w:rPr>
                <w:rFonts w:hint="eastAsia" w:ascii="仿宋_GB2312" w:hAnsi="仿宋_GB2312" w:eastAsia="仿宋_GB2312" w:cs="仿宋_GB2312"/>
                <w:sz w:val="28"/>
                <w:szCs w:val="28"/>
                <w:highlight w:val="none"/>
                <w:vertAlign w:val="baseline"/>
                <w:lang w:val="en-US" w:eastAsia="zh-CN"/>
              </w:rPr>
              <w:t>。</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16</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果园街道麦当劳果园店、鼓楼街道富民街辣嘴小鸭饭店</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溪翁庄石马峪村明芹商店</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联合区教委召开春季开学前食品安全培训会，</w:t>
            </w:r>
            <w:r>
              <w:rPr>
                <w:rFonts w:hint="eastAsia" w:ascii="仿宋_GB2312" w:hAnsi="仿宋_GB2312" w:eastAsia="仿宋_GB2312" w:cs="仿宋_GB2312"/>
                <w:sz w:val="28"/>
                <w:szCs w:val="28"/>
                <w:highlight w:val="none"/>
                <w:vertAlign w:val="baseline"/>
                <w:lang w:val="en-US" w:eastAsia="zh-CN"/>
              </w:rPr>
              <w:t>确保校园食品安全工作严格落实到位。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7"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20</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一</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噪声扰民问题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区生态环境局</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2" w:firstLineChars="200"/>
              <w:jc w:val="both"/>
              <w:textAlignment w:val="auto"/>
              <w:rPr>
                <w:rFonts w:hint="eastAsia" w:ascii="楷体_GB2312" w:hAnsi="楷体_GB2312" w:eastAsia="楷体_GB2312" w:cs="楷体_GB2312"/>
                <w:b/>
                <w:bCs/>
                <w:sz w:val="28"/>
                <w:szCs w:val="28"/>
                <w:highlight w:val="none"/>
                <w:vertAlign w:val="baseline"/>
                <w:lang w:val="en-US" w:eastAsia="zh-CN"/>
              </w:rPr>
            </w:pPr>
            <w:r>
              <w:rPr>
                <w:rFonts w:hint="eastAsia" w:ascii="楷体_GB2312" w:hAnsi="楷体_GB2312" w:eastAsia="楷体_GB2312" w:cs="楷体_GB2312"/>
                <w:b/>
                <w:bCs/>
                <w:sz w:val="28"/>
                <w:szCs w:val="28"/>
                <w:highlight w:val="none"/>
                <w:vertAlign w:val="baseline"/>
                <w:lang w:val="en-US" w:eastAsia="zh-CN"/>
              </w:rPr>
              <w:t>1.开展工业企业噪声专项检查，2月16日-2月28日，共计检查工业企业4家次。城区内各镇（街）开展商业噪声巡查检查，2月16日-2月28日共计检查商铺60家次。</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2.2022年</w:t>
            </w:r>
            <w:r>
              <w:rPr>
                <w:rFonts w:hint="eastAsia" w:cs="仿宋_GB2312"/>
                <w:sz w:val="28"/>
                <w:szCs w:val="28"/>
                <w:highlight w:val="none"/>
                <w:vertAlign w:val="baseline"/>
                <w:lang w:val="en-US" w:eastAsia="zh-CN"/>
              </w:rPr>
              <w:t>2</w:t>
            </w:r>
            <w:r>
              <w:rPr>
                <w:rFonts w:hint="eastAsia" w:ascii="仿宋_GB2312" w:hAnsi="仿宋_GB2312" w:eastAsia="仿宋_GB2312" w:cs="仿宋_GB2312"/>
                <w:sz w:val="28"/>
                <w:szCs w:val="28"/>
                <w:highlight w:val="none"/>
                <w:vertAlign w:val="baseline"/>
                <w:lang w:val="en-US" w:eastAsia="zh-CN"/>
              </w:rPr>
              <w:t>月1</w:t>
            </w:r>
            <w:r>
              <w:rPr>
                <w:rFonts w:hint="eastAsia" w:cs="仿宋_GB2312"/>
                <w:sz w:val="28"/>
                <w:szCs w:val="28"/>
                <w:highlight w:val="none"/>
                <w:vertAlign w:val="baseline"/>
                <w:lang w:val="en-US" w:eastAsia="zh-CN"/>
              </w:rPr>
              <w:t>6</w:t>
            </w:r>
            <w:r>
              <w:rPr>
                <w:rFonts w:hint="eastAsia" w:ascii="仿宋_GB2312" w:hAnsi="仿宋_GB2312" w:eastAsia="仿宋_GB2312" w:cs="仿宋_GB2312"/>
                <w:sz w:val="28"/>
                <w:szCs w:val="28"/>
                <w:highlight w:val="none"/>
                <w:vertAlign w:val="baseline"/>
                <w:lang w:val="en-US" w:eastAsia="zh-CN"/>
              </w:rPr>
              <w:t>日以来区住建委夜施审批0件</w:t>
            </w:r>
            <w:r>
              <w:rPr>
                <w:rFonts w:hint="eastAsia" w:cs="仿宋_GB2312"/>
                <w:sz w:val="28"/>
                <w:szCs w:val="28"/>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3.</w:t>
            </w:r>
            <w:r>
              <w:rPr>
                <w:rFonts w:hint="eastAsia" w:ascii="仿宋_GB2312" w:hAnsi="仿宋_GB2312" w:eastAsia="仿宋_GB2312" w:cs="仿宋_GB2312"/>
                <w:sz w:val="28"/>
                <w:szCs w:val="28"/>
                <w:highlight w:val="none"/>
                <w:vertAlign w:val="baseline"/>
                <w:lang w:val="en-US" w:eastAsia="zh-CN"/>
              </w:rPr>
              <w:t>2022年2月1</w:t>
            </w:r>
            <w:r>
              <w:rPr>
                <w:rFonts w:hint="eastAsia" w:cs="仿宋_GB2312"/>
                <w:sz w:val="28"/>
                <w:szCs w:val="28"/>
                <w:highlight w:val="none"/>
                <w:vertAlign w:val="baseline"/>
                <w:lang w:val="en-US" w:eastAsia="zh-CN"/>
              </w:rPr>
              <w:t>6</w:t>
            </w:r>
            <w:r>
              <w:rPr>
                <w:rFonts w:hint="eastAsia" w:ascii="仿宋_GB2312" w:hAnsi="仿宋_GB2312" w:eastAsia="仿宋_GB2312" w:cs="仿宋_GB2312"/>
                <w:sz w:val="28"/>
                <w:szCs w:val="28"/>
                <w:highlight w:val="none"/>
                <w:vertAlign w:val="baseline"/>
                <w:lang w:val="en-US" w:eastAsia="zh-CN"/>
              </w:rPr>
              <w:t>日以来全区共受理噪声扰民类信访</w:t>
            </w:r>
            <w:r>
              <w:rPr>
                <w:rFonts w:hint="eastAsia" w:cs="仿宋_GB2312"/>
                <w:sz w:val="28"/>
                <w:szCs w:val="28"/>
                <w:highlight w:val="none"/>
                <w:vertAlign w:val="baseline"/>
                <w:lang w:val="en-US" w:eastAsia="zh-CN"/>
              </w:rPr>
              <w:t>15</w:t>
            </w:r>
            <w:r>
              <w:rPr>
                <w:rFonts w:hint="eastAsia" w:ascii="仿宋_GB2312" w:hAnsi="仿宋_GB2312" w:eastAsia="仿宋_GB2312" w:cs="仿宋_GB2312"/>
                <w:sz w:val="28"/>
                <w:szCs w:val="28"/>
                <w:highlight w:val="none"/>
                <w:vertAlign w:val="baseline"/>
                <w:lang w:val="en-US" w:eastAsia="zh-CN"/>
              </w:rPr>
              <w:t>件，（其中交通噪声1件、商业经营设施噪声2件、工业生产噪音1件、其他噪声11件。12件双满，3未处理）</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jc w:val="both"/>
              <w:textAlignment w:val="auto"/>
              <w:rPr>
                <w:rFonts w:hint="default" w:cs="仿宋_GB2312"/>
                <w:sz w:val="28"/>
                <w:szCs w:val="28"/>
                <w:highlight w:val="none"/>
                <w:vertAlign w:val="baseline"/>
                <w:lang w:val="en-US" w:eastAsia="zh-CN"/>
              </w:rPr>
            </w:pPr>
            <w:r>
              <w:rPr>
                <w:rFonts w:hint="default" w:cs="仿宋_GB2312"/>
                <w:sz w:val="28"/>
                <w:szCs w:val="28"/>
                <w:highlight w:val="none"/>
                <w:vertAlign w:val="baseline"/>
                <w:lang w:val="en-US" w:eastAsia="zh-CN"/>
              </w:rPr>
              <w:t>问题工单</w:t>
            </w:r>
            <w:r>
              <w:rPr>
                <w:rFonts w:hint="eastAsia" w:cs="仿宋_GB2312"/>
                <w:sz w:val="28"/>
                <w:szCs w:val="28"/>
                <w:highlight w:val="none"/>
                <w:vertAlign w:val="baseline"/>
                <w:lang w:val="en-US" w:eastAsia="zh-CN"/>
              </w:rPr>
              <w:t>23</w:t>
            </w:r>
            <w:r>
              <w:rPr>
                <w:rFonts w:hint="default" w:cs="仿宋_GB2312"/>
                <w:sz w:val="28"/>
                <w:szCs w:val="28"/>
                <w:highlight w:val="none"/>
                <w:vertAlign w:val="baseline"/>
                <w:lang w:val="en-US" w:eastAsia="zh-CN"/>
              </w:rPr>
              <w:t>件；</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cs="仿宋_GB2312"/>
                <w:sz w:val="28"/>
                <w:szCs w:val="28"/>
                <w:highlight w:val="none"/>
                <w:vertAlign w:val="baseline"/>
                <w:lang w:val="en-US" w:eastAsia="zh-CN"/>
              </w:rPr>
              <w:t>涉及点位：</w:t>
            </w:r>
            <w:r>
              <w:rPr>
                <w:rFonts w:hint="eastAsia" w:cs="仿宋_GB2312"/>
                <w:sz w:val="28"/>
                <w:szCs w:val="28"/>
                <w:highlight w:val="none"/>
                <w:vertAlign w:val="baseline"/>
                <w:lang w:val="en-US" w:eastAsia="zh-CN"/>
              </w:rPr>
              <w:t>鼓楼街道上营小区、果园街道中加福园小区</w:t>
            </w:r>
            <w:r>
              <w:rPr>
                <w:rFonts w:hint="default" w:cs="仿宋_GB2312"/>
                <w:sz w:val="28"/>
                <w:szCs w:val="28"/>
                <w:highlight w:val="none"/>
                <w:vertAlign w:val="baseline"/>
                <w:lang w:val="en-US" w:eastAsia="zh-CN"/>
              </w:rPr>
              <w:t>、</w:t>
            </w:r>
            <w:r>
              <w:rPr>
                <w:rFonts w:hint="eastAsia" w:cs="仿宋_GB2312"/>
                <w:sz w:val="28"/>
                <w:szCs w:val="28"/>
                <w:highlight w:val="none"/>
                <w:vertAlign w:val="baseline"/>
                <w:lang w:val="en-US" w:eastAsia="zh-CN"/>
              </w:rPr>
              <w:t>巨各庄镇丰各庄村</w:t>
            </w:r>
            <w:r>
              <w:rPr>
                <w:rFonts w:hint="default" w:cs="仿宋_GB2312"/>
                <w:sz w:val="28"/>
                <w:szCs w:val="28"/>
                <w:highlight w:val="none"/>
                <w:vertAlign w:val="baseline"/>
                <w:lang w:val="en-US" w:eastAsia="zh-CN"/>
              </w:rPr>
              <w:t>。</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2" w:hRule="atLeast"/>
          <w:jc w:val="center"/>
        </w:trPr>
        <w:tc>
          <w:tcPr>
            <w:tcW w:w="925"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21</w:t>
            </w:r>
          </w:p>
        </w:tc>
        <w:tc>
          <w:tcPr>
            <w:tcW w:w="105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十</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二</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default" w:cs="仿宋_GB2312"/>
                <w:b w:val="0"/>
                <w:bCs w:val="0"/>
                <w:sz w:val="28"/>
                <w:szCs w:val="28"/>
                <w:highlight w:val="none"/>
                <w:vertAlign w:val="baseline"/>
                <w:lang w:val="en-US" w:eastAsia="zh-CN"/>
              </w:rPr>
            </w:pPr>
            <w:r>
              <w:rPr>
                <w:rFonts w:hint="eastAsia" w:cs="仿宋_GB2312"/>
                <w:b w:val="0"/>
                <w:bCs w:val="0"/>
                <w:sz w:val="28"/>
                <w:szCs w:val="28"/>
                <w:highlight w:val="none"/>
                <w:vertAlign w:val="baseline"/>
                <w:lang w:val="en-US" w:eastAsia="zh-CN"/>
              </w:rPr>
              <w:t>月</w:t>
            </w:r>
          </w:p>
        </w:tc>
        <w:tc>
          <w:tcPr>
            <w:tcW w:w="2800" w:type="dxa"/>
            <w:vAlign w:val="center"/>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0-3岁婴幼儿普惠托育服务资源不足问题</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主责单位：</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区卫生健康委</w:t>
            </w:r>
          </w:p>
        </w:tc>
        <w:tc>
          <w:tcPr>
            <w:tcW w:w="5635"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eastAsia" w:cs="仿宋_GB2312"/>
                <w:sz w:val="28"/>
                <w:szCs w:val="28"/>
                <w:highlight w:val="none"/>
                <w:vertAlign w:val="baseline"/>
                <w:lang w:val="en-US" w:eastAsia="zh-CN"/>
              </w:rPr>
            </w:pPr>
            <w:r>
              <w:rPr>
                <w:rFonts w:hint="eastAsia" w:cs="仿宋_GB2312"/>
                <w:sz w:val="28"/>
                <w:szCs w:val="28"/>
                <w:highlight w:val="none"/>
                <w:vertAlign w:val="baseline"/>
                <w:lang w:val="en-US" w:eastAsia="zh-CN"/>
              </w:rPr>
              <w:t>对0-3岁婴幼儿普惠托育服务资源不足问题进行专题研究，分析原因，研究解决措施。</w:t>
            </w:r>
          </w:p>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firstLine="560" w:firstLineChars="200"/>
              <w:jc w:val="both"/>
              <w:textAlignment w:val="auto"/>
              <w:rPr>
                <w:rFonts w:hint="default" w:cs="仿宋_GB2312"/>
                <w:sz w:val="28"/>
                <w:szCs w:val="28"/>
                <w:highlight w:val="none"/>
                <w:vertAlign w:val="baseline"/>
                <w:lang w:val="en-US" w:eastAsia="zh-CN"/>
              </w:rPr>
            </w:pPr>
            <w:r>
              <w:rPr>
                <w:rFonts w:hint="eastAsia" w:cs="仿宋_GB2312"/>
                <w:sz w:val="28"/>
                <w:szCs w:val="28"/>
                <w:highlight w:val="none"/>
                <w:vertAlign w:val="baseline"/>
                <w:lang w:val="en-US" w:eastAsia="zh-CN"/>
              </w:rPr>
              <w:t>已拟定密云区“一小”整体解决方案，</w:t>
            </w:r>
            <w:r>
              <w:rPr>
                <w:rFonts w:hint="eastAsia" w:ascii="楷体_GB2312" w:hAnsi="楷体_GB2312" w:eastAsia="楷体_GB2312" w:cs="楷体_GB2312"/>
                <w:b/>
                <w:bCs/>
                <w:sz w:val="32"/>
                <w:szCs w:val="32"/>
                <w:highlight w:val="none"/>
                <w:vertAlign w:val="baseline"/>
                <w:lang w:val="en-US" w:eastAsia="zh-CN"/>
              </w:rPr>
              <w:t>征求发改委、教委、财政局等多部门意见。</w:t>
            </w:r>
          </w:p>
        </w:tc>
        <w:tc>
          <w:tcPr>
            <w:tcW w:w="2782"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cs="仿宋_GB2312"/>
                <w:sz w:val="28"/>
                <w:szCs w:val="28"/>
                <w:highlight w:val="none"/>
                <w:vertAlign w:val="baseline"/>
                <w:lang w:val="en-US" w:eastAsia="zh-CN"/>
              </w:rPr>
              <w:t>无</w:t>
            </w:r>
          </w:p>
        </w:tc>
        <w:tc>
          <w:tcPr>
            <w:tcW w:w="2424" w:type="dxa"/>
            <w:vAlign w:val="top"/>
          </w:tcPr>
          <w:p>
            <w:pPr>
              <w:pStyle w:val="4"/>
              <w:keepNext w:val="0"/>
              <w:keepLines w:val="0"/>
              <w:pageBreakBefore w:val="0"/>
              <w:widowControl w:val="0"/>
              <w:kinsoku/>
              <w:wordWrap/>
              <w:overflowPunct/>
              <w:topLinePunct w:val="0"/>
              <w:autoSpaceDE/>
              <w:autoSpaceDN/>
              <w:bidi w:val="0"/>
              <w:adjustRightInd/>
              <w:snapToGrid/>
              <w:spacing w:before="55" w:line="400" w:lineRule="exact"/>
              <w:ind w:left="0" w:leftChars="0" w:right="0" w:rightChars="0"/>
              <w:jc w:val="both"/>
              <w:textAlignment w:val="auto"/>
              <w:rPr>
                <w:rFonts w:hint="eastAsia" w:ascii="仿宋_GB2312" w:hAnsi="仿宋_GB2312" w:eastAsia="仿宋_GB2312" w:cs="仿宋_GB2312"/>
                <w:sz w:val="28"/>
                <w:szCs w:val="28"/>
                <w:highlight w:val="none"/>
                <w:vertAlign w:val="baseline"/>
                <w:lang w:val="en-US" w:eastAsia="zh-CN"/>
              </w:rPr>
            </w:pPr>
          </w:p>
        </w:tc>
      </w:tr>
    </w:tbl>
    <w:p>
      <w:pPr>
        <w:rPr>
          <w:rFonts w:hint="default"/>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DE5282-E210-4529-875A-D3599304DB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88E4EF3-E814-4ABA-BCBF-4779E5CFD3DA}"/>
  </w:font>
  <w:font w:name="方正小标宋_GBK">
    <w:panose1 w:val="03000509000000000000"/>
    <w:charset w:val="86"/>
    <w:family w:val="auto"/>
    <w:pitch w:val="default"/>
    <w:sig w:usb0="00000001" w:usb1="080E0000" w:usb2="00000000" w:usb3="00000000" w:csb0="00040000" w:csb1="00000000"/>
    <w:embedRegular r:id="rId3" w:fontKey="{781AFEFF-7478-491F-8A07-A2947DB56EC8}"/>
  </w:font>
  <w:font w:name="楷体_GB2312">
    <w:panose1 w:val="02010609030101010101"/>
    <w:charset w:val="86"/>
    <w:family w:val="auto"/>
    <w:pitch w:val="default"/>
    <w:sig w:usb0="00000001" w:usb1="080E0000" w:usb2="00000000" w:usb3="00000000" w:csb0="00040000" w:csb1="00000000"/>
    <w:embedRegular r:id="rId4" w:fontKey="{17349AE2-9237-47BB-97C3-948546893E83}"/>
  </w:font>
  <w:font w:name="方正楷体_GBK">
    <w:panose1 w:val="03000509000000000000"/>
    <w:charset w:val="86"/>
    <w:family w:val="auto"/>
    <w:pitch w:val="default"/>
    <w:sig w:usb0="00000001" w:usb1="080E0000" w:usb2="00000000" w:usb3="00000000" w:csb0="00040000" w:csb1="00000000"/>
    <w:embedRegular r:id="rId5" w:fontKey="{7C2FF715-E08E-4737-9C46-D89261A62CCB}"/>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00000000"/>
    <w:rsid w:val="00671FB5"/>
    <w:rsid w:val="00911EE1"/>
    <w:rsid w:val="0091378F"/>
    <w:rsid w:val="009721D3"/>
    <w:rsid w:val="010E1FFB"/>
    <w:rsid w:val="01725658"/>
    <w:rsid w:val="01CB1192"/>
    <w:rsid w:val="01E511F3"/>
    <w:rsid w:val="024A64D6"/>
    <w:rsid w:val="03173A2C"/>
    <w:rsid w:val="038112E9"/>
    <w:rsid w:val="03F04426"/>
    <w:rsid w:val="04011FC1"/>
    <w:rsid w:val="044863B9"/>
    <w:rsid w:val="058E1745"/>
    <w:rsid w:val="063B5E82"/>
    <w:rsid w:val="065A7B9F"/>
    <w:rsid w:val="06731023"/>
    <w:rsid w:val="0706091E"/>
    <w:rsid w:val="078B3EC8"/>
    <w:rsid w:val="079E2883"/>
    <w:rsid w:val="07A1136F"/>
    <w:rsid w:val="07FF1D65"/>
    <w:rsid w:val="080E7116"/>
    <w:rsid w:val="085119DA"/>
    <w:rsid w:val="08E70E79"/>
    <w:rsid w:val="090D144D"/>
    <w:rsid w:val="09173C16"/>
    <w:rsid w:val="09213488"/>
    <w:rsid w:val="094E261A"/>
    <w:rsid w:val="09785D09"/>
    <w:rsid w:val="09DF581B"/>
    <w:rsid w:val="09EC32C4"/>
    <w:rsid w:val="0AA74AF8"/>
    <w:rsid w:val="0ABC3FB7"/>
    <w:rsid w:val="0AD46DD3"/>
    <w:rsid w:val="0AF00D2D"/>
    <w:rsid w:val="0B434BFB"/>
    <w:rsid w:val="0B6B221F"/>
    <w:rsid w:val="0B8B6EA2"/>
    <w:rsid w:val="0BA57DE9"/>
    <w:rsid w:val="0C475403"/>
    <w:rsid w:val="0CBC16A0"/>
    <w:rsid w:val="0CD16EB6"/>
    <w:rsid w:val="0D323B7B"/>
    <w:rsid w:val="0E5532F6"/>
    <w:rsid w:val="0E6412C5"/>
    <w:rsid w:val="0E9B7E64"/>
    <w:rsid w:val="0ED31954"/>
    <w:rsid w:val="0F1D513F"/>
    <w:rsid w:val="0F457E1A"/>
    <w:rsid w:val="0F707076"/>
    <w:rsid w:val="0FF25C71"/>
    <w:rsid w:val="10B75F76"/>
    <w:rsid w:val="10C33CAD"/>
    <w:rsid w:val="11A52E58"/>
    <w:rsid w:val="11C06567"/>
    <w:rsid w:val="11FB7BEA"/>
    <w:rsid w:val="12787B48"/>
    <w:rsid w:val="12B74EA4"/>
    <w:rsid w:val="12CA599D"/>
    <w:rsid w:val="13113CBE"/>
    <w:rsid w:val="13BF78B3"/>
    <w:rsid w:val="13DE3762"/>
    <w:rsid w:val="140506AF"/>
    <w:rsid w:val="147A2D89"/>
    <w:rsid w:val="15896EB6"/>
    <w:rsid w:val="15B5628A"/>
    <w:rsid w:val="163A31D4"/>
    <w:rsid w:val="173E7321"/>
    <w:rsid w:val="189775FC"/>
    <w:rsid w:val="18A963D9"/>
    <w:rsid w:val="18E633C4"/>
    <w:rsid w:val="194164C5"/>
    <w:rsid w:val="198D6D32"/>
    <w:rsid w:val="19A36D4C"/>
    <w:rsid w:val="19AB37CA"/>
    <w:rsid w:val="1A4464C1"/>
    <w:rsid w:val="1A680672"/>
    <w:rsid w:val="1A90159F"/>
    <w:rsid w:val="1A97570D"/>
    <w:rsid w:val="1B090D19"/>
    <w:rsid w:val="1B235898"/>
    <w:rsid w:val="1B5E1E7E"/>
    <w:rsid w:val="1B82033A"/>
    <w:rsid w:val="1BAB3DA6"/>
    <w:rsid w:val="1BDF5788"/>
    <w:rsid w:val="1C1A387E"/>
    <w:rsid w:val="1C600BBE"/>
    <w:rsid w:val="1C764685"/>
    <w:rsid w:val="1C834F7C"/>
    <w:rsid w:val="1D6A35F5"/>
    <w:rsid w:val="1D721CAA"/>
    <w:rsid w:val="1D745321"/>
    <w:rsid w:val="1D777A68"/>
    <w:rsid w:val="1DA405C0"/>
    <w:rsid w:val="1DFB6432"/>
    <w:rsid w:val="1F137D18"/>
    <w:rsid w:val="1F2332A4"/>
    <w:rsid w:val="1F7C73C5"/>
    <w:rsid w:val="204477A0"/>
    <w:rsid w:val="214D349D"/>
    <w:rsid w:val="230E685F"/>
    <w:rsid w:val="2325562D"/>
    <w:rsid w:val="23522413"/>
    <w:rsid w:val="23B24463"/>
    <w:rsid w:val="241A7AF3"/>
    <w:rsid w:val="24915C9B"/>
    <w:rsid w:val="252427BC"/>
    <w:rsid w:val="257E7F49"/>
    <w:rsid w:val="25E3232D"/>
    <w:rsid w:val="26324106"/>
    <w:rsid w:val="27024FBF"/>
    <w:rsid w:val="272D3C76"/>
    <w:rsid w:val="27AA5BE2"/>
    <w:rsid w:val="29323C9D"/>
    <w:rsid w:val="29525874"/>
    <w:rsid w:val="29C46270"/>
    <w:rsid w:val="29D41089"/>
    <w:rsid w:val="2A027138"/>
    <w:rsid w:val="2A335287"/>
    <w:rsid w:val="2A57117E"/>
    <w:rsid w:val="2AF43873"/>
    <w:rsid w:val="2B225018"/>
    <w:rsid w:val="2B46020C"/>
    <w:rsid w:val="2BCB0BEB"/>
    <w:rsid w:val="2BCD7F13"/>
    <w:rsid w:val="2C6D614E"/>
    <w:rsid w:val="2CD80598"/>
    <w:rsid w:val="2CFC1926"/>
    <w:rsid w:val="2CFC441B"/>
    <w:rsid w:val="2CFD3799"/>
    <w:rsid w:val="2D105E1F"/>
    <w:rsid w:val="2D5946D2"/>
    <w:rsid w:val="2D5B4E4C"/>
    <w:rsid w:val="2DE02DD3"/>
    <w:rsid w:val="2DE61E96"/>
    <w:rsid w:val="2F4B41B9"/>
    <w:rsid w:val="2FBB4E44"/>
    <w:rsid w:val="300D79C7"/>
    <w:rsid w:val="306F4BA2"/>
    <w:rsid w:val="31DF3842"/>
    <w:rsid w:val="322B52A6"/>
    <w:rsid w:val="327301A8"/>
    <w:rsid w:val="33441120"/>
    <w:rsid w:val="33684BE5"/>
    <w:rsid w:val="336942CD"/>
    <w:rsid w:val="33BD1099"/>
    <w:rsid w:val="33E27C88"/>
    <w:rsid w:val="33FC49DF"/>
    <w:rsid w:val="342C7624"/>
    <w:rsid w:val="347B152B"/>
    <w:rsid w:val="347E1F44"/>
    <w:rsid w:val="34D42349"/>
    <w:rsid w:val="353848A8"/>
    <w:rsid w:val="354D1C91"/>
    <w:rsid w:val="35865788"/>
    <w:rsid w:val="35F535D9"/>
    <w:rsid w:val="367D5103"/>
    <w:rsid w:val="37AF7979"/>
    <w:rsid w:val="380531F5"/>
    <w:rsid w:val="385F645E"/>
    <w:rsid w:val="387263A2"/>
    <w:rsid w:val="38783E20"/>
    <w:rsid w:val="38B407BA"/>
    <w:rsid w:val="394C2C99"/>
    <w:rsid w:val="39567873"/>
    <w:rsid w:val="3BFA244D"/>
    <w:rsid w:val="3C474DB2"/>
    <w:rsid w:val="3C4F4D9C"/>
    <w:rsid w:val="3C584B8A"/>
    <w:rsid w:val="3DB304F2"/>
    <w:rsid w:val="3E384CBC"/>
    <w:rsid w:val="3EA00DCD"/>
    <w:rsid w:val="3EC228A4"/>
    <w:rsid w:val="3F015DE4"/>
    <w:rsid w:val="3F5A282F"/>
    <w:rsid w:val="3FB96DE9"/>
    <w:rsid w:val="400E4ACB"/>
    <w:rsid w:val="402C319A"/>
    <w:rsid w:val="40AA2B02"/>
    <w:rsid w:val="40D71F42"/>
    <w:rsid w:val="40E72D16"/>
    <w:rsid w:val="41117683"/>
    <w:rsid w:val="41A702B3"/>
    <w:rsid w:val="41BF2EE9"/>
    <w:rsid w:val="41F03643"/>
    <w:rsid w:val="435224D2"/>
    <w:rsid w:val="435F5950"/>
    <w:rsid w:val="43996CCD"/>
    <w:rsid w:val="441D19BF"/>
    <w:rsid w:val="44AD579C"/>
    <w:rsid w:val="44BA36B9"/>
    <w:rsid w:val="44E61AA7"/>
    <w:rsid w:val="455A5D46"/>
    <w:rsid w:val="46524E4D"/>
    <w:rsid w:val="46824B39"/>
    <w:rsid w:val="468C557D"/>
    <w:rsid w:val="469876F4"/>
    <w:rsid w:val="46D82B43"/>
    <w:rsid w:val="470A316C"/>
    <w:rsid w:val="471F57BA"/>
    <w:rsid w:val="481E6CAD"/>
    <w:rsid w:val="48BA4EBC"/>
    <w:rsid w:val="49281DC3"/>
    <w:rsid w:val="49414D94"/>
    <w:rsid w:val="4973045E"/>
    <w:rsid w:val="499257F9"/>
    <w:rsid w:val="49E52694"/>
    <w:rsid w:val="4ACB3A0B"/>
    <w:rsid w:val="4B312DBE"/>
    <w:rsid w:val="4B6108B2"/>
    <w:rsid w:val="4B697022"/>
    <w:rsid w:val="4C24038E"/>
    <w:rsid w:val="4C2540DA"/>
    <w:rsid w:val="4C7F756D"/>
    <w:rsid w:val="4CC51B2D"/>
    <w:rsid w:val="4CD35DED"/>
    <w:rsid w:val="4D1B5C23"/>
    <w:rsid w:val="4EAD59C3"/>
    <w:rsid w:val="4EB32A0E"/>
    <w:rsid w:val="4EFA3BA1"/>
    <w:rsid w:val="4F8C2542"/>
    <w:rsid w:val="4FB225D2"/>
    <w:rsid w:val="4FF93405"/>
    <w:rsid w:val="501B32F3"/>
    <w:rsid w:val="50341A97"/>
    <w:rsid w:val="506625F7"/>
    <w:rsid w:val="508A627E"/>
    <w:rsid w:val="509F7DF6"/>
    <w:rsid w:val="50FC28ED"/>
    <w:rsid w:val="512D6CB0"/>
    <w:rsid w:val="517E540A"/>
    <w:rsid w:val="519A53EE"/>
    <w:rsid w:val="51EC2948"/>
    <w:rsid w:val="522C3415"/>
    <w:rsid w:val="5299126C"/>
    <w:rsid w:val="52FA5D69"/>
    <w:rsid w:val="530D214B"/>
    <w:rsid w:val="53804E24"/>
    <w:rsid w:val="541C19EA"/>
    <w:rsid w:val="545531E9"/>
    <w:rsid w:val="54CE1176"/>
    <w:rsid w:val="558856D7"/>
    <w:rsid w:val="55A77E89"/>
    <w:rsid w:val="55F532C4"/>
    <w:rsid w:val="560A2043"/>
    <w:rsid w:val="56604C3D"/>
    <w:rsid w:val="567540C3"/>
    <w:rsid w:val="569978BD"/>
    <w:rsid w:val="57063200"/>
    <w:rsid w:val="570D6804"/>
    <w:rsid w:val="57BB3F1F"/>
    <w:rsid w:val="57C21ABF"/>
    <w:rsid w:val="581B5034"/>
    <w:rsid w:val="58CE3461"/>
    <w:rsid w:val="58F970F5"/>
    <w:rsid w:val="590A2719"/>
    <w:rsid w:val="590B2198"/>
    <w:rsid w:val="593277EB"/>
    <w:rsid w:val="5960657D"/>
    <w:rsid w:val="5A215B7C"/>
    <w:rsid w:val="5AE23BA6"/>
    <w:rsid w:val="5B1C6768"/>
    <w:rsid w:val="5B3D3675"/>
    <w:rsid w:val="5BC55A61"/>
    <w:rsid w:val="5C003AA1"/>
    <w:rsid w:val="5C8B324C"/>
    <w:rsid w:val="5D190F57"/>
    <w:rsid w:val="5F096C86"/>
    <w:rsid w:val="5F692F1A"/>
    <w:rsid w:val="5FB8578D"/>
    <w:rsid w:val="602F696B"/>
    <w:rsid w:val="607737D3"/>
    <w:rsid w:val="60C51E93"/>
    <w:rsid w:val="60FC1826"/>
    <w:rsid w:val="616E1341"/>
    <w:rsid w:val="618A365B"/>
    <w:rsid w:val="61D57581"/>
    <w:rsid w:val="62623731"/>
    <w:rsid w:val="628E3265"/>
    <w:rsid w:val="634D2E5C"/>
    <w:rsid w:val="63964E61"/>
    <w:rsid w:val="63984D7B"/>
    <w:rsid w:val="63A51F96"/>
    <w:rsid w:val="63DF56F0"/>
    <w:rsid w:val="644A4A97"/>
    <w:rsid w:val="64F24635"/>
    <w:rsid w:val="64F51FB7"/>
    <w:rsid w:val="654E5671"/>
    <w:rsid w:val="657011A9"/>
    <w:rsid w:val="657D7EDE"/>
    <w:rsid w:val="65882F94"/>
    <w:rsid w:val="65973DC0"/>
    <w:rsid w:val="65F47C64"/>
    <w:rsid w:val="66404416"/>
    <w:rsid w:val="66784BEC"/>
    <w:rsid w:val="670E2C61"/>
    <w:rsid w:val="671A29F5"/>
    <w:rsid w:val="6728179B"/>
    <w:rsid w:val="677E5613"/>
    <w:rsid w:val="67F00B7B"/>
    <w:rsid w:val="67F52347"/>
    <w:rsid w:val="685510D5"/>
    <w:rsid w:val="689E7FE2"/>
    <w:rsid w:val="692A63D1"/>
    <w:rsid w:val="692F45B1"/>
    <w:rsid w:val="699661B1"/>
    <w:rsid w:val="69DB5E08"/>
    <w:rsid w:val="6A11213F"/>
    <w:rsid w:val="6A3F4EE6"/>
    <w:rsid w:val="6A426D56"/>
    <w:rsid w:val="6A556154"/>
    <w:rsid w:val="6AA3033C"/>
    <w:rsid w:val="6AA913FF"/>
    <w:rsid w:val="6ABC21C1"/>
    <w:rsid w:val="6ADC0AED"/>
    <w:rsid w:val="6BCB3352"/>
    <w:rsid w:val="6BE72AB5"/>
    <w:rsid w:val="6C61675C"/>
    <w:rsid w:val="6C645960"/>
    <w:rsid w:val="6CB053DF"/>
    <w:rsid w:val="6CC458CA"/>
    <w:rsid w:val="6D070E60"/>
    <w:rsid w:val="6D437EC6"/>
    <w:rsid w:val="6D4578FD"/>
    <w:rsid w:val="6DC924CB"/>
    <w:rsid w:val="6DE74460"/>
    <w:rsid w:val="6E261F3F"/>
    <w:rsid w:val="6E7C7E46"/>
    <w:rsid w:val="6E9831D9"/>
    <w:rsid w:val="6EF15B11"/>
    <w:rsid w:val="6EF977A4"/>
    <w:rsid w:val="6F0D6CDB"/>
    <w:rsid w:val="6F3A29C7"/>
    <w:rsid w:val="70054E3E"/>
    <w:rsid w:val="700E4B07"/>
    <w:rsid w:val="703E08FC"/>
    <w:rsid w:val="708D2743"/>
    <w:rsid w:val="708F4FAB"/>
    <w:rsid w:val="70B039FC"/>
    <w:rsid w:val="70CC1A58"/>
    <w:rsid w:val="70D16BD3"/>
    <w:rsid w:val="716E1573"/>
    <w:rsid w:val="718E63C9"/>
    <w:rsid w:val="71A928BA"/>
    <w:rsid w:val="720B0242"/>
    <w:rsid w:val="7234375A"/>
    <w:rsid w:val="72E43F9C"/>
    <w:rsid w:val="72FF7F5F"/>
    <w:rsid w:val="73330B8C"/>
    <w:rsid w:val="738F1A28"/>
    <w:rsid w:val="73B065DF"/>
    <w:rsid w:val="73B850F9"/>
    <w:rsid w:val="73E9288F"/>
    <w:rsid w:val="745030E5"/>
    <w:rsid w:val="74D93E1F"/>
    <w:rsid w:val="757F6C64"/>
    <w:rsid w:val="75A42B19"/>
    <w:rsid w:val="75A96964"/>
    <w:rsid w:val="76057D43"/>
    <w:rsid w:val="763A2E2C"/>
    <w:rsid w:val="76730537"/>
    <w:rsid w:val="77A416A0"/>
    <w:rsid w:val="77B8425F"/>
    <w:rsid w:val="78053D81"/>
    <w:rsid w:val="78544592"/>
    <w:rsid w:val="79626336"/>
    <w:rsid w:val="79A36D9F"/>
    <w:rsid w:val="7AA1164B"/>
    <w:rsid w:val="7AD1001B"/>
    <w:rsid w:val="7AE336A3"/>
    <w:rsid w:val="7B8D33E2"/>
    <w:rsid w:val="7BB222EA"/>
    <w:rsid w:val="7C9746FF"/>
    <w:rsid w:val="7CBA42BA"/>
    <w:rsid w:val="7D165655"/>
    <w:rsid w:val="7D1744C8"/>
    <w:rsid w:val="7DF86B77"/>
    <w:rsid w:val="7E01556A"/>
    <w:rsid w:val="7E590BE8"/>
    <w:rsid w:val="7E8E2A59"/>
    <w:rsid w:val="7EC76E00"/>
    <w:rsid w:val="7EDE1D6A"/>
    <w:rsid w:val="7EE5145E"/>
    <w:rsid w:val="7F134F65"/>
    <w:rsid w:val="7F556626"/>
    <w:rsid w:val="7F8715AE"/>
    <w:rsid w:val="7F96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widowControl/>
      <w:spacing w:line="560" w:lineRule="exact"/>
    </w:pPr>
    <w:rPr>
      <w:szCs w:val="32"/>
    </w:rPr>
  </w:style>
  <w:style w:type="paragraph" w:styleId="3">
    <w:name w:val="Normal Indent"/>
    <w:basedOn w:val="1"/>
    <w:unhideWhenUsed/>
    <w:qFormat/>
    <w:uiPriority w:val="99"/>
    <w:pPr>
      <w:ind w:firstLine="420" w:firstLineChars="200"/>
    </w:pPr>
  </w:style>
  <w:style w:type="paragraph" w:styleId="4">
    <w:name w:val="Body Text"/>
    <w:basedOn w:val="1"/>
    <w:next w:val="5"/>
    <w:qFormat/>
    <w:uiPriority w:val="1"/>
    <w:rPr>
      <w:rFonts w:ascii="仿宋_GB2312" w:hAnsi="仿宋_GB2312" w:eastAsia="仿宋_GB2312" w:cs="仿宋_GB2312"/>
      <w:sz w:val="32"/>
      <w:szCs w:val="32"/>
      <w:lang w:val="zh-CN" w:eastAsia="zh-CN" w:bidi="zh-CN"/>
    </w:rPr>
  </w:style>
  <w:style w:type="paragraph" w:customStyle="1" w:styleId="5">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0"/>
    <w:pPr>
      <w:ind w:left="1600" w:leftChars="16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Index9"/>
    <w:basedOn w:val="1"/>
    <w:next w:val="1"/>
    <w:qFormat/>
    <w:uiPriority w:val="0"/>
    <w:pPr>
      <w:ind w:left="1600" w:leftChars="1600"/>
    </w:pPr>
    <w:rPr>
      <w:rFonts w:ascii="Calibri" w:hAnsi="Calibri" w:eastAsia="宋体"/>
    </w:rPr>
  </w:style>
  <w:style w:type="character" w:customStyle="1" w:styleId="13">
    <w:name w:val="font21"/>
    <w:basedOn w:val="11"/>
    <w:qFormat/>
    <w:uiPriority w:val="0"/>
    <w:rPr>
      <w:rFonts w:hint="eastAsia" w:ascii="仿宋_GB2312" w:eastAsia="仿宋_GB2312" w:cs="仿宋_GB2312"/>
      <w:b/>
      <w:color w:val="000000"/>
      <w:sz w:val="28"/>
      <w:szCs w:val="28"/>
      <w:u w:val="none"/>
    </w:rPr>
  </w:style>
  <w:style w:type="character" w:customStyle="1" w:styleId="14">
    <w:name w:val="font31"/>
    <w:basedOn w:val="11"/>
    <w:qFormat/>
    <w:uiPriority w:val="0"/>
    <w:rPr>
      <w:rFonts w:hint="eastAsia" w:ascii="仿宋_GB2312" w:eastAsia="仿宋_GB2312" w:cs="仿宋_GB2312"/>
      <w:color w:val="000000"/>
      <w:sz w:val="28"/>
      <w:szCs w:val="28"/>
      <w:u w:val="none"/>
    </w:rPr>
  </w:style>
  <w:style w:type="character" w:customStyle="1" w:styleId="15">
    <w:name w:val="font41"/>
    <w:basedOn w:val="11"/>
    <w:qFormat/>
    <w:uiPriority w:val="0"/>
    <w:rPr>
      <w:rFonts w:hint="eastAsia" w:ascii="宋体" w:hAnsi="宋体" w:eastAsia="宋体" w:cs="宋体"/>
      <w:color w:val="000000"/>
      <w:sz w:val="24"/>
      <w:szCs w:val="24"/>
      <w:u w:val="none"/>
    </w:rPr>
  </w:style>
  <w:style w:type="character" w:customStyle="1" w:styleId="16">
    <w:name w:val="font51"/>
    <w:basedOn w:val="11"/>
    <w:qFormat/>
    <w:uiPriority w:val="0"/>
    <w:rPr>
      <w:rFonts w:hint="eastAsia" w:ascii="黑体" w:hAnsi="宋体" w:eastAsia="黑体" w:cs="黑体"/>
      <w:color w:val="000000"/>
      <w:sz w:val="22"/>
      <w:szCs w:val="22"/>
      <w:u w:val="none"/>
    </w:rPr>
  </w:style>
  <w:style w:type="character" w:customStyle="1" w:styleId="17">
    <w:name w:val="font11"/>
    <w:basedOn w:val="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7004</Words>
  <Characters>9359</Characters>
  <Lines>0</Lines>
  <Paragraphs>0</Paragraphs>
  <TotalTime>2</TotalTime>
  <ScaleCrop>false</ScaleCrop>
  <LinksUpToDate>false</LinksUpToDate>
  <CharactersWithSpaces>9465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2021-07-28T06:25:00Z</dcterms:created>
  <dc:creator>user</dc:creator>
  <cp:lastModifiedBy>爆米花</cp:lastModifiedBy>
  <cp:lastPrinted>2021-12-02T08:51:00Z</cp:lastPrinted>
  <dcterms:modified xsi:type="dcterms:W3CDTF">2023-06-01T06:28:50Z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570703698_cloud</vt:lpwstr>
  </property>
  <property fmtid="{D5CDD505-2E9C-101B-9397-08002B2CF9AE}" pid="4" name="ICV">
    <vt:lpwstr>D86DC32F6D1641F9AC5F9056CF73B39C_13</vt:lpwstr>
  </property>
</Properties>
</file>