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val="0"/>
        <w:kinsoku/>
        <w:wordWrap/>
        <w:overflowPunct w:val="0"/>
        <w:topLinePunct w:val="0"/>
        <w:autoSpaceDE/>
        <w:autoSpaceDN/>
        <w:bidi w:val="0"/>
        <w:adjustRightInd w:val="0"/>
        <w:snapToGrid w:val="0"/>
        <w:spacing w:line="560" w:lineRule="exact"/>
        <w:jc w:val="center"/>
        <w:textAlignment w:val="auto"/>
        <w:rPr>
          <w:rFonts w:hint="eastAsia" w:ascii="方正小标宋_GBK" w:hAnsi="方正小标宋_GBK" w:eastAsia="方正小标宋_GBK" w:cs="方正小标宋_GBK"/>
          <w:color w:val="auto"/>
          <w:sz w:val="44"/>
          <w:szCs w:val="44"/>
          <w:highlight w:val="none"/>
          <w:u w:val="none"/>
          <w:lang w:val="en-US" w:eastAsia="zh-CN"/>
        </w:rPr>
      </w:pPr>
      <w:r>
        <w:rPr>
          <w:rFonts w:hint="eastAsia" w:ascii="方正小标宋_GBK" w:hAnsi="方正小标宋_GBK" w:eastAsia="方正小标宋_GBK" w:cs="方正小标宋_GBK"/>
          <w:color w:val="auto"/>
          <w:sz w:val="44"/>
          <w:szCs w:val="44"/>
          <w:highlight w:val="none"/>
          <w:u w:val="none"/>
          <w:lang w:val="en-US" w:eastAsia="zh-CN"/>
        </w:rPr>
        <w:t xml:space="preserve"> 密云区1</w:t>
      </w:r>
      <w:r>
        <w:rPr>
          <w:rFonts w:hint="eastAsia" w:ascii="方正小标宋_GBK" w:hAnsi="方正小标宋_GBK" w:eastAsia="方正小标宋_GBK" w:cs="方正小标宋_GBK"/>
          <w:color w:val="auto"/>
          <w:sz w:val="44"/>
          <w:szCs w:val="44"/>
          <w:highlight w:val="none"/>
          <w:u w:val="none"/>
          <w:lang w:eastAsia="zh-CN"/>
        </w:rPr>
        <w:t>月“接诉即办”考核期工作情况分析</w:t>
      </w:r>
    </w:p>
    <w:p>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b w:val="0"/>
          <w:bCs/>
          <w:color w:val="auto"/>
          <w:sz w:val="32"/>
          <w:szCs w:val="32"/>
          <w:highlight w:val="none"/>
          <w:u w:val="none"/>
          <w:lang w:val="en-US" w:eastAsia="zh-CN"/>
        </w:rPr>
      </w:pPr>
    </w:p>
    <w:p>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textAlignment w:val="auto"/>
        <w:outlineLvl w:val="9"/>
        <w:rPr>
          <w:rFonts w:hint="eastAsia" w:ascii="黑体" w:hAnsi="黑体" w:eastAsia="黑体" w:cs="黑体"/>
          <w:b w:val="0"/>
          <w:bCs/>
          <w:color w:val="auto"/>
          <w:sz w:val="32"/>
          <w:szCs w:val="32"/>
          <w:highlight w:val="none"/>
          <w:u w:val="none"/>
          <w:lang w:val="en-US" w:eastAsia="zh-CN"/>
        </w:rPr>
      </w:pPr>
      <w:r>
        <w:rPr>
          <w:rFonts w:hint="eastAsia" w:ascii="黑体" w:hAnsi="黑体" w:eastAsia="黑体" w:cs="黑体"/>
          <w:b w:val="0"/>
          <w:bCs/>
          <w:color w:val="auto"/>
          <w:sz w:val="32"/>
          <w:szCs w:val="32"/>
          <w:highlight w:val="none"/>
          <w:u w:val="none"/>
          <w:lang w:val="en-US" w:eastAsia="zh-CN"/>
        </w:rPr>
        <w:t>一、诉求总量情况</w:t>
      </w:r>
    </w:p>
    <w:p>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b w:val="0"/>
          <w:bCs/>
          <w:color w:val="auto"/>
          <w:sz w:val="32"/>
          <w:szCs w:val="32"/>
          <w:highlight w:val="none"/>
          <w:u w:val="none"/>
          <w:lang w:val="en-US" w:eastAsia="zh-CN"/>
        </w:rPr>
      </w:pPr>
      <w:r>
        <w:rPr>
          <w:rFonts w:hint="eastAsia" w:ascii="仿宋_GB2312" w:hAnsi="仿宋_GB2312" w:eastAsia="仿宋_GB2312" w:cs="仿宋_GB2312"/>
          <w:b w:val="0"/>
          <w:bCs/>
          <w:color w:val="auto"/>
          <w:sz w:val="32"/>
          <w:szCs w:val="32"/>
          <w:highlight w:val="none"/>
          <w:u w:val="none"/>
          <w:lang w:val="en-US" w:eastAsia="zh-CN"/>
        </w:rPr>
        <w:t>2021年12月19日0时至2022年1月19日0时，我区共受理“12345”市民服务热线群众诉求</w:t>
      </w:r>
      <w:r>
        <w:rPr>
          <w:rFonts w:hint="eastAsia" w:ascii="仿宋_GB2312" w:hAnsi="仿宋_GB2312" w:eastAsia="仿宋_GB2312" w:cs="仿宋_GB2312"/>
          <w:b/>
          <w:bCs w:val="0"/>
          <w:color w:val="auto"/>
          <w:sz w:val="32"/>
          <w:szCs w:val="32"/>
          <w:highlight w:val="none"/>
          <w:u w:val="none"/>
          <w:lang w:val="en-US" w:eastAsia="zh-CN"/>
        </w:rPr>
        <w:t>17905件</w:t>
      </w:r>
      <w:r>
        <w:rPr>
          <w:rFonts w:hint="eastAsia" w:ascii="仿宋_GB2312" w:hAnsi="仿宋_GB2312" w:eastAsia="仿宋_GB2312" w:cs="仿宋_GB2312"/>
          <w:b w:val="0"/>
          <w:bCs/>
          <w:color w:val="auto"/>
          <w:sz w:val="32"/>
          <w:szCs w:val="32"/>
          <w:highlight w:val="none"/>
          <w:u w:val="none"/>
          <w:lang w:val="en-US" w:eastAsia="zh-CN"/>
        </w:rPr>
        <w:t>，</w:t>
      </w:r>
      <w:r>
        <w:rPr>
          <w:rFonts w:hint="eastAsia" w:ascii="仿宋_GB2312" w:hAnsi="仿宋_GB2312" w:eastAsia="仿宋_GB2312" w:cs="仿宋_GB2312"/>
          <w:b w:val="0"/>
          <w:bCs/>
          <w:color w:val="000000" w:themeColor="text1"/>
          <w:sz w:val="32"/>
          <w:szCs w:val="32"/>
          <w:highlight w:val="none"/>
          <w:u w:val="none"/>
          <w:lang w:val="en-US" w:eastAsia="zh-CN"/>
          <w14:textFill>
            <w14:solidFill>
              <w14:schemeClr w14:val="tx1"/>
            </w14:solidFill>
          </w14:textFill>
        </w:rPr>
        <w:t>环比</w:t>
      </w:r>
      <w:r>
        <w:rPr>
          <w:rFonts w:hint="eastAsia" w:ascii="仿宋_GB2312" w:hAnsi="仿宋_GB2312" w:eastAsia="仿宋_GB2312" w:cs="仿宋_GB2312"/>
          <w:b w:val="0"/>
          <w:bCs/>
          <w:color w:val="auto"/>
          <w:sz w:val="32"/>
          <w:szCs w:val="32"/>
          <w:highlight w:val="none"/>
          <w:u w:val="none"/>
          <w:lang w:val="en-US" w:eastAsia="zh-CN"/>
        </w:rPr>
        <w:t>上升</w:t>
      </w:r>
      <w:r>
        <w:rPr>
          <w:rFonts w:hint="eastAsia" w:ascii="仿宋_GB2312" w:hAnsi="仿宋_GB2312" w:eastAsia="仿宋_GB2312" w:cs="仿宋_GB2312"/>
          <w:b/>
          <w:bCs w:val="0"/>
          <w:color w:val="000000" w:themeColor="text1"/>
          <w:sz w:val="32"/>
          <w:szCs w:val="32"/>
          <w:highlight w:val="none"/>
          <w:u w:val="none"/>
          <w:lang w:val="en-US" w:eastAsia="zh-CN"/>
          <w14:textFill>
            <w14:solidFill>
              <w14:schemeClr w14:val="tx1"/>
            </w14:solidFill>
          </w14:textFill>
        </w:rPr>
        <w:t>9.26%</w:t>
      </w:r>
      <w:r>
        <w:rPr>
          <w:rFonts w:hint="eastAsia" w:ascii="仿宋_GB2312" w:hAnsi="仿宋_GB2312" w:eastAsia="仿宋_GB2312" w:cs="仿宋_GB2312"/>
          <w:b w:val="0"/>
          <w:bCs/>
          <w:color w:val="auto"/>
          <w:sz w:val="32"/>
          <w:szCs w:val="32"/>
          <w:highlight w:val="none"/>
          <w:u w:val="none"/>
          <w:lang w:val="en-US" w:eastAsia="zh-CN"/>
        </w:rPr>
        <w:t>。</w:t>
      </w:r>
    </w:p>
    <w:p>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textAlignment w:val="auto"/>
        <w:outlineLvl w:val="9"/>
        <w:rPr>
          <w:rFonts w:hint="eastAsia" w:ascii="黑体" w:hAnsi="黑体" w:eastAsia="黑体" w:cs="黑体"/>
          <w:b w:val="0"/>
          <w:bCs/>
          <w:color w:val="auto"/>
          <w:sz w:val="32"/>
          <w:szCs w:val="32"/>
          <w:highlight w:val="none"/>
          <w:u w:val="none"/>
          <w:lang w:val="en-US" w:eastAsia="zh-CN"/>
        </w:rPr>
      </w:pPr>
      <w:r>
        <w:rPr>
          <w:rFonts w:hint="eastAsia" w:ascii="黑体" w:hAnsi="黑体" w:eastAsia="黑体" w:cs="黑体"/>
          <w:b w:val="0"/>
          <w:bCs/>
          <w:color w:val="auto"/>
          <w:sz w:val="32"/>
          <w:szCs w:val="32"/>
          <w:highlight w:val="none"/>
          <w:u w:val="none"/>
          <w:lang w:val="en-US" w:eastAsia="zh-CN"/>
        </w:rPr>
        <w:t>二、诉求办理情况</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bCs/>
          <w:color w:val="auto"/>
          <w:spacing w:val="0"/>
          <w:sz w:val="32"/>
          <w:szCs w:val="32"/>
          <w:highlight w:val="none"/>
          <w:u w:val="none"/>
          <w:lang w:val="en-US" w:eastAsia="zh-CN"/>
        </w:rPr>
      </w:pPr>
      <w:r>
        <w:rPr>
          <w:rFonts w:hint="eastAsia" w:ascii="仿宋_GB2312" w:hAnsi="仿宋_GB2312" w:eastAsia="仿宋_GB2312" w:cs="仿宋_GB2312"/>
          <w:b w:val="0"/>
          <w:bCs/>
          <w:color w:val="auto"/>
          <w:spacing w:val="0"/>
          <w:sz w:val="32"/>
          <w:szCs w:val="32"/>
          <w:highlight w:val="none"/>
          <w:u w:val="none"/>
          <w:lang w:val="en-US" w:eastAsia="zh-CN"/>
        </w:rPr>
        <w:t>本月纳入市级考评工单</w:t>
      </w:r>
      <w:r>
        <w:rPr>
          <w:rFonts w:hint="eastAsia" w:ascii="仿宋_GB2312" w:hAnsi="仿宋_GB2312" w:eastAsia="仿宋_GB2312" w:cs="仿宋_GB2312"/>
          <w:b/>
          <w:bCs w:val="0"/>
          <w:color w:val="auto"/>
          <w:spacing w:val="0"/>
          <w:sz w:val="32"/>
          <w:szCs w:val="32"/>
          <w:highlight w:val="none"/>
          <w:u w:val="none"/>
          <w:lang w:val="en-US" w:eastAsia="zh-CN"/>
        </w:rPr>
        <w:t>7793件</w:t>
      </w:r>
      <w:r>
        <w:rPr>
          <w:rFonts w:hint="eastAsia" w:ascii="仿宋_GB2312" w:hAnsi="仿宋_GB2312" w:eastAsia="仿宋_GB2312" w:cs="仿宋_GB2312"/>
          <w:b w:val="0"/>
          <w:bCs/>
          <w:color w:val="auto"/>
          <w:spacing w:val="0"/>
          <w:sz w:val="32"/>
          <w:szCs w:val="32"/>
          <w:highlight w:val="none"/>
          <w:u w:val="none"/>
          <w:lang w:val="en-US" w:eastAsia="zh-CN"/>
        </w:rPr>
        <w:t>，其中，</w:t>
      </w:r>
      <w:r>
        <w:rPr>
          <w:rFonts w:hint="eastAsia" w:ascii="仿宋_GB2312" w:hAnsi="仿宋_GB2312" w:eastAsia="仿宋_GB2312" w:cs="仿宋_GB2312"/>
          <w:b/>
          <w:bCs w:val="0"/>
          <w:color w:val="auto"/>
          <w:spacing w:val="0"/>
          <w:sz w:val="32"/>
          <w:szCs w:val="32"/>
          <w:highlight w:val="none"/>
          <w:u w:val="none"/>
          <w:lang w:val="en-US" w:eastAsia="zh-CN"/>
        </w:rPr>
        <w:t>“只考核响应率”工单1201件，“考核三率”工单6592件</w:t>
      </w:r>
      <w:r>
        <w:rPr>
          <w:rFonts w:hint="eastAsia" w:ascii="仿宋_GB2312" w:hAnsi="仿宋_GB2312" w:eastAsia="仿宋_GB2312" w:cs="仿宋_GB2312"/>
          <w:b w:val="0"/>
          <w:bCs/>
          <w:color w:val="auto"/>
          <w:spacing w:val="0"/>
          <w:sz w:val="32"/>
          <w:szCs w:val="32"/>
          <w:highlight w:val="none"/>
          <w:u w:val="none"/>
          <w:lang w:val="en-US" w:eastAsia="zh-CN"/>
        </w:rPr>
        <w:t>。“考核三率”工单中“双满工单”6105件，“双否工单”243件，“单否工单”244件。市级考评成绩为：响应率</w:t>
      </w:r>
      <w:r>
        <w:rPr>
          <w:rFonts w:hint="default" w:ascii="仿宋_GB2312" w:hAnsi="仿宋_GB2312" w:eastAsia="仿宋_GB2312" w:cs="仿宋_GB2312"/>
          <w:b w:val="0"/>
          <w:bCs/>
          <w:color w:val="auto"/>
          <w:spacing w:val="0"/>
          <w:sz w:val="32"/>
          <w:szCs w:val="32"/>
          <w:highlight w:val="none"/>
          <w:u w:val="none"/>
          <w:lang w:val="en-US" w:eastAsia="zh-CN"/>
        </w:rPr>
        <w:t>98.18%</w:t>
      </w:r>
      <w:r>
        <w:rPr>
          <w:rFonts w:hint="eastAsia" w:ascii="仿宋_GB2312" w:hAnsi="仿宋_GB2312" w:eastAsia="仿宋_GB2312" w:cs="仿宋_GB2312"/>
          <w:b w:val="0"/>
          <w:bCs/>
          <w:color w:val="auto"/>
          <w:spacing w:val="0"/>
          <w:sz w:val="32"/>
          <w:szCs w:val="32"/>
          <w:highlight w:val="none"/>
          <w:u w:val="none"/>
          <w:lang w:val="en-US" w:eastAsia="zh-CN"/>
        </w:rPr>
        <w:t>、解决率</w:t>
      </w:r>
      <w:r>
        <w:rPr>
          <w:rFonts w:hint="default" w:ascii="仿宋_GB2312" w:hAnsi="仿宋_GB2312" w:eastAsia="仿宋_GB2312" w:cs="仿宋_GB2312"/>
          <w:b w:val="0"/>
          <w:bCs/>
          <w:color w:val="auto"/>
          <w:spacing w:val="0"/>
          <w:sz w:val="32"/>
          <w:szCs w:val="32"/>
          <w:highlight w:val="none"/>
          <w:u w:val="none"/>
          <w:lang w:val="en-US" w:eastAsia="zh-CN"/>
        </w:rPr>
        <w:t>91.69%</w:t>
      </w:r>
      <w:r>
        <w:rPr>
          <w:rFonts w:hint="eastAsia" w:ascii="仿宋_GB2312" w:hAnsi="仿宋_GB2312" w:eastAsia="仿宋_GB2312" w:cs="仿宋_GB2312"/>
          <w:b w:val="0"/>
          <w:bCs/>
          <w:color w:val="auto"/>
          <w:spacing w:val="0"/>
          <w:sz w:val="32"/>
          <w:szCs w:val="32"/>
          <w:highlight w:val="none"/>
          <w:u w:val="none"/>
          <w:lang w:val="en-US" w:eastAsia="zh-CN"/>
        </w:rPr>
        <w:t>、满意率</w:t>
      </w:r>
      <w:r>
        <w:rPr>
          <w:rFonts w:hint="default" w:ascii="仿宋_GB2312" w:hAnsi="仿宋_GB2312" w:eastAsia="仿宋_GB2312" w:cs="仿宋_GB2312"/>
          <w:b w:val="0"/>
          <w:bCs/>
          <w:color w:val="auto"/>
          <w:spacing w:val="0"/>
          <w:sz w:val="32"/>
          <w:szCs w:val="32"/>
          <w:highlight w:val="none"/>
          <w:u w:val="none"/>
          <w:lang w:val="en-US" w:eastAsia="zh-CN"/>
        </w:rPr>
        <w:t>94.93%</w:t>
      </w:r>
      <w:r>
        <w:rPr>
          <w:rFonts w:hint="eastAsia" w:ascii="仿宋_GB2312" w:hAnsi="仿宋_GB2312" w:eastAsia="仿宋_GB2312" w:cs="仿宋_GB2312"/>
          <w:b w:val="0"/>
          <w:bCs/>
          <w:color w:val="auto"/>
          <w:spacing w:val="0"/>
          <w:sz w:val="32"/>
          <w:szCs w:val="32"/>
          <w:highlight w:val="none"/>
          <w:u w:val="none"/>
          <w:lang w:val="en-US" w:eastAsia="zh-CN"/>
        </w:rPr>
        <w:t>，加分项0.25分，综合成绩</w:t>
      </w:r>
      <w:r>
        <w:rPr>
          <w:rFonts w:hint="default" w:ascii="仿宋_GB2312" w:hAnsi="仿宋_GB2312" w:eastAsia="仿宋_GB2312" w:cs="仿宋_GB2312"/>
          <w:b w:val="0"/>
          <w:bCs/>
          <w:color w:val="auto"/>
          <w:spacing w:val="0"/>
          <w:sz w:val="32"/>
          <w:szCs w:val="32"/>
          <w:highlight w:val="none"/>
          <w:u w:val="none"/>
          <w:lang w:val="en-US" w:eastAsia="zh-CN"/>
        </w:rPr>
        <w:t>94.53</w:t>
      </w:r>
      <w:r>
        <w:rPr>
          <w:rFonts w:hint="eastAsia" w:ascii="仿宋_GB2312" w:hAnsi="仿宋_GB2312" w:eastAsia="仿宋_GB2312" w:cs="仿宋_GB2312"/>
          <w:b w:val="0"/>
          <w:bCs/>
          <w:color w:val="auto"/>
          <w:spacing w:val="0"/>
          <w:sz w:val="32"/>
          <w:szCs w:val="32"/>
          <w:highlight w:val="none"/>
          <w:u w:val="none"/>
          <w:lang w:val="en-US" w:eastAsia="zh-CN"/>
        </w:rPr>
        <w:t>分，排名十六区第6位。</w:t>
      </w:r>
    </w:p>
    <w:p>
      <w:pPr>
        <w:pStyle w:val="7"/>
        <w:keepNext w:val="0"/>
        <w:keepLines w:val="0"/>
        <w:pageBreakBefore w:val="0"/>
        <w:kinsoku/>
        <w:wordWrap/>
        <w:topLinePunct w:val="0"/>
        <w:autoSpaceDE/>
        <w:autoSpaceDN/>
        <w:bidi w:val="0"/>
        <w:spacing w:line="560" w:lineRule="exact"/>
        <w:ind w:left="0" w:leftChars="0" w:firstLine="640" w:firstLineChars="0"/>
        <w:textAlignment w:val="auto"/>
        <w:rPr>
          <w:rFonts w:hint="eastAsia" w:ascii="仿宋_GB2312" w:hAnsi="仿宋_GB2312" w:eastAsia="仿宋_GB2312" w:cs="仿宋_GB2312"/>
          <w:b w:val="0"/>
          <w:bCs/>
          <w:color w:val="auto"/>
          <w:spacing w:val="0"/>
          <w:sz w:val="32"/>
          <w:szCs w:val="32"/>
          <w:highlight w:val="none"/>
          <w:u w:val="none"/>
          <w:lang w:val="en-US" w:eastAsia="zh-CN"/>
        </w:rPr>
      </w:pPr>
      <w:r>
        <w:rPr>
          <w:rFonts w:hint="eastAsia" w:ascii="仿宋_GB2312" w:hAnsi="仿宋_GB2312" w:eastAsia="仿宋_GB2312" w:cs="仿宋_GB2312"/>
          <w:b/>
          <w:bCs w:val="0"/>
          <w:color w:val="auto"/>
          <w:spacing w:val="0"/>
          <w:sz w:val="32"/>
          <w:szCs w:val="32"/>
          <w:highlight w:val="none"/>
          <w:u w:val="none"/>
          <w:lang w:val="en-US" w:eastAsia="zh-CN"/>
        </w:rPr>
        <w:t>镇街成绩：</w:t>
      </w:r>
      <w:r>
        <w:rPr>
          <w:rFonts w:hint="eastAsia" w:ascii="仿宋_GB2312" w:hAnsi="仿宋_GB2312" w:eastAsia="仿宋_GB2312" w:cs="仿宋_GB2312"/>
          <w:b w:val="0"/>
          <w:bCs/>
          <w:color w:val="auto"/>
          <w:spacing w:val="0"/>
          <w:sz w:val="32"/>
          <w:szCs w:val="32"/>
          <w:highlight w:val="none"/>
          <w:u w:val="none"/>
          <w:lang w:val="en-US" w:eastAsia="zh-CN"/>
        </w:rPr>
        <w:t>全区镇街直派综合成绩96.75分，</w:t>
      </w:r>
      <w:r>
        <w:rPr>
          <w:rFonts w:hint="eastAsia" w:ascii="仿宋_GB2312" w:hAnsi="仿宋_GB2312" w:eastAsia="仿宋_GB2312" w:cs="仿宋_GB2312"/>
          <w:b/>
          <w:bCs w:val="0"/>
          <w:color w:val="auto"/>
          <w:spacing w:val="0"/>
          <w:sz w:val="32"/>
          <w:szCs w:val="32"/>
          <w:highlight w:val="none"/>
          <w:u w:val="none"/>
          <w:lang w:val="en-US" w:eastAsia="zh-CN"/>
        </w:rPr>
        <w:t>高于</w:t>
      </w:r>
      <w:r>
        <w:rPr>
          <w:rFonts w:hint="eastAsia" w:ascii="仿宋_GB2312" w:hAnsi="仿宋_GB2312" w:eastAsia="仿宋_GB2312" w:cs="仿宋_GB2312"/>
          <w:b w:val="0"/>
          <w:bCs/>
          <w:color w:val="auto"/>
          <w:spacing w:val="0"/>
          <w:sz w:val="32"/>
          <w:szCs w:val="32"/>
          <w:highlight w:val="none"/>
          <w:u w:val="none"/>
          <w:lang w:val="en-US" w:eastAsia="zh-CN"/>
        </w:rPr>
        <w:t>全市街乡镇平均水平（96.48分）</w:t>
      </w:r>
      <w:r>
        <w:rPr>
          <w:rFonts w:hint="eastAsia" w:ascii="仿宋_GB2312" w:hAnsi="仿宋_GB2312" w:eastAsia="仿宋_GB2312" w:cs="仿宋_GB2312"/>
          <w:b/>
          <w:bCs w:val="0"/>
          <w:color w:val="auto"/>
          <w:spacing w:val="0"/>
          <w:sz w:val="32"/>
          <w:szCs w:val="32"/>
          <w:highlight w:val="none"/>
          <w:u w:val="none"/>
          <w:lang w:val="en-US" w:eastAsia="zh-CN"/>
        </w:rPr>
        <w:t>0.27分</w:t>
      </w:r>
      <w:r>
        <w:rPr>
          <w:rFonts w:hint="eastAsia" w:ascii="仿宋_GB2312" w:hAnsi="仿宋_GB2312" w:eastAsia="仿宋_GB2312" w:cs="仿宋_GB2312"/>
          <w:b w:val="0"/>
          <w:bCs/>
          <w:color w:val="auto"/>
          <w:spacing w:val="0"/>
          <w:sz w:val="32"/>
          <w:szCs w:val="32"/>
          <w:highlight w:val="none"/>
          <w:u w:val="none"/>
          <w:lang w:val="en-US" w:eastAsia="zh-CN"/>
        </w:rPr>
        <w:t>。</w:t>
      </w:r>
    </w:p>
    <w:p>
      <w:pPr>
        <w:keepNext w:val="0"/>
        <w:keepLines w:val="0"/>
        <w:pageBreakBefore w:val="0"/>
        <w:kinsoku/>
        <w:wordWrap/>
        <w:topLinePunct w:val="0"/>
        <w:autoSpaceDE/>
        <w:autoSpaceDN/>
        <w:bidi w:val="0"/>
        <w:spacing w:line="560" w:lineRule="exact"/>
        <w:ind w:firstLine="640"/>
        <w:textAlignment w:val="auto"/>
        <w:rPr>
          <w:rFonts w:hint="eastAsia" w:ascii="仿宋_GB2312" w:hAnsi="仿宋_GB2312" w:eastAsia="仿宋_GB2312" w:cs="仿宋_GB2312"/>
          <w:b w:val="0"/>
          <w:bCs/>
          <w:color w:val="auto"/>
          <w:spacing w:val="0"/>
          <w:kern w:val="2"/>
          <w:sz w:val="32"/>
          <w:szCs w:val="32"/>
          <w:highlight w:val="none"/>
          <w:u w:val="none"/>
          <w:lang w:val="en-US" w:eastAsia="zh-CN" w:bidi="ar-SA"/>
        </w:rPr>
      </w:pPr>
      <w:r>
        <w:rPr>
          <w:rFonts w:hint="eastAsia" w:ascii="仿宋_GB2312" w:hAnsi="仿宋_GB2312" w:eastAsia="仿宋_GB2312" w:cs="仿宋_GB2312"/>
          <w:b/>
          <w:bCs w:val="0"/>
          <w:color w:val="auto"/>
          <w:spacing w:val="0"/>
          <w:kern w:val="2"/>
          <w:sz w:val="32"/>
          <w:szCs w:val="32"/>
          <w:highlight w:val="none"/>
          <w:u w:val="none"/>
          <w:lang w:val="en-US" w:eastAsia="zh-CN" w:bidi="ar-SA"/>
        </w:rPr>
        <w:t>部门成绩：</w:t>
      </w:r>
      <w:r>
        <w:rPr>
          <w:rFonts w:hint="eastAsia" w:ascii="仿宋_GB2312" w:hAnsi="仿宋_GB2312" w:eastAsia="仿宋_GB2312" w:cs="仿宋_GB2312"/>
          <w:b w:val="0"/>
          <w:bCs/>
          <w:color w:val="auto"/>
          <w:spacing w:val="0"/>
          <w:kern w:val="2"/>
          <w:sz w:val="32"/>
          <w:szCs w:val="32"/>
          <w:highlight w:val="none"/>
          <w:u w:val="none"/>
          <w:lang w:val="en-US" w:eastAsia="zh-CN" w:bidi="ar-SA"/>
        </w:rPr>
        <w:t>全区部门综合成绩93.87分，</w:t>
      </w:r>
      <w:r>
        <w:rPr>
          <w:rFonts w:hint="eastAsia" w:ascii="仿宋_GB2312" w:hAnsi="仿宋_GB2312" w:eastAsia="仿宋_GB2312" w:cs="仿宋_GB2312"/>
          <w:b/>
          <w:bCs w:val="0"/>
          <w:color w:val="auto"/>
          <w:spacing w:val="0"/>
          <w:kern w:val="2"/>
          <w:sz w:val="32"/>
          <w:szCs w:val="32"/>
          <w:highlight w:val="none"/>
          <w:u w:val="none"/>
          <w:lang w:val="en-US" w:eastAsia="zh-CN" w:bidi="ar-SA"/>
        </w:rPr>
        <w:t>低于</w:t>
      </w:r>
      <w:r>
        <w:rPr>
          <w:rFonts w:hint="eastAsia" w:ascii="仿宋_GB2312" w:hAnsi="仿宋_GB2312" w:eastAsia="仿宋_GB2312" w:cs="仿宋_GB2312"/>
          <w:b w:val="0"/>
          <w:bCs/>
          <w:color w:val="auto"/>
          <w:spacing w:val="0"/>
          <w:kern w:val="2"/>
          <w:sz w:val="32"/>
          <w:szCs w:val="32"/>
          <w:highlight w:val="none"/>
          <w:u w:val="none"/>
          <w:lang w:val="en-US" w:eastAsia="zh-CN" w:bidi="ar-SA"/>
        </w:rPr>
        <w:t>全市各部门平均水平（94.97分）</w:t>
      </w:r>
      <w:r>
        <w:rPr>
          <w:rFonts w:hint="eastAsia" w:ascii="仿宋_GB2312" w:hAnsi="仿宋_GB2312" w:eastAsia="仿宋_GB2312" w:cs="仿宋_GB2312"/>
          <w:b/>
          <w:bCs w:val="0"/>
          <w:color w:val="auto"/>
          <w:spacing w:val="0"/>
          <w:kern w:val="2"/>
          <w:sz w:val="32"/>
          <w:szCs w:val="32"/>
          <w:highlight w:val="none"/>
          <w:u w:val="none"/>
          <w:lang w:val="en-US" w:eastAsia="zh-CN" w:bidi="ar-SA"/>
        </w:rPr>
        <w:t>1.10分</w:t>
      </w:r>
      <w:r>
        <w:rPr>
          <w:rFonts w:hint="eastAsia" w:ascii="仿宋_GB2312" w:hAnsi="仿宋_GB2312" w:eastAsia="仿宋_GB2312" w:cs="仿宋_GB2312"/>
          <w:b w:val="0"/>
          <w:bCs/>
          <w:color w:val="auto"/>
          <w:spacing w:val="0"/>
          <w:kern w:val="2"/>
          <w:sz w:val="32"/>
          <w:szCs w:val="32"/>
          <w:highlight w:val="none"/>
          <w:u w:val="none"/>
          <w:lang w:val="en-US" w:eastAsia="zh-CN" w:bidi="ar-SA"/>
        </w:rPr>
        <w:t>。</w:t>
      </w:r>
    </w:p>
    <w:p>
      <w:pPr>
        <w:pStyle w:val="7"/>
        <w:ind w:left="0" w:leftChars="0" w:firstLine="0" w:firstLineChars="0"/>
        <w:rPr>
          <w:rFonts w:hint="eastAsia" w:ascii="楷体_GB2312" w:hAnsi="楷体_GB2312" w:eastAsia="楷体_GB2312" w:cs="楷体_GB2312"/>
          <w:b w:val="0"/>
          <w:bCs/>
          <w:color w:val="auto"/>
          <w:sz w:val="32"/>
          <w:szCs w:val="32"/>
          <w:highlight w:val="none"/>
          <w:u w:val="none"/>
          <w:lang w:val="en-US" w:eastAsia="zh-CN"/>
        </w:rPr>
      </w:pPr>
      <w:r>
        <w:rPr>
          <w:rFonts w:hint="eastAsia" w:ascii="楷体_GB2312" w:hAnsi="楷体_GB2312" w:eastAsia="楷体_GB2312" w:cs="楷体_GB2312"/>
          <w:b w:val="0"/>
          <w:bCs/>
          <w:color w:val="auto"/>
          <w:sz w:val="32"/>
          <w:szCs w:val="32"/>
          <w:highlight w:val="none"/>
          <w:u w:val="none"/>
          <w:lang w:val="en-US" w:eastAsia="zh-CN"/>
        </w:rPr>
        <w:t>表1：市级考评各镇街群众诉求办理情况统计表（直派）</w:t>
      </w:r>
    </w:p>
    <w:tbl>
      <w:tblPr>
        <w:tblStyle w:val="9"/>
        <w:tblW w:w="8870" w:type="dxa"/>
        <w:tblInd w:w="0" w:type="dxa"/>
        <w:shd w:val="clear" w:color="auto" w:fill="auto"/>
        <w:tblLayout w:type="fixed"/>
        <w:tblCellMar>
          <w:top w:w="0" w:type="dxa"/>
          <w:left w:w="0" w:type="dxa"/>
          <w:bottom w:w="0" w:type="dxa"/>
          <w:right w:w="0" w:type="dxa"/>
        </w:tblCellMar>
      </w:tblPr>
      <w:tblGrid>
        <w:gridCol w:w="480"/>
        <w:gridCol w:w="1557"/>
        <w:gridCol w:w="959"/>
        <w:gridCol w:w="969"/>
        <w:gridCol w:w="969"/>
        <w:gridCol w:w="1127"/>
        <w:gridCol w:w="2809"/>
      </w:tblGrid>
      <w:tr>
        <w:tblPrEx>
          <w:shd w:val="clear" w:color="auto" w:fill="auto"/>
          <w:tblLayout w:type="fixed"/>
          <w:tblCellMar>
            <w:top w:w="0" w:type="dxa"/>
            <w:left w:w="0" w:type="dxa"/>
            <w:bottom w:w="0" w:type="dxa"/>
            <w:right w:w="0" w:type="dxa"/>
          </w:tblCellMar>
        </w:tblPrEx>
        <w:trPr>
          <w:trHeight w:val="540"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排名</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镇  街</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color w:val="000000"/>
                <w:kern w:val="0"/>
                <w:sz w:val="24"/>
                <w:szCs w:val="24"/>
                <w:u w:val="none"/>
                <w:lang w:val="en-US" w:eastAsia="zh-CN" w:bidi="ar"/>
              </w:rPr>
              <w:t>纳入</w:t>
            </w:r>
          </w:p>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考评</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响应率</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解决率</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满意率</w:t>
            </w:r>
          </w:p>
        </w:tc>
        <w:tc>
          <w:tcPr>
            <w:tcW w:w="2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color w:val="000000"/>
                <w:kern w:val="0"/>
                <w:sz w:val="24"/>
                <w:szCs w:val="24"/>
                <w:u w:val="none"/>
                <w:lang w:val="en-US" w:eastAsia="zh-CN" w:bidi="ar"/>
              </w:rPr>
              <w:t>综合</w:t>
            </w:r>
          </w:p>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成绩</w:t>
            </w:r>
          </w:p>
        </w:tc>
      </w:tr>
      <w:tr>
        <w:tblPrEx>
          <w:tblLayout w:type="fixed"/>
          <w:tblCellMar>
            <w:top w:w="0" w:type="dxa"/>
            <w:left w:w="0" w:type="dxa"/>
            <w:bottom w:w="0" w:type="dxa"/>
            <w:right w:w="0" w:type="dxa"/>
          </w:tblCellMar>
        </w:tblPrEx>
        <w:trPr>
          <w:trHeight w:val="397"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石城镇</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114</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99.34%</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99.12%</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2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99.52 </w:t>
            </w:r>
          </w:p>
        </w:tc>
      </w:tr>
      <w:tr>
        <w:tblPrEx>
          <w:tblLayout w:type="fixed"/>
          <w:tblCellMar>
            <w:top w:w="0" w:type="dxa"/>
            <w:left w:w="0" w:type="dxa"/>
            <w:bottom w:w="0" w:type="dxa"/>
            <w:right w:w="0" w:type="dxa"/>
          </w:tblCellMar>
        </w:tblPrEx>
        <w:trPr>
          <w:trHeight w:val="397"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密云镇</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177</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99.59%</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98.87%</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99.32%</w:t>
            </w:r>
          </w:p>
        </w:tc>
        <w:tc>
          <w:tcPr>
            <w:tcW w:w="2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99.20 </w:t>
            </w:r>
          </w:p>
        </w:tc>
      </w:tr>
      <w:tr>
        <w:tblPrEx>
          <w:tblLayout w:type="fixed"/>
          <w:tblCellMar>
            <w:top w:w="0" w:type="dxa"/>
            <w:left w:w="0" w:type="dxa"/>
            <w:bottom w:w="0" w:type="dxa"/>
            <w:right w:w="0" w:type="dxa"/>
          </w:tblCellMar>
        </w:tblPrEx>
        <w:trPr>
          <w:trHeight w:val="397"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古北口镇</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84</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98.32%</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97.62%</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98.57%</w:t>
            </w:r>
          </w:p>
        </w:tc>
        <w:tc>
          <w:tcPr>
            <w:tcW w:w="2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98.14 </w:t>
            </w:r>
          </w:p>
        </w:tc>
      </w:tr>
      <w:tr>
        <w:tblPrEx>
          <w:tblLayout w:type="fixed"/>
          <w:tblCellMar>
            <w:top w:w="0" w:type="dxa"/>
            <w:left w:w="0" w:type="dxa"/>
            <w:bottom w:w="0" w:type="dxa"/>
            <w:right w:w="0" w:type="dxa"/>
          </w:tblCellMar>
        </w:tblPrEx>
        <w:trPr>
          <w:trHeight w:val="397"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巨各庄镇</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379</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96.83%</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97.78%</w:t>
            </w:r>
          </w:p>
        </w:tc>
        <w:tc>
          <w:tcPr>
            <w:tcW w:w="2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97.85 </w:t>
            </w:r>
          </w:p>
        </w:tc>
      </w:tr>
      <w:tr>
        <w:tblPrEx>
          <w:tblLayout w:type="fixed"/>
          <w:tblCellMar>
            <w:top w:w="0" w:type="dxa"/>
            <w:left w:w="0" w:type="dxa"/>
            <w:bottom w:w="0" w:type="dxa"/>
            <w:right w:w="0" w:type="dxa"/>
          </w:tblCellMar>
        </w:tblPrEx>
        <w:trPr>
          <w:trHeight w:val="397"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十里堡镇</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224</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99.68%</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97.77%</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96.96%</w:t>
            </w:r>
          </w:p>
        </w:tc>
        <w:tc>
          <w:tcPr>
            <w:tcW w:w="2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97.83 </w:t>
            </w:r>
          </w:p>
        </w:tc>
      </w:tr>
      <w:tr>
        <w:tblPrEx>
          <w:tblLayout w:type="fixed"/>
          <w:tblCellMar>
            <w:top w:w="0" w:type="dxa"/>
            <w:left w:w="0" w:type="dxa"/>
            <w:bottom w:w="0" w:type="dxa"/>
            <w:right w:w="0" w:type="dxa"/>
          </w:tblCellMar>
        </w:tblPrEx>
        <w:trPr>
          <w:trHeight w:val="397"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黑体" w:hAnsi="宋体" w:eastAsia="黑体" w:cs="黑体"/>
                <w:i w:val="0"/>
                <w:color w:val="000000"/>
                <w:kern w:val="2"/>
                <w:sz w:val="24"/>
                <w:szCs w:val="24"/>
                <w:u w:val="none"/>
                <w:lang w:val="en-US" w:eastAsia="zh-CN" w:bidi="ar-SA"/>
              </w:rPr>
            </w:pPr>
            <w:r>
              <w:rPr>
                <w:rFonts w:hint="eastAsia" w:ascii="黑体" w:hAnsi="宋体" w:eastAsia="黑体" w:cs="黑体"/>
                <w:i w:val="0"/>
                <w:color w:val="000000"/>
                <w:kern w:val="0"/>
                <w:sz w:val="24"/>
                <w:szCs w:val="24"/>
                <w:u w:val="none"/>
                <w:lang w:val="en-US" w:eastAsia="zh-CN" w:bidi="ar"/>
              </w:rPr>
              <w:t>排名</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2"/>
                <w:sz w:val="24"/>
                <w:szCs w:val="24"/>
                <w:u w:val="none"/>
                <w:lang w:val="en-US" w:eastAsia="zh-CN" w:bidi="ar-SA"/>
              </w:rPr>
            </w:pPr>
            <w:r>
              <w:rPr>
                <w:rFonts w:hint="eastAsia" w:ascii="黑体" w:hAnsi="宋体" w:eastAsia="黑体" w:cs="黑体"/>
                <w:i w:val="0"/>
                <w:color w:val="000000"/>
                <w:kern w:val="0"/>
                <w:sz w:val="24"/>
                <w:szCs w:val="24"/>
                <w:u w:val="none"/>
                <w:lang w:val="en-US" w:eastAsia="zh-CN" w:bidi="ar"/>
              </w:rPr>
              <w:t>镇  街</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color w:val="000000"/>
                <w:kern w:val="0"/>
                <w:sz w:val="24"/>
                <w:szCs w:val="24"/>
                <w:u w:val="none"/>
                <w:lang w:val="en-US" w:eastAsia="zh-CN" w:bidi="ar"/>
              </w:rPr>
              <w:t>纳入</w:t>
            </w:r>
          </w:p>
          <w:p>
            <w:pPr>
              <w:keepNext w:val="0"/>
              <w:keepLines w:val="0"/>
              <w:widowControl/>
              <w:suppressLineNumbers w:val="0"/>
              <w:jc w:val="center"/>
              <w:textAlignment w:val="center"/>
              <w:rPr>
                <w:rFonts w:hint="default" w:ascii="黑体" w:hAnsi="宋体" w:eastAsia="黑体" w:cs="黑体"/>
                <w:i w:val="0"/>
                <w:color w:val="000000"/>
                <w:kern w:val="2"/>
                <w:sz w:val="24"/>
                <w:szCs w:val="24"/>
                <w:u w:val="none"/>
                <w:lang w:val="en-US" w:eastAsia="zh-CN" w:bidi="ar-SA"/>
              </w:rPr>
            </w:pPr>
            <w:r>
              <w:rPr>
                <w:rFonts w:hint="eastAsia" w:ascii="黑体" w:hAnsi="宋体" w:eastAsia="黑体" w:cs="黑体"/>
                <w:i w:val="0"/>
                <w:color w:val="000000"/>
                <w:kern w:val="0"/>
                <w:sz w:val="24"/>
                <w:szCs w:val="24"/>
                <w:u w:val="none"/>
                <w:lang w:val="en-US" w:eastAsia="zh-CN" w:bidi="ar"/>
              </w:rPr>
              <w:t>考评</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黑体" w:hAnsi="宋体" w:eastAsia="黑体" w:cs="黑体"/>
                <w:i w:val="0"/>
                <w:color w:val="000000"/>
                <w:kern w:val="2"/>
                <w:sz w:val="24"/>
                <w:szCs w:val="24"/>
                <w:u w:val="none"/>
                <w:lang w:val="en-US" w:eastAsia="zh-CN" w:bidi="ar-SA"/>
              </w:rPr>
            </w:pPr>
            <w:r>
              <w:rPr>
                <w:rFonts w:hint="eastAsia" w:ascii="黑体" w:hAnsi="宋体" w:eastAsia="黑体" w:cs="黑体"/>
                <w:i w:val="0"/>
                <w:color w:val="000000"/>
                <w:kern w:val="0"/>
                <w:sz w:val="24"/>
                <w:szCs w:val="24"/>
                <w:u w:val="none"/>
                <w:lang w:val="en-US" w:eastAsia="zh-CN" w:bidi="ar"/>
              </w:rPr>
              <w:t>响应率</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黑体" w:hAnsi="宋体" w:eastAsia="黑体" w:cs="黑体"/>
                <w:i w:val="0"/>
                <w:color w:val="000000"/>
                <w:kern w:val="2"/>
                <w:sz w:val="24"/>
                <w:szCs w:val="24"/>
                <w:u w:val="none"/>
                <w:lang w:val="en-US" w:eastAsia="zh-CN" w:bidi="ar-SA"/>
              </w:rPr>
            </w:pPr>
            <w:r>
              <w:rPr>
                <w:rFonts w:hint="eastAsia" w:ascii="黑体" w:hAnsi="宋体" w:eastAsia="黑体" w:cs="黑体"/>
                <w:i w:val="0"/>
                <w:color w:val="000000"/>
                <w:kern w:val="0"/>
                <w:sz w:val="24"/>
                <w:szCs w:val="24"/>
                <w:u w:val="none"/>
                <w:lang w:val="en-US" w:eastAsia="zh-CN" w:bidi="ar"/>
              </w:rPr>
              <w:t>解决率</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黑体" w:hAnsi="宋体" w:eastAsia="黑体" w:cs="黑体"/>
                <w:i w:val="0"/>
                <w:color w:val="000000"/>
                <w:kern w:val="2"/>
                <w:sz w:val="24"/>
                <w:szCs w:val="24"/>
                <w:u w:val="none"/>
                <w:lang w:val="en-US" w:eastAsia="zh-CN" w:bidi="ar-SA"/>
              </w:rPr>
            </w:pPr>
            <w:r>
              <w:rPr>
                <w:rFonts w:hint="eastAsia" w:ascii="黑体" w:hAnsi="宋体" w:eastAsia="黑体" w:cs="黑体"/>
                <w:i w:val="0"/>
                <w:color w:val="000000"/>
                <w:kern w:val="0"/>
                <w:sz w:val="24"/>
                <w:szCs w:val="24"/>
                <w:u w:val="none"/>
                <w:lang w:val="en-US" w:eastAsia="zh-CN" w:bidi="ar"/>
              </w:rPr>
              <w:t>满意率</w:t>
            </w:r>
          </w:p>
        </w:tc>
        <w:tc>
          <w:tcPr>
            <w:tcW w:w="2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color w:val="000000"/>
                <w:kern w:val="0"/>
                <w:sz w:val="24"/>
                <w:szCs w:val="24"/>
                <w:u w:val="none"/>
                <w:lang w:val="en-US" w:eastAsia="zh-CN" w:bidi="ar"/>
              </w:rPr>
              <w:t>综合</w:t>
            </w:r>
          </w:p>
          <w:p>
            <w:pPr>
              <w:keepNext w:val="0"/>
              <w:keepLines w:val="0"/>
              <w:widowControl/>
              <w:suppressLineNumbers w:val="0"/>
              <w:jc w:val="center"/>
              <w:textAlignment w:val="center"/>
              <w:rPr>
                <w:rFonts w:hint="default" w:ascii="黑体" w:hAnsi="宋体" w:eastAsia="黑体" w:cs="黑体"/>
                <w:i w:val="0"/>
                <w:color w:val="000000"/>
                <w:kern w:val="2"/>
                <w:sz w:val="24"/>
                <w:szCs w:val="24"/>
                <w:u w:val="none"/>
                <w:lang w:val="en-US" w:eastAsia="zh-CN" w:bidi="ar-SA"/>
              </w:rPr>
            </w:pPr>
            <w:r>
              <w:rPr>
                <w:rFonts w:hint="eastAsia" w:ascii="黑体" w:hAnsi="宋体" w:eastAsia="黑体" w:cs="黑体"/>
                <w:i w:val="0"/>
                <w:color w:val="000000"/>
                <w:kern w:val="0"/>
                <w:sz w:val="24"/>
                <w:szCs w:val="24"/>
                <w:u w:val="none"/>
                <w:lang w:val="en-US" w:eastAsia="zh-CN" w:bidi="ar"/>
              </w:rPr>
              <w:t>成绩</w:t>
            </w:r>
          </w:p>
        </w:tc>
      </w:tr>
      <w:tr>
        <w:tblPrEx>
          <w:tblLayout w:type="fixed"/>
          <w:tblCellMar>
            <w:top w:w="0" w:type="dxa"/>
            <w:left w:w="0" w:type="dxa"/>
            <w:bottom w:w="0" w:type="dxa"/>
            <w:right w:w="0" w:type="dxa"/>
          </w:tblCellMar>
        </w:tblPrEx>
        <w:trPr>
          <w:trHeight w:val="397"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不老屯镇</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196</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94.74%</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97.96%</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98.37%</w:t>
            </w:r>
          </w:p>
        </w:tc>
        <w:tc>
          <w:tcPr>
            <w:tcW w:w="2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97.48 </w:t>
            </w:r>
          </w:p>
        </w:tc>
      </w:tr>
      <w:tr>
        <w:tblPrEx>
          <w:tblLayout w:type="fixed"/>
          <w:tblCellMar>
            <w:top w:w="0" w:type="dxa"/>
            <w:left w:w="0" w:type="dxa"/>
            <w:bottom w:w="0" w:type="dxa"/>
            <w:right w:w="0" w:type="dxa"/>
          </w:tblCellMar>
        </w:tblPrEx>
        <w:trPr>
          <w:trHeight w:val="397"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东邵渠镇</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147</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97.88%</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96.60%</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97.28%</w:t>
            </w:r>
          </w:p>
        </w:tc>
        <w:tc>
          <w:tcPr>
            <w:tcW w:w="2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97.13 </w:t>
            </w:r>
          </w:p>
        </w:tc>
      </w:tr>
      <w:tr>
        <w:tblPrEx>
          <w:tblLayout w:type="fixed"/>
          <w:tblCellMar>
            <w:top w:w="0" w:type="dxa"/>
            <w:left w:w="0" w:type="dxa"/>
            <w:bottom w:w="0" w:type="dxa"/>
            <w:right w:w="0" w:type="dxa"/>
          </w:tblCellMar>
        </w:tblPrEx>
        <w:trPr>
          <w:trHeight w:val="397"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果园街道</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111</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99.35%</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95.50%</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97.48%</w:t>
            </w:r>
          </w:p>
        </w:tc>
        <w:tc>
          <w:tcPr>
            <w:tcW w:w="2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97.06 </w:t>
            </w:r>
          </w:p>
        </w:tc>
      </w:tr>
      <w:tr>
        <w:tblPrEx>
          <w:tblLayout w:type="fixed"/>
          <w:tblCellMar>
            <w:top w:w="0" w:type="dxa"/>
            <w:left w:w="0" w:type="dxa"/>
            <w:bottom w:w="0" w:type="dxa"/>
            <w:right w:w="0" w:type="dxa"/>
          </w:tblCellMar>
        </w:tblPrEx>
        <w:trPr>
          <w:trHeight w:val="397"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穆家峪镇</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318</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98.91%</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95.28%</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97.80%</w:t>
            </w:r>
          </w:p>
        </w:tc>
        <w:tc>
          <w:tcPr>
            <w:tcW w:w="2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97.02 </w:t>
            </w:r>
          </w:p>
        </w:tc>
      </w:tr>
      <w:tr>
        <w:tblPrEx>
          <w:tblLayout w:type="fixed"/>
          <w:tblCellMar>
            <w:top w:w="0" w:type="dxa"/>
            <w:left w:w="0" w:type="dxa"/>
            <w:bottom w:w="0" w:type="dxa"/>
            <w:right w:w="0" w:type="dxa"/>
          </w:tblCellMar>
        </w:tblPrEx>
        <w:trPr>
          <w:trHeight w:val="397"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冯家峪镇</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158</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94.70%</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96.20%</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98.73%</w:t>
            </w:r>
          </w:p>
        </w:tc>
        <w:tc>
          <w:tcPr>
            <w:tcW w:w="2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96.91 </w:t>
            </w:r>
          </w:p>
        </w:tc>
      </w:tr>
      <w:tr>
        <w:tblPrEx>
          <w:tblLayout w:type="fixed"/>
          <w:tblCellMar>
            <w:top w:w="0" w:type="dxa"/>
            <w:left w:w="0" w:type="dxa"/>
            <w:bottom w:w="0" w:type="dxa"/>
            <w:right w:w="0" w:type="dxa"/>
          </w:tblCellMar>
        </w:tblPrEx>
        <w:trPr>
          <w:trHeight w:val="397"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11</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北庄镇</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132</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96.60%</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96.21%</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97.73%</w:t>
            </w:r>
          </w:p>
        </w:tc>
        <w:tc>
          <w:tcPr>
            <w:tcW w:w="2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96.89 </w:t>
            </w:r>
          </w:p>
        </w:tc>
      </w:tr>
      <w:tr>
        <w:tblPrEx>
          <w:tblLayout w:type="fixed"/>
          <w:tblCellMar>
            <w:top w:w="0" w:type="dxa"/>
            <w:left w:w="0" w:type="dxa"/>
            <w:bottom w:w="0" w:type="dxa"/>
            <w:right w:w="0" w:type="dxa"/>
          </w:tblCellMar>
        </w:tblPrEx>
        <w:trPr>
          <w:trHeight w:val="397"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太师屯镇</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410</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97.86%</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95.37%</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97.85%</w:t>
            </w:r>
          </w:p>
        </w:tc>
        <w:tc>
          <w:tcPr>
            <w:tcW w:w="2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96.86 </w:t>
            </w:r>
          </w:p>
        </w:tc>
      </w:tr>
      <w:tr>
        <w:tblPrEx>
          <w:tblLayout w:type="fixed"/>
          <w:tblCellMar>
            <w:top w:w="0" w:type="dxa"/>
            <w:left w:w="0" w:type="dxa"/>
            <w:bottom w:w="0" w:type="dxa"/>
            <w:right w:w="0" w:type="dxa"/>
          </w:tblCellMar>
        </w:tblPrEx>
        <w:trPr>
          <w:trHeight w:val="397"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13</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河南寨镇</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320</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97.31%</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96.25%</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96.88%</w:t>
            </w:r>
          </w:p>
        </w:tc>
        <w:tc>
          <w:tcPr>
            <w:tcW w:w="2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96.71 </w:t>
            </w:r>
          </w:p>
        </w:tc>
      </w:tr>
      <w:tr>
        <w:tblPrEx>
          <w:tblLayout w:type="fixed"/>
          <w:tblCellMar>
            <w:top w:w="0" w:type="dxa"/>
            <w:left w:w="0" w:type="dxa"/>
            <w:bottom w:w="0" w:type="dxa"/>
            <w:right w:w="0" w:type="dxa"/>
          </w:tblCellMar>
        </w:tblPrEx>
        <w:trPr>
          <w:trHeight w:val="397"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14</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檀营地区</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79</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97.47%</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94.18%</w:t>
            </w:r>
          </w:p>
        </w:tc>
        <w:tc>
          <w:tcPr>
            <w:tcW w:w="2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96.66 </w:t>
            </w:r>
          </w:p>
        </w:tc>
      </w:tr>
      <w:tr>
        <w:tblPrEx>
          <w:tblLayout w:type="fixed"/>
          <w:tblCellMar>
            <w:top w:w="0" w:type="dxa"/>
            <w:left w:w="0" w:type="dxa"/>
            <w:bottom w:w="0" w:type="dxa"/>
            <w:right w:w="0" w:type="dxa"/>
          </w:tblCellMar>
        </w:tblPrEx>
        <w:trPr>
          <w:trHeight w:val="397"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西田各庄镇</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286</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96.78%</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96.15%</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96.99%</w:t>
            </w:r>
          </w:p>
        </w:tc>
        <w:tc>
          <w:tcPr>
            <w:tcW w:w="2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96.61 </w:t>
            </w:r>
          </w:p>
        </w:tc>
      </w:tr>
      <w:tr>
        <w:tblPrEx>
          <w:tblLayout w:type="fixed"/>
          <w:tblCellMar>
            <w:top w:w="0" w:type="dxa"/>
            <w:left w:w="0" w:type="dxa"/>
            <w:bottom w:w="0" w:type="dxa"/>
            <w:right w:w="0" w:type="dxa"/>
          </w:tblCellMar>
        </w:tblPrEx>
        <w:trPr>
          <w:trHeight w:val="397"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16</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新城子镇</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102</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98.53%</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92.16%</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99.02%</w:t>
            </w:r>
          </w:p>
        </w:tc>
        <w:tc>
          <w:tcPr>
            <w:tcW w:w="2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96.18 </w:t>
            </w:r>
          </w:p>
        </w:tc>
      </w:tr>
      <w:tr>
        <w:tblPrEx>
          <w:tblLayout w:type="fixed"/>
          <w:tblCellMar>
            <w:top w:w="0" w:type="dxa"/>
            <w:left w:w="0" w:type="dxa"/>
            <w:bottom w:w="0" w:type="dxa"/>
            <w:right w:w="0" w:type="dxa"/>
          </w:tblCellMar>
        </w:tblPrEx>
        <w:trPr>
          <w:trHeight w:val="397"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17</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溪翁庄镇</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238</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99.73%</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94.12%</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95.04%</w:t>
            </w:r>
          </w:p>
        </w:tc>
        <w:tc>
          <w:tcPr>
            <w:tcW w:w="2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95.61 </w:t>
            </w:r>
          </w:p>
        </w:tc>
      </w:tr>
      <w:tr>
        <w:tblPrEx>
          <w:tblLayout w:type="fixed"/>
          <w:tblCellMar>
            <w:top w:w="0" w:type="dxa"/>
            <w:left w:w="0" w:type="dxa"/>
            <w:bottom w:w="0" w:type="dxa"/>
            <w:right w:w="0" w:type="dxa"/>
          </w:tblCellMar>
        </w:tblPrEx>
        <w:trPr>
          <w:trHeight w:val="397"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18</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鼓楼街道</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448</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99.17%</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93.08%</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95.54%</w:t>
            </w:r>
          </w:p>
        </w:tc>
        <w:tc>
          <w:tcPr>
            <w:tcW w:w="2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95.28 </w:t>
            </w:r>
          </w:p>
        </w:tc>
      </w:tr>
      <w:tr>
        <w:tblPrEx>
          <w:tblLayout w:type="fixed"/>
          <w:tblCellMar>
            <w:top w:w="0" w:type="dxa"/>
            <w:left w:w="0" w:type="dxa"/>
            <w:bottom w:w="0" w:type="dxa"/>
            <w:right w:w="0" w:type="dxa"/>
          </w:tblCellMar>
        </w:tblPrEx>
        <w:trPr>
          <w:trHeight w:val="397"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19</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大城子镇</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129</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94.05%</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92.25%</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96.12%</w:t>
            </w:r>
          </w:p>
        </w:tc>
        <w:tc>
          <w:tcPr>
            <w:tcW w:w="2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94.16 </w:t>
            </w:r>
          </w:p>
        </w:tc>
      </w:tr>
      <w:tr>
        <w:tblPrEx>
          <w:tblLayout w:type="fixed"/>
          <w:tblCellMar>
            <w:top w:w="0" w:type="dxa"/>
            <w:left w:w="0" w:type="dxa"/>
            <w:bottom w:w="0" w:type="dxa"/>
            <w:right w:w="0" w:type="dxa"/>
          </w:tblCellMar>
        </w:tblPrEx>
        <w:trPr>
          <w:trHeight w:val="397"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高岭镇</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147</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96.82%</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91.16%</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93.20%</w:t>
            </w:r>
          </w:p>
        </w:tc>
        <w:tc>
          <w:tcPr>
            <w:tcW w:w="2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93.11 </w:t>
            </w:r>
          </w:p>
        </w:tc>
      </w:tr>
      <w:tr>
        <w:tblPrEx>
          <w:tblLayout w:type="fixed"/>
          <w:tblCellMar>
            <w:top w:w="0" w:type="dxa"/>
            <w:left w:w="0" w:type="dxa"/>
            <w:bottom w:w="0" w:type="dxa"/>
            <w:right w:w="0" w:type="dxa"/>
          </w:tblCellMar>
        </w:tblPrEx>
        <w:trPr>
          <w:trHeight w:val="425" w:hRule="atLeast"/>
        </w:trPr>
        <w:tc>
          <w:tcPr>
            <w:tcW w:w="8870"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黑体" w:hAnsi="宋体" w:eastAsia="黑体" w:cs="黑体"/>
                <w:i w:val="0"/>
                <w:color w:val="000000"/>
                <w:kern w:val="0"/>
                <w:sz w:val="24"/>
                <w:szCs w:val="24"/>
                <w:u w:val="none"/>
                <w:lang w:val="en-US" w:eastAsia="zh-CN" w:bidi="ar"/>
              </w:rPr>
              <w:t>全市共343个街乡镇参与排名，综合成绩为96.48分。</w:t>
            </w:r>
          </w:p>
        </w:tc>
      </w:tr>
    </w:tbl>
    <w:p>
      <w:pPr>
        <w:pStyle w:val="11"/>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楷体_GB2312" w:hAnsi="楷体_GB2312" w:eastAsia="楷体_GB2312" w:cs="楷体_GB2312"/>
          <w:b w:val="0"/>
          <w:bCs/>
          <w:color w:val="auto"/>
          <w:sz w:val="32"/>
          <w:szCs w:val="32"/>
          <w:highlight w:val="none"/>
          <w:u w:val="none"/>
          <w:lang w:val="en-US" w:eastAsia="zh-CN"/>
        </w:rPr>
      </w:pPr>
      <w:r>
        <w:rPr>
          <w:rFonts w:hint="eastAsia" w:ascii="楷体_GB2312" w:hAnsi="楷体_GB2312" w:eastAsia="楷体_GB2312" w:cs="楷体_GB2312"/>
          <w:b w:val="0"/>
          <w:bCs/>
          <w:color w:val="auto"/>
          <w:sz w:val="32"/>
          <w:szCs w:val="32"/>
          <w:highlight w:val="none"/>
          <w:u w:val="none"/>
          <w:lang w:val="en-US" w:eastAsia="zh-CN"/>
        </w:rPr>
        <w:t>表2：市级考评各镇街群众诉求办理情况统计表（转派）</w:t>
      </w:r>
    </w:p>
    <w:tbl>
      <w:tblPr>
        <w:tblStyle w:val="9"/>
        <w:tblW w:w="8870" w:type="dxa"/>
        <w:tblInd w:w="0" w:type="dxa"/>
        <w:shd w:val="clear" w:color="auto" w:fill="auto"/>
        <w:tblLayout w:type="fixed"/>
        <w:tblCellMar>
          <w:top w:w="0" w:type="dxa"/>
          <w:left w:w="0" w:type="dxa"/>
          <w:bottom w:w="0" w:type="dxa"/>
          <w:right w:w="0" w:type="dxa"/>
        </w:tblCellMar>
      </w:tblPr>
      <w:tblGrid>
        <w:gridCol w:w="717"/>
        <w:gridCol w:w="1669"/>
        <w:gridCol w:w="1180"/>
        <w:gridCol w:w="1315"/>
        <w:gridCol w:w="1315"/>
        <w:gridCol w:w="1315"/>
        <w:gridCol w:w="1359"/>
      </w:tblGrid>
      <w:tr>
        <w:tblPrEx>
          <w:shd w:val="clear" w:color="auto" w:fill="auto"/>
          <w:tblLayout w:type="fixed"/>
          <w:tblCellMar>
            <w:top w:w="0" w:type="dxa"/>
            <w:left w:w="0" w:type="dxa"/>
            <w:bottom w:w="0" w:type="dxa"/>
            <w:right w:w="0" w:type="dxa"/>
          </w:tblCellMar>
        </w:tblPrEx>
        <w:trPr>
          <w:trHeight w:val="454"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排名</w:t>
            </w:r>
          </w:p>
        </w:tc>
        <w:tc>
          <w:tcPr>
            <w:tcW w:w="1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镇街</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纳入考评</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响应率</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解决率</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满意率</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综合成绩</w:t>
            </w:r>
          </w:p>
        </w:tc>
      </w:tr>
      <w:tr>
        <w:tblPrEx>
          <w:tblLayout w:type="fixed"/>
          <w:tblCellMar>
            <w:top w:w="0" w:type="dxa"/>
            <w:left w:w="0" w:type="dxa"/>
            <w:bottom w:w="0" w:type="dxa"/>
            <w:right w:w="0" w:type="dxa"/>
          </w:tblCellMar>
        </w:tblPrEx>
        <w:trPr>
          <w:trHeight w:val="397"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穆家峪镇</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36</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97.22%</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99.44 </w:t>
            </w:r>
          </w:p>
        </w:tc>
      </w:tr>
      <w:tr>
        <w:tblPrEx>
          <w:tblLayout w:type="fixed"/>
          <w:tblCellMar>
            <w:top w:w="0" w:type="dxa"/>
            <w:left w:w="0" w:type="dxa"/>
            <w:bottom w:w="0" w:type="dxa"/>
            <w:right w:w="0" w:type="dxa"/>
          </w:tblCellMar>
        </w:tblPrEx>
        <w:trPr>
          <w:trHeight w:val="397"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1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密云镇</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28</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93.75%</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97.50 </w:t>
            </w:r>
          </w:p>
        </w:tc>
      </w:tr>
      <w:tr>
        <w:tblPrEx>
          <w:tblLayout w:type="fixed"/>
          <w:tblCellMar>
            <w:top w:w="0" w:type="dxa"/>
            <w:left w:w="0" w:type="dxa"/>
            <w:bottom w:w="0" w:type="dxa"/>
            <w:right w:w="0" w:type="dxa"/>
          </w:tblCellMar>
        </w:tblPrEx>
        <w:trPr>
          <w:trHeight w:val="397"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1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古北口镇</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92.31%</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96.92 </w:t>
            </w:r>
          </w:p>
        </w:tc>
      </w:tr>
      <w:tr>
        <w:tblPrEx>
          <w:tblLayout w:type="fixed"/>
          <w:tblCellMar>
            <w:top w:w="0" w:type="dxa"/>
            <w:left w:w="0" w:type="dxa"/>
            <w:bottom w:w="0" w:type="dxa"/>
            <w:right w:w="0" w:type="dxa"/>
          </w:tblCellMar>
        </w:tblPrEx>
        <w:trPr>
          <w:trHeight w:val="397"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1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巨各庄镇</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40</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85.71%</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99.05%</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93.90 </w:t>
            </w:r>
          </w:p>
        </w:tc>
      </w:tr>
      <w:tr>
        <w:tblPrEx>
          <w:tblLayout w:type="fixed"/>
          <w:tblCellMar>
            <w:top w:w="0" w:type="dxa"/>
            <w:left w:w="0" w:type="dxa"/>
            <w:bottom w:w="0" w:type="dxa"/>
            <w:right w:w="0" w:type="dxa"/>
          </w:tblCellMar>
        </w:tblPrEx>
        <w:trPr>
          <w:trHeight w:val="397"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1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不老屯镇</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29</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86.21%</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88.24%</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94.12%</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90.18 </w:t>
            </w:r>
          </w:p>
        </w:tc>
      </w:tr>
      <w:tr>
        <w:tblPrEx>
          <w:tblLayout w:type="fixed"/>
          <w:tblCellMar>
            <w:top w:w="0" w:type="dxa"/>
            <w:left w:w="0" w:type="dxa"/>
            <w:bottom w:w="0" w:type="dxa"/>
            <w:right w:w="0" w:type="dxa"/>
          </w:tblCellMar>
        </w:tblPrEx>
        <w:trPr>
          <w:trHeight w:val="397"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1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檀营地区</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19</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87.37%</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91.67%</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86.67%</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88.81 </w:t>
            </w:r>
          </w:p>
        </w:tc>
      </w:tr>
      <w:tr>
        <w:tblPrEx>
          <w:tblLayout w:type="fixed"/>
          <w:tblCellMar>
            <w:top w:w="0" w:type="dxa"/>
            <w:left w:w="0" w:type="dxa"/>
            <w:bottom w:w="0" w:type="dxa"/>
            <w:right w:w="0" w:type="dxa"/>
          </w:tblCellMar>
        </w:tblPrEx>
        <w:trPr>
          <w:trHeight w:val="397"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1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河南寨镇</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45</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96.44%</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81.25%</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90.00%</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87.79 </w:t>
            </w:r>
          </w:p>
        </w:tc>
      </w:tr>
      <w:tr>
        <w:tblPrEx>
          <w:tblLayout w:type="fixed"/>
          <w:tblCellMar>
            <w:top w:w="0" w:type="dxa"/>
            <w:left w:w="0" w:type="dxa"/>
            <w:bottom w:w="0" w:type="dxa"/>
            <w:right w:w="0" w:type="dxa"/>
          </w:tblCellMar>
        </w:tblPrEx>
        <w:trPr>
          <w:trHeight w:val="397"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1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冯家峪镇</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13</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87.69%</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88.89%</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86.67%</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87.76 </w:t>
            </w:r>
          </w:p>
        </w:tc>
      </w:tr>
      <w:tr>
        <w:tblPrEx>
          <w:tblLayout w:type="fixed"/>
          <w:tblCellMar>
            <w:top w:w="0" w:type="dxa"/>
            <w:left w:w="0" w:type="dxa"/>
            <w:bottom w:w="0" w:type="dxa"/>
            <w:right w:w="0" w:type="dxa"/>
          </w:tblCellMar>
        </w:tblPrEx>
        <w:trPr>
          <w:trHeight w:val="397"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w:t>
            </w:r>
          </w:p>
        </w:tc>
        <w:tc>
          <w:tcPr>
            <w:tcW w:w="1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太师屯镇</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54</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91.11%</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82.50%</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90.00%</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87.22 </w:t>
            </w:r>
          </w:p>
        </w:tc>
      </w:tr>
      <w:tr>
        <w:tblPrEx>
          <w:tblLayout w:type="fixed"/>
          <w:tblCellMar>
            <w:top w:w="0" w:type="dxa"/>
            <w:left w:w="0" w:type="dxa"/>
            <w:bottom w:w="0" w:type="dxa"/>
            <w:right w:w="0" w:type="dxa"/>
          </w:tblCellMar>
        </w:tblPrEx>
        <w:trPr>
          <w:trHeight w:val="397"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1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果园街道</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46</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99.13%</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79.49%</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83.59%</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85.06 </w:t>
            </w:r>
          </w:p>
        </w:tc>
      </w:tr>
      <w:tr>
        <w:tblPrEx>
          <w:tblLayout w:type="fixed"/>
          <w:tblCellMar>
            <w:top w:w="0" w:type="dxa"/>
            <w:left w:w="0" w:type="dxa"/>
            <w:bottom w:w="0" w:type="dxa"/>
            <w:right w:w="0" w:type="dxa"/>
          </w:tblCellMar>
        </w:tblPrEx>
        <w:trPr>
          <w:trHeight w:val="454"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黑体" w:hAnsi="宋体" w:eastAsia="黑体" w:cs="黑体"/>
                <w:i w:val="0"/>
                <w:color w:val="000000"/>
                <w:kern w:val="2"/>
                <w:sz w:val="24"/>
                <w:szCs w:val="24"/>
                <w:u w:val="none"/>
                <w:lang w:val="en-US" w:eastAsia="zh-CN" w:bidi="ar-SA"/>
              </w:rPr>
            </w:pPr>
            <w:r>
              <w:rPr>
                <w:rFonts w:hint="eastAsia" w:ascii="黑体" w:hAnsi="宋体" w:eastAsia="黑体" w:cs="黑体"/>
                <w:i w:val="0"/>
                <w:color w:val="000000"/>
                <w:kern w:val="0"/>
                <w:sz w:val="24"/>
                <w:szCs w:val="24"/>
                <w:u w:val="none"/>
                <w:lang w:val="en-US" w:eastAsia="zh-CN" w:bidi="ar"/>
              </w:rPr>
              <w:t>排名</w:t>
            </w:r>
          </w:p>
        </w:tc>
        <w:tc>
          <w:tcPr>
            <w:tcW w:w="1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2"/>
                <w:sz w:val="24"/>
                <w:szCs w:val="24"/>
                <w:u w:val="none"/>
                <w:lang w:val="en-US" w:eastAsia="zh-CN" w:bidi="ar-SA"/>
              </w:rPr>
            </w:pPr>
            <w:r>
              <w:rPr>
                <w:rFonts w:hint="eastAsia" w:ascii="黑体" w:hAnsi="宋体" w:eastAsia="黑体" w:cs="黑体"/>
                <w:i w:val="0"/>
                <w:color w:val="000000"/>
                <w:kern w:val="0"/>
                <w:sz w:val="24"/>
                <w:szCs w:val="24"/>
                <w:u w:val="none"/>
                <w:lang w:val="en-US" w:eastAsia="zh-CN" w:bidi="ar"/>
              </w:rPr>
              <w:t>镇街</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黑体" w:hAnsi="宋体" w:eastAsia="黑体" w:cs="黑体"/>
                <w:i w:val="0"/>
                <w:color w:val="000000"/>
                <w:kern w:val="2"/>
                <w:sz w:val="24"/>
                <w:szCs w:val="24"/>
                <w:u w:val="none"/>
                <w:lang w:val="en-US" w:eastAsia="zh-CN" w:bidi="ar-SA"/>
              </w:rPr>
            </w:pPr>
            <w:r>
              <w:rPr>
                <w:rFonts w:hint="eastAsia" w:ascii="黑体" w:hAnsi="宋体" w:eastAsia="黑体" w:cs="黑体"/>
                <w:i w:val="0"/>
                <w:color w:val="000000"/>
                <w:kern w:val="0"/>
                <w:sz w:val="24"/>
                <w:szCs w:val="24"/>
                <w:u w:val="none"/>
                <w:lang w:val="en-US" w:eastAsia="zh-CN" w:bidi="ar"/>
              </w:rPr>
              <w:t>纳入考评</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黑体" w:hAnsi="宋体" w:eastAsia="黑体" w:cs="黑体"/>
                <w:i w:val="0"/>
                <w:color w:val="000000"/>
                <w:kern w:val="2"/>
                <w:sz w:val="24"/>
                <w:szCs w:val="24"/>
                <w:u w:val="none"/>
                <w:lang w:val="en-US" w:eastAsia="zh-CN" w:bidi="ar-SA"/>
              </w:rPr>
            </w:pPr>
            <w:r>
              <w:rPr>
                <w:rFonts w:hint="eastAsia" w:ascii="黑体" w:hAnsi="宋体" w:eastAsia="黑体" w:cs="黑体"/>
                <w:i w:val="0"/>
                <w:color w:val="000000"/>
                <w:kern w:val="0"/>
                <w:sz w:val="24"/>
                <w:szCs w:val="24"/>
                <w:u w:val="none"/>
                <w:lang w:val="en-US" w:eastAsia="zh-CN" w:bidi="ar"/>
              </w:rPr>
              <w:t>响应率</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黑体" w:hAnsi="宋体" w:eastAsia="黑体" w:cs="黑体"/>
                <w:i w:val="0"/>
                <w:color w:val="000000"/>
                <w:kern w:val="2"/>
                <w:sz w:val="24"/>
                <w:szCs w:val="24"/>
                <w:u w:val="none"/>
                <w:lang w:val="en-US" w:eastAsia="zh-CN" w:bidi="ar-SA"/>
              </w:rPr>
            </w:pPr>
            <w:r>
              <w:rPr>
                <w:rFonts w:hint="eastAsia" w:ascii="黑体" w:hAnsi="宋体" w:eastAsia="黑体" w:cs="黑体"/>
                <w:i w:val="0"/>
                <w:color w:val="000000"/>
                <w:kern w:val="0"/>
                <w:sz w:val="24"/>
                <w:szCs w:val="24"/>
                <w:u w:val="none"/>
                <w:lang w:val="en-US" w:eastAsia="zh-CN" w:bidi="ar"/>
              </w:rPr>
              <w:t>解决率</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黑体" w:hAnsi="宋体" w:eastAsia="黑体" w:cs="黑体"/>
                <w:i w:val="0"/>
                <w:color w:val="000000"/>
                <w:kern w:val="2"/>
                <w:sz w:val="24"/>
                <w:szCs w:val="24"/>
                <w:u w:val="none"/>
                <w:lang w:val="en-US" w:eastAsia="zh-CN" w:bidi="ar-SA"/>
              </w:rPr>
            </w:pPr>
            <w:r>
              <w:rPr>
                <w:rFonts w:hint="eastAsia" w:ascii="黑体" w:hAnsi="宋体" w:eastAsia="黑体" w:cs="黑体"/>
                <w:i w:val="0"/>
                <w:color w:val="000000"/>
                <w:kern w:val="0"/>
                <w:sz w:val="24"/>
                <w:szCs w:val="24"/>
                <w:u w:val="none"/>
                <w:lang w:val="en-US" w:eastAsia="zh-CN" w:bidi="ar"/>
              </w:rPr>
              <w:t>满意率</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黑体" w:hAnsi="宋体" w:eastAsia="黑体" w:cs="黑体"/>
                <w:i w:val="0"/>
                <w:color w:val="000000"/>
                <w:kern w:val="2"/>
                <w:sz w:val="24"/>
                <w:szCs w:val="24"/>
                <w:u w:val="none"/>
                <w:lang w:val="en-US" w:eastAsia="zh-CN" w:bidi="ar-SA"/>
              </w:rPr>
            </w:pPr>
            <w:r>
              <w:rPr>
                <w:rFonts w:hint="eastAsia" w:ascii="黑体" w:hAnsi="宋体" w:eastAsia="黑体" w:cs="黑体"/>
                <w:i w:val="0"/>
                <w:color w:val="000000"/>
                <w:kern w:val="0"/>
                <w:sz w:val="24"/>
                <w:szCs w:val="24"/>
                <w:u w:val="none"/>
                <w:lang w:val="en-US" w:eastAsia="zh-CN" w:bidi="ar"/>
              </w:rPr>
              <w:t>综合成绩</w:t>
            </w:r>
          </w:p>
        </w:tc>
      </w:tr>
      <w:tr>
        <w:tblPrEx>
          <w:tblLayout w:type="fixed"/>
          <w:tblCellMar>
            <w:top w:w="0" w:type="dxa"/>
            <w:left w:w="0" w:type="dxa"/>
            <w:bottom w:w="0" w:type="dxa"/>
            <w:right w:w="0" w:type="dxa"/>
          </w:tblCellMar>
        </w:tblPrEx>
        <w:trPr>
          <w:trHeight w:val="397"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w:t>
            </w:r>
          </w:p>
        </w:tc>
        <w:tc>
          <w:tcPr>
            <w:tcW w:w="1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西田各庄镇</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46</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94.78%</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76.19%</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89.05%</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85.05 </w:t>
            </w:r>
          </w:p>
        </w:tc>
      </w:tr>
      <w:tr>
        <w:tblPrEx>
          <w:tblLayout w:type="fixed"/>
          <w:tblCellMar>
            <w:top w:w="0" w:type="dxa"/>
            <w:left w:w="0" w:type="dxa"/>
            <w:bottom w:w="0" w:type="dxa"/>
            <w:right w:w="0" w:type="dxa"/>
          </w:tblCellMar>
        </w:tblPrEx>
        <w:trPr>
          <w:trHeight w:val="397"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1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新城子镇</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13</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80.00%</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80.00%</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84.00 </w:t>
            </w:r>
          </w:p>
        </w:tc>
      </w:tr>
      <w:tr>
        <w:tblPrEx>
          <w:tblLayout w:type="fixed"/>
          <w:tblCellMar>
            <w:top w:w="0" w:type="dxa"/>
            <w:left w:w="0" w:type="dxa"/>
            <w:bottom w:w="0" w:type="dxa"/>
            <w:right w:w="0" w:type="dxa"/>
          </w:tblCellMar>
        </w:tblPrEx>
        <w:trPr>
          <w:trHeight w:val="397"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w:t>
            </w:r>
          </w:p>
        </w:tc>
        <w:tc>
          <w:tcPr>
            <w:tcW w:w="1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溪翁庄镇</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51</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74.07%</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85.19%</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83.70 </w:t>
            </w:r>
          </w:p>
        </w:tc>
      </w:tr>
      <w:tr>
        <w:tblPrEx>
          <w:tblLayout w:type="fixed"/>
          <w:tblCellMar>
            <w:top w:w="0" w:type="dxa"/>
            <w:left w:w="0" w:type="dxa"/>
            <w:bottom w:w="0" w:type="dxa"/>
            <w:right w:w="0" w:type="dxa"/>
          </w:tblCellMar>
        </w:tblPrEx>
        <w:trPr>
          <w:trHeight w:val="397"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w:t>
            </w:r>
          </w:p>
        </w:tc>
        <w:tc>
          <w:tcPr>
            <w:tcW w:w="1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鼓楼街道</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111</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96.94%</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75.76%</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84.44%</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83.47 </w:t>
            </w:r>
          </w:p>
        </w:tc>
      </w:tr>
      <w:tr>
        <w:tblPrEx>
          <w:tblLayout w:type="fixed"/>
          <w:tblCellMar>
            <w:top w:w="0" w:type="dxa"/>
            <w:left w:w="0" w:type="dxa"/>
            <w:bottom w:w="0" w:type="dxa"/>
            <w:right w:w="0" w:type="dxa"/>
          </w:tblCellMar>
        </w:tblPrEx>
        <w:trPr>
          <w:trHeight w:val="397"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1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石城镇</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18</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86.67%</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77.78%</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82.22%</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81.33 </w:t>
            </w:r>
          </w:p>
        </w:tc>
      </w:tr>
      <w:tr>
        <w:tblPrEx>
          <w:tblLayout w:type="fixed"/>
          <w:tblCellMar>
            <w:top w:w="0" w:type="dxa"/>
            <w:left w:w="0" w:type="dxa"/>
            <w:bottom w:w="0" w:type="dxa"/>
            <w:right w:w="0" w:type="dxa"/>
          </w:tblCellMar>
        </w:tblPrEx>
        <w:trPr>
          <w:trHeight w:val="397"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黑体" w:hAnsi="宋体" w:eastAsia="黑体" w:cs="黑体"/>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16</w:t>
            </w:r>
          </w:p>
        </w:tc>
        <w:tc>
          <w:tcPr>
            <w:tcW w:w="1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2"/>
                <w:sz w:val="24"/>
                <w:szCs w:val="24"/>
                <w:u w:val="none"/>
                <w:lang w:val="en-US" w:eastAsia="zh-CN" w:bidi="ar-SA"/>
              </w:rPr>
            </w:pPr>
            <w:r>
              <w:rPr>
                <w:rFonts w:hint="eastAsia" w:ascii="黑体" w:hAnsi="宋体" w:eastAsia="黑体" w:cs="黑体"/>
                <w:i w:val="0"/>
                <w:iCs w:val="0"/>
                <w:color w:val="000000"/>
                <w:kern w:val="0"/>
                <w:sz w:val="24"/>
                <w:szCs w:val="24"/>
                <w:u w:val="none"/>
                <w:lang w:val="en-US" w:eastAsia="zh-CN" w:bidi="ar"/>
              </w:rPr>
              <w:t>十里堡镇</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55</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97.09%</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70.59%</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72.94%</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76.83 </w:t>
            </w:r>
          </w:p>
        </w:tc>
      </w:tr>
      <w:tr>
        <w:tblPrEx>
          <w:tblLayout w:type="fixed"/>
          <w:tblCellMar>
            <w:top w:w="0" w:type="dxa"/>
            <w:left w:w="0" w:type="dxa"/>
            <w:bottom w:w="0" w:type="dxa"/>
            <w:right w:w="0" w:type="dxa"/>
          </w:tblCellMar>
        </w:tblPrEx>
        <w:trPr>
          <w:trHeight w:val="397"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17</w:t>
            </w:r>
          </w:p>
        </w:tc>
        <w:tc>
          <w:tcPr>
            <w:tcW w:w="1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2"/>
                <w:sz w:val="24"/>
                <w:szCs w:val="24"/>
                <w:u w:val="none"/>
                <w:lang w:val="en-US" w:eastAsia="zh-CN" w:bidi="ar-SA"/>
              </w:rPr>
            </w:pPr>
            <w:r>
              <w:rPr>
                <w:rFonts w:hint="eastAsia" w:ascii="黑体" w:hAnsi="宋体" w:eastAsia="黑体" w:cs="黑体"/>
                <w:i w:val="0"/>
                <w:iCs w:val="0"/>
                <w:color w:val="000000"/>
                <w:kern w:val="0"/>
                <w:sz w:val="24"/>
                <w:szCs w:val="24"/>
                <w:u w:val="none"/>
                <w:lang w:val="en-US" w:eastAsia="zh-CN" w:bidi="ar"/>
              </w:rPr>
              <w:t>大城子镇</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18</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68.89%</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66.67%</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88.89%</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76.00 </w:t>
            </w:r>
          </w:p>
        </w:tc>
      </w:tr>
      <w:tr>
        <w:tblPrEx>
          <w:tblLayout w:type="fixed"/>
          <w:tblCellMar>
            <w:top w:w="0" w:type="dxa"/>
            <w:left w:w="0" w:type="dxa"/>
            <w:bottom w:w="0" w:type="dxa"/>
            <w:right w:w="0" w:type="dxa"/>
          </w:tblCellMar>
        </w:tblPrEx>
        <w:trPr>
          <w:trHeight w:val="397"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w:t>
            </w:r>
          </w:p>
        </w:tc>
        <w:tc>
          <w:tcPr>
            <w:tcW w:w="1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北庄镇</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16</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85.00%</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63.64%</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63.64%</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67.91 </w:t>
            </w:r>
          </w:p>
        </w:tc>
      </w:tr>
      <w:tr>
        <w:tblPrEx>
          <w:tblLayout w:type="fixed"/>
          <w:tblCellMar>
            <w:top w:w="0" w:type="dxa"/>
            <w:left w:w="0" w:type="dxa"/>
            <w:bottom w:w="0" w:type="dxa"/>
            <w:right w:w="0" w:type="dxa"/>
          </w:tblCellMar>
        </w:tblPrEx>
        <w:trPr>
          <w:trHeight w:val="397"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w:t>
            </w:r>
          </w:p>
        </w:tc>
        <w:tc>
          <w:tcPr>
            <w:tcW w:w="1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高岭镇</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91.67%</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42.86%</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71.43%</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64.05 </w:t>
            </w:r>
          </w:p>
        </w:tc>
      </w:tr>
      <w:tr>
        <w:tblPrEx>
          <w:tblLayout w:type="fixed"/>
          <w:tblCellMar>
            <w:top w:w="0" w:type="dxa"/>
            <w:left w:w="0" w:type="dxa"/>
            <w:bottom w:w="0" w:type="dxa"/>
            <w:right w:w="0" w:type="dxa"/>
          </w:tblCellMar>
        </w:tblPrEx>
        <w:trPr>
          <w:trHeight w:val="397"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1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东邵渠镇</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80.00%</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25.00%</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33.33%</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39.33 </w:t>
            </w:r>
          </w:p>
        </w:tc>
      </w:tr>
      <w:tr>
        <w:tblPrEx>
          <w:tblLayout w:type="fixed"/>
          <w:tblCellMar>
            <w:top w:w="0" w:type="dxa"/>
            <w:left w:w="0" w:type="dxa"/>
            <w:bottom w:w="0" w:type="dxa"/>
            <w:right w:w="0" w:type="dxa"/>
          </w:tblCellMar>
        </w:tblPrEx>
        <w:trPr>
          <w:trHeight w:val="425" w:hRule="atLeast"/>
        </w:trPr>
        <w:tc>
          <w:tcPr>
            <w:tcW w:w="8870"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kern w:val="0"/>
                <w:sz w:val="24"/>
                <w:szCs w:val="24"/>
                <w:u w:val="none"/>
                <w:lang w:val="en-US" w:eastAsia="zh-CN" w:bidi="ar"/>
              </w:rPr>
            </w:pPr>
            <w:r>
              <w:rPr>
                <w:rFonts w:hint="eastAsia" w:ascii="黑体" w:hAnsi="宋体" w:eastAsia="黑体" w:cs="黑体"/>
                <w:i w:val="0"/>
                <w:color w:val="000000"/>
                <w:kern w:val="0"/>
                <w:sz w:val="24"/>
                <w:szCs w:val="24"/>
                <w:u w:val="none"/>
                <w:lang w:val="en-US" w:eastAsia="zh-CN" w:bidi="ar"/>
              </w:rPr>
              <w:t>镇街转派工单综合成绩为84.41分。</w:t>
            </w:r>
          </w:p>
        </w:tc>
      </w:tr>
    </w:tbl>
    <w:p>
      <w:pPr>
        <w:pStyle w:val="11"/>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楷体_GB2312" w:hAnsi="楷体_GB2312" w:eastAsia="楷体_GB2312" w:cs="楷体_GB2312"/>
          <w:b w:val="0"/>
          <w:bCs/>
          <w:color w:val="auto"/>
          <w:sz w:val="32"/>
          <w:szCs w:val="32"/>
          <w:highlight w:val="none"/>
          <w:u w:val="none"/>
          <w:lang w:val="en-US" w:eastAsia="zh-CN"/>
        </w:rPr>
      </w:pPr>
      <w:r>
        <w:rPr>
          <w:rFonts w:hint="eastAsia" w:ascii="楷体_GB2312" w:hAnsi="楷体_GB2312" w:eastAsia="楷体_GB2312" w:cs="楷体_GB2312"/>
          <w:b w:val="0"/>
          <w:bCs/>
          <w:color w:val="auto"/>
          <w:sz w:val="32"/>
          <w:szCs w:val="32"/>
          <w:highlight w:val="none"/>
          <w:u w:val="none"/>
          <w:lang w:val="en-US" w:eastAsia="zh-CN"/>
        </w:rPr>
        <w:t>表3：市级考评各镇街群众诉求办理情况统计表（直派+转派）</w:t>
      </w:r>
    </w:p>
    <w:tbl>
      <w:tblPr>
        <w:tblStyle w:val="9"/>
        <w:tblW w:w="8870" w:type="dxa"/>
        <w:tblInd w:w="0" w:type="dxa"/>
        <w:shd w:val="clear" w:color="auto" w:fill="auto"/>
        <w:tblLayout w:type="fixed"/>
        <w:tblCellMar>
          <w:top w:w="0" w:type="dxa"/>
          <w:left w:w="0" w:type="dxa"/>
          <w:bottom w:w="0" w:type="dxa"/>
          <w:right w:w="0" w:type="dxa"/>
        </w:tblCellMar>
      </w:tblPr>
      <w:tblGrid>
        <w:gridCol w:w="719"/>
        <w:gridCol w:w="1652"/>
        <w:gridCol w:w="1297"/>
        <w:gridCol w:w="1297"/>
        <w:gridCol w:w="1297"/>
        <w:gridCol w:w="1297"/>
        <w:gridCol w:w="1311"/>
      </w:tblGrid>
      <w:tr>
        <w:tblPrEx>
          <w:shd w:val="clear" w:color="auto" w:fill="auto"/>
          <w:tblLayout w:type="fixed"/>
          <w:tblCellMar>
            <w:top w:w="0" w:type="dxa"/>
            <w:left w:w="0" w:type="dxa"/>
            <w:bottom w:w="0" w:type="dxa"/>
            <w:right w:w="0" w:type="dxa"/>
          </w:tblCellMar>
        </w:tblPrEx>
        <w:trPr>
          <w:trHeight w:val="454"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排名</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镇  街</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纳入考评</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响应率</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解决率</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满意率</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综合成绩</w:t>
            </w:r>
          </w:p>
        </w:tc>
      </w:tr>
      <w:tr>
        <w:tblPrEx>
          <w:tblLayout w:type="fixed"/>
          <w:tblCellMar>
            <w:top w:w="0" w:type="dxa"/>
            <w:left w:w="0" w:type="dxa"/>
            <w:bottom w:w="0" w:type="dxa"/>
            <w:right w:w="0" w:type="dxa"/>
          </w:tblCellMar>
        </w:tblPrEx>
        <w:trPr>
          <w:trHeight w:val="397"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密云镇</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224</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99.64%</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98.45%</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99.38%</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99.06 </w:t>
            </w:r>
          </w:p>
        </w:tc>
      </w:tr>
      <w:tr>
        <w:tblPrEx>
          <w:tblLayout w:type="fixed"/>
          <w:tblCellMar>
            <w:top w:w="0" w:type="dxa"/>
            <w:left w:w="0" w:type="dxa"/>
            <w:bottom w:w="0" w:type="dxa"/>
            <w:right w:w="0" w:type="dxa"/>
          </w:tblCellMar>
        </w:tblPrEx>
        <w:trPr>
          <w:trHeight w:val="397"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石城镇</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140</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97.71%</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97.56%</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98.70%</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98.05 </w:t>
            </w:r>
          </w:p>
        </w:tc>
      </w:tr>
      <w:tr>
        <w:tblPrEx>
          <w:tblLayout w:type="fixed"/>
          <w:tblCellMar>
            <w:top w:w="0" w:type="dxa"/>
            <w:left w:w="0" w:type="dxa"/>
            <w:bottom w:w="0" w:type="dxa"/>
            <w:right w:w="0" w:type="dxa"/>
          </w:tblCellMar>
        </w:tblPrEx>
        <w:trPr>
          <w:trHeight w:val="397"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古北口镇</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115</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98.61%</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97.94%</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97.73%</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97.99 </w:t>
            </w:r>
          </w:p>
        </w:tc>
      </w:tr>
      <w:tr>
        <w:tblPrEx>
          <w:tblLayout w:type="fixed"/>
          <w:tblCellMar>
            <w:top w:w="0" w:type="dxa"/>
            <w:left w:w="0" w:type="dxa"/>
            <w:bottom w:w="0" w:type="dxa"/>
            <w:right w:w="0" w:type="dxa"/>
          </w:tblCellMar>
        </w:tblPrEx>
        <w:trPr>
          <w:trHeight w:val="397"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巨各庄镇</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478</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96.25%</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97.85%</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97.64 </w:t>
            </w:r>
          </w:p>
        </w:tc>
      </w:tr>
      <w:tr>
        <w:tblPrEx>
          <w:tblLayout w:type="fixed"/>
          <w:tblCellMar>
            <w:top w:w="0" w:type="dxa"/>
            <w:left w:w="0" w:type="dxa"/>
            <w:bottom w:w="0" w:type="dxa"/>
            <w:right w:w="0" w:type="dxa"/>
          </w:tblCellMar>
        </w:tblPrEx>
        <w:trPr>
          <w:trHeight w:val="397"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穆家峪镇</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404</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98.76%</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95.59%</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97.94%</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97.16 </w:t>
            </w:r>
          </w:p>
        </w:tc>
      </w:tr>
      <w:tr>
        <w:tblPrEx>
          <w:tblLayout w:type="fixed"/>
          <w:tblCellMar>
            <w:top w:w="0" w:type="dxa"/>
            <w:left w:w="0" w:type="dxa"/>
            <w:bottom w:w="0" w:type="dxa"/>
            <w:right w:w="0" w:type="dxa"/>
          </w:tblCellMar>
        </w:tblPrEx>
        <w:trPr>
          <w:trHeight w:val="397"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不老屯镇</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257</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93.77%</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97.18%</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98.03%</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96.84 </w:t>
            </w:r>
          </w:p>
        </w:tc>
      </w:tr>
      <w:tr>
        <w:tblPrEx>
          <w:tblLayout w:type="fixed"/>
          <w:tblCellMar>
            <w:top w:w="0" w:type="dxa"/>
            <w:left w:w="0" w:type="dxa"/>
            <w:bottom w:w="0" w:type="dxa"/>
            <w:right w:w="0" w:type="dxa"/>
          </w:tblCellMar>
        </w:tblPrEx>
        <w:trPr>
          <w:trHeight w:val="397"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冯家峪镇</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194</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94.23%</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95.81%</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98.08%</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96.40 </w:t>
            </w:r>
          </w:p>
        </w:tc>
      </w:tr>
      <w:tr>
        <w:tblPrEx>
          <w:tblLayout w:type="fixed"/>
          <w:tblCellMar>
            <w:top w:w="0" w:type="dxa"/>
            <w:left w:w="0" w:type="dxa"/>
            <w:bottom w:w="0" w:type="dxa"/>
            <w:right w:w="0" w:type="dxa"/>
          </w:tblCellMar>
        </w:tblPrEx>
        <w:trPr>
          <w:trHeight w:val="397"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太师屯镇</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502</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97.13%</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94.22%</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97.16%</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95.98 </w:t>
            </w:r>
          </w:p>
        </w:tc>
      </w:tr>
      <w:tr>
        <w:tblPrEx>
          <w:tblLayout w:type="fixed"/>
          <w:tblCellMar>
            <w:top w:w="0" w:type="dxa"/>
            <w:left w:w="0" w:type="dxa"/>
            <w:bottom w:w="0" w:type="dxa"/>
            <w:right w:w="0" w:type="dxa"/>
          </w:tblCellMar>
        </w:tblPrEx>
        <w:trPr>
          <w:trHeight w:val="397"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河南寨镇</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402</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97.21%</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94.89%</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96.25%</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95.90 </w:t>
            </w:r>
          </w:p>
        </w:tc>
      </w:tr>
      <w:tr>
        <w:tblPrEx>
          <w:tblLayout w:type="fixed"/>
          <w:tblCellMar>
            <w:top w:w="0" w:type="dxa"/>
            <w:left w:w="0" w:type="dxa"/>
            <w:bottom w:w="0" w:type="dxa"/>
            <w:right w:w="0" w:type="dxa"/>
          </w:tblCellMar>
        </w:tblPrEx>
        <w:trPr>
          <w:trHeight w:val="397"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檀营地区</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109</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97.80%</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96.70%</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93.19%</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95.52 </w:t>
            </w:r>
          </w:p>
        </w:tc>
      </w:tr>
      <w:tr>
        <w:tblPrEx>
          <w:tblLayout w:type="fixed"/>
          <w:tblCellMar>
            <w:top w:w="0" w:type="dxa"/>
            <w:left w:w="0" w:type="dxa"/>
            <w:bottom w:w="0" w:type="dxa"/>
            <w:right w:w="0" w:type="dxa"/>
          </w:tblCellMar>
        </w:tblPrEx>
        <w:trPr>
          <w:trHeight w:val="397"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西田各庄镇</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369</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96.53%</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93.60%</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95.98%</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95.14 </w:t>
            </w:r>
          </w:p>
        </w:tc>
      </w:tr>
      <w:tr>
        <w:tblPrEx>
          <w:tblLayout w:type="fixed"/>
          <w:tblCellMar>
            <w:top w:w="0" w:type="dxa"/>
            <w:left w:w="0" w:type="dxa"/>
            <w:bottom w:w="0" w:type="dxa"/>
            <w:right w:w="0" w:type="dxa"/>
          </w:tblCellMar>
        </w:tblPrEx>
        <w:trPr>
          <w:trHeight w:val="397"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新城子镇</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122</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98.69%</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91.07%</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97.32%</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95.09 </w:t>
            </w:r>
          </w:p>
        </w:tc>
      </w:tr>
      <w:tr>
        <w:tblPrEx>
          <w:tblLayout w:type="fixed"/>
          <w:tblCellMar>
            <w:top w:w="0" w:type="dxa"/>
            <w:left w:w="0" w:type="dxa"/>
            <w:bottom w:w="0" w:type="dxa"/>
            <w:right w:w="0" w:type="dxa"/>
          </w:tblCellMar>
        </w:tblPrEx>
        <w:trPr>
          <w:trHeight w:val="397"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十里堡镇</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306</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99.22%</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94.19%</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93.80%</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95.04 </w:t>
            </w:r>
          </w:p>
        </w:tc>
      </w:tr>
      <w:tr>
        <w:tblPrEx>
          <w:tblLayout w:type="fixed"/>
          <w:tblCellMar>
            <w:top w:w="0" w:type="dxa"/>
            <w:left w:w="0" w:type="dxa"/>
            <w:bottom w:w="0" w:type="dxa"/>
            <w:right w:w="0" w:type="dxa"/>
          </w:tblCellMar>
        </w:tblPrEx>
        <w:trPr>
          <w:trHeight w:val="397"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北庄镇</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157</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95.41%</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93.71%</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95.10%</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94.61 </w:t>
            </w:r>
          </w:p>
        </w:tc>
      </w:tr>
      <w:tr>
        <w:tblPrEx>
          <w:tblLayout w:type="fixed"/>
          <w:tblCellMar>
            <w:top w:w="0" w:type="dxa"/>
            <w:left w:w="0" w:type="dxa"/>
            <w:bottom w:w="0" w:type="dxa"/>
            <w:right w:w="0" w:type="dxa"/>
          </w:tblCellMar>
        </w:tblPrEx>
        <w:trPr>
          <w:trHeight w:val="397"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溪翁庄镇</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352</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99.77%</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92.08%</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94.04%</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94.40 </w:t>
            </w:r>
          </w:p>
        </w:tc>
      </w:tr>
      <w:tr>
        <w:tblPrEx>
          <w:tblLayout w:type="fixed"/>
          <w:tblCellMar>
            <w:top w:w="0" w:type="dxa"/>
            <w:left w:w="0" w:type="dxa"/>
            <w:bottom w:w="0" w:type="dxa"/>
            <w:right w:w="0" w:type="dxa"/>
          </w:tblCellMar>
        </w:tblPrEx>
        <w:trPr>
          <w:trHeight w:val="454"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黑体" w:hAnsi="宋体" w:eastAsia="黑体" w:cs="黑体"/>
                <w:i w:val="0"/>
                <w:color w:val="000000"/>
                <w:kern w:val="2"/>
                <w:sz w:val="24"/>
                <w:szCs w:val="24"/>
                <w:u w:val="none"/>
                <w:lang w:val="en-US" w:eastAsia="zh-CN" w:bidi="ar-SA"/>
              </w:rPr>
            </w:pPr>
            <w:r>
              <w:rPr>
                <w:rFonts w:hint="eastAsia" w:ascii="黑体" w:hAnsi="宋体" w:eastAsia="黑体" w:cs="黑体"/>
                <w:i w:val="0"/>
                <w:color w:val="000000"/>
                <w:kern w:val="0"/>
                <w:sz w:val="24"/>
                <w:szCs w:val="24"/>
                <w:u w:val="none"/>
                <w:lang w:val="en-US" w:eastAsia="zh-CN" w:bidi="ar"/>
              </w:rPr>
              <w:t>排名</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2"/>
                <w:sz w:val="24"/>
                <w:szCs w:val="24"/>
                <w:u w:val="none"/>
                <w:lang w:val="en-US" w:eastAsia="zh-CN" w:bidi="ar-SA"/>
              </w:rPr>
            </w:pPr>
            <w:r>
              <w:rPr>
                <w:rFonts w:hint="eastAsia" w:ascii="黑体" w:hAnsi="宋体" w:eastAsia="黑体" w:cs="黑体"/>
                <w:i w:val="0"/>
                <w:color w:val="000000"/>
                <w:kern w:val="0"/>
                <w:sz w:val="24"/>
                <w:szCs w:val="24"/>
                <w:u w:val="none"/>
                <w:lang w:val="en-US" w:eastAsia="zh-CN" w:bidi="ar"/>
              </w:rPr>
              <w:t>镇  街</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黑体" w:hAnsi="宋体" w:eastAsia="黑体" w:cs="黑体"/>
                <w:i w:val="0"/>
                <w:color w:val="000000"/>
                <w:kern w:val="2"/>
                <w:sz w:val="24"/>
                <w:szCs w:val="24"/>
                <w:u w:val="none"/>
                <w:lang w:val="en-US" w:eastAsia="zh-CN" w:bidi="ar-SA"/>
              </w:rPr>
            </w:pPr>
            <w:r>
              <w:rPr>
                <w:rFonts w:hint="eastAsia" w:ascii="黑体" w:hAnsi="宋体" w:eastAsia="黑体" w:cs="黑体"/>
                <w:i w:val="0"/>
                <w:color w:val="000000"/>
                <w:kern w:val="0"/>
                <w:sz w:val="24"/>
                <w:szCs w:val="24"/>
                <w:u w:val="none"/>
                <w:lang w:val="en-US" w:eastAsia="zh-CN" w:bidi="ar"/>
              </w:rPr>
              <w:t>纳入考评</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黑体" w:hAnsi="宋体" w:eastAsia="黑体" w:cs="黑体"/>
                <w:i w:val="0"/>
                <w:color w:val="000000"/>
                <w:kern w:val="2"/>
                <w:sz w:val="24"/>
                <w:szCs w:val="24"/>
                <w:u w:val="none"/>
                <w:lang w:val="en-US" w:eastAsia="zh-CN" w:bidi="ar-SA"/>
              </w:rPr>
            </w:pPr>
            <w:r>
              <w:rPr>
                <w:rFonts w:hint="eastAsia" w:ascii="黑体" w:hAnsi="宋体" w:eastAsia="黑体" w:cs="黑体"/>
                <w:i w:val="0"/>
                <w:color w:val="000000"/>
                <w:kern w:val="0"/>
                <w:sz w:val="24"/>
                <w:szCs w:val="24"/>
                <w:u w:val="none"/>
                <w:lang w:val="en-US" w:eastAsia="zh-CN" w:bidi="ar"/>
              </w:rPr>
              <w:t>响应率</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黑体" w:hAnsi="宋体" w:eastAsia="黑体" w:cs="黑体"/>
                <w:i w:val="0"/>
                <w:color w:val="000000"/>
                <w:kern w:val="2"/>
                <w:sz w:val="24"/>
                <w:szCs w:val="24"/>
                <w:u w:val="none"/>
                <w:lang w:val="en-US" w:eastAsia="zh-CN" w:bidi="ar-SA"/>
              </w:rPr>
            </w:pPr>
            <w:r>
              <w:rPr>
                <w:rFonts w:hint="eastAsia" w:ascii="黑体" w:hAnsi="宋体" w:eastAsia="黑体" w:cs="黑体"/>
                <w:i w:val="0"/>
                <w:color w:val="000000"/>
                <w:kern w:val="0"/>
                <w:sz w:val="24"/>
                <w:szCs w:val="24"/>
                <w:u w:val="none"/>
                <w:lang w:val="en-US" w:eastAsia="zh-CN" w:bidi="ar"/>
              </w:rPr>
              <w:t>解决率</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黑体" w:hAnsi="宋体" w:eastAsia="黑体" w:cs="黑体"/>
                <w:i w:val="0"/>
                <w:color w:val="000000"/>
                <w:kern w:val="2"/>
                <w:sz w:val="24"/>
                <w:szCs w:val="24"/>
                <w:u w:val="none"/>
                <w:lang w:val="en-US" w:eastAsia="zh-CN" w:bidi="ar-SA"/>
              </w:rPr>
            </w:pPr>
            <w:r>
              <w:rPr>
                <w:rFonts w:hint="eastAsia" w:ascii="黑体" w:hAnsi="宋体" w:eastAsia="黑体" w:cs="黑体"/>
                <w:i w:val="0"/>
                <w:color w:val="000000"/>
                <w:kern w:val="0"/>
                <w:sz w:val="24"/>
                <w:szCs w:val="24"/>
                <w:u w:val="none"/>
                <w:lang w:val="en-US" w:eastAsia="zh-CN" w:bidi="ar"/>
              </w:rPr>
              <w:t>满意率</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黑体" w:hAnsi="宋体" w:eastAsia="黑体" w:cs="黑体"/>
                <w:i w:val="0"/>
                <w:color w:val="000000"/>
                <w:kern w:val="2"/>
                <w:sz w:val="24"/>
                <w:szCs w:val="24"/>
                <w:u w:val="none"/>
                <w:lang w:val="en-US" w:eastAsia="zh-CN" w:bidi="ar-SA"/>
              </w:rPr>
            </w:pPr>
            <w:r>
              <w:rPr>
                <w:rFonts w:hint="eastAsia" w:ascii="黑体" w:hAnsi="宋体" w:eastAsia="黑体" w:cs="黑体"/>
                <w:i w:val="0"/>
                <w:color w:val="000000"/>
                <w:kern w:val="0"/>
                <w:sz w:val="24"/>
                <w:szCs w:val="24"/>
                <w:u w:val="none"/>
                <w:lang w:val="en-US" w:eastAsia="zh-CN" w:bidi="ar"/>
              </w:rPr>
              <w:t>综合成绩</w:t>
            </w:r>
          </w:p>
        </w:tc>
      </w:tr>
      <w:tr>
        <w:tblPrEx>
          <w:tblLayout w:type="fixed"/>
          <w:tblCellMar>
            <w:top w:w="0" w:type="dxa"/>
            <w:left w:w="0" w:type="dxa"/>
            <w:bottom w:w="0" w:type="dxa"/>
            <w:right w:w="0" w:type="dxa"/>
          </w:tblCellMar>
        </w:tblPrEx>
        <w:trPr>
          <w:trHeight w:val="397"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果园街道</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170</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99.29%</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91.33%</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93.87%</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93.94 </w:t>
            </w:r>
          </w:p>
        </w:tc>
      </w:tr>
      <w:tr>
        <w:tblPrEx>
          <w:tblLayout w:type="fixed"/>
          <w:tblCellMar>
            <w:top w:w="0" w:type="dxa"/>
            <w:left w:w="0" w:type="dxa"/>
            <w:bottom w:w="0" w:type="dxa"/>
            <w:right w:w="0" w:type="dxa"/>
          </w:tblCellMar>
        </w:tblPrEx>
        <w:trPr>
          <w:trHeight w:val="397"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鼓楼街道</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594</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98.75%</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89.95%</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93.53%</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93.14 </w:t>
            </w:r>
          </w:p>
        </w:tc>
      </w:tr>
      <w:tr>
        <w:tblPrEx>
          <w:tblLayout w:type="fixed"/>
          <w:tblCellMar>
            <w:top w:w="0" w:type="dxa"/>
            <w:left w:w="0" w:type="dxa"/>
            <w:bottom w:w="0" w:type="dxa"/>
            <w:right w:w="0" w:type="dxa"/>
          </w:tblCellMar>
        </w:tblPrEx>
        <w:trPr>
          <w:trHeight w:val="397"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东邵渠镇</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201</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96.82%</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91.19%</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92.45%</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92.82 </w:t>
            </w:r>
          </w:p>
        </w:tc>
      </w:tr>
      <w:tr>
        <w:tblPrEx>
          <w:tblLayout w:type="fixed"/>
          <w:tblCellMar>
            <w:top w:w="0" w:type="dxa"/>
            <w:left w:w="0" w:type="dxa"/>
            <w:bottom w:w="0" w:type="dxa"/>
            <w:right w:w="0" w:type="dxa"/>
          </w:tblCellMar>
        </w:tblPrEx>
        <w:trPr>
          <w:trHeight w:val="397"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大城子镇</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166</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91.33%</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90.58%</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95.65%</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92.76 </w:t>
            </w:r>
          </w:p>
        </w:tc>
      </w:tr>
      <w:tr>
        <w:tblPrEx>
          <w:tblLayout w:type="fixed"/>
          <w:tblCellMar>
            <w:top w:w="0" w:type="dxa"/>
            <w:left w:w="0" w:type="dxa"/>
            <w:bottom w:w="0" w:type="dxa"/>
            <w:right w:w="0" w:type="dxa"/>
          </w:tblCellMar>
        </w:tblPrEx>
        <w:trPr>
          <w:trHeight w:val="397"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高岭镇</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188</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96.49%</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88.96%</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92.21%</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91.77 </w:t>
            </w:r>
          </w:p>
        </w:tc>
      </w:tr>
      <w:tr>
        <w:tblPrEx>
          <w:tblLayout w:type="fixed"/>
          <w:tblCellMar>
            <w:top w:w="0" w:type="dxa"/>
            <w:left w:w="0" w:type="dxa"/>
            <w:bottom w:w="0" w:type="dxa"/>
            <w:right w:w="0" w:type="dxa"/>
          </w:tblCellMar>
        </w:tblPrEx>
        <w:trPr>
          <w:trHeight w:val="425" w:hRule="atLeast"/>
        </w:trPr>
        <w:tc>
          <w:tcPr>
            <w:tcW w:w="8870"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u w:val="none"/>
              </w:rPr>
            </w:pPr>
            <w:r>
              <w:rPr>
                <w:rFonts w:hint="eastAsia" w:ascii="黑体" w:hAnsi="宋体" w:eastAsia="黑体" w:cs="黑体"/>
                <w:i w:val="0"/>
                <w:color w:val="000000"/>
                <w:kern w:val="0"/>
                <w:sz w:val="24"/>
                <w:szCs w:val="24"/>
                <w:u w:val="none"/>
                <w:lang w:val="en-US" w:eastAsia="zh-CN" w:bidi="ar"/>
              </w:rPr>
              <w:t>镇街直派工单+转派工单综合成绩为95.47分。</w:t>
            </w:r>
          </w:p>
        </w:tc>
      </w:tr>
    </w:tbl>
    <w:p>
      <w:pPr>
        <w:pStyle w:val="11"/>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楷体_GB2312" w:hAnsi="楷体_GB2312" w:eastAsia="楷体_GB2312" w:cs="楷体_GB2312"/>
          <w:b w:val="0"/>
          <w:bCs/>
          <w:color w:val="auto"/>
          <w:sz w:val="32"/>
          <w:szCs w:val="32"/>
          <w:highlight w:val="none"/>
          <w:u w:val="none"/>
          <w:lang w:val="en-US" w:eastAsia="zh-CN"/>
        </w:rPr>
      </w:pPr>
      <w:r>
        <w:rPr>
          <w:rFonts w:hint="eastAsia" w:ascii="楷体_GB2312" w:hAnsi="楷体_GB2312" w:eastAsia="楷体_GB2312" w:cs="楷体_GB2312"/>
          <w:b w:val="0"/>
          <w:bCs/>
          <w:color w:val="auto"/>
          <w:sz w:val="32"/>
          <w:szCs w:val="32"/>
          <w:highlight w:val="none"/>
          <w:u w:val="none"/>
          <w:lang w:val="en-US" w:eastAsia="zh-CN"/>
        </w:rPr>
        <w:t>表4：市级考评各部门群众诉求办理情况统计表</w:t>
      </w:r>
    </w:p>
    <w:tbl>
      <w:tblPr>
        <w:tblStyle w:val="9"/>
        <w:tblW w:w="88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416"/>
        <w:gridCol w:w="400"/>
        <w:gridCol w:w="2560"/>
        <w:gridCol w:w="1086"/>
        <w:gridCol w:w="1086"/>
        <w:gridCol w:w="1086"/>
        <w:gridCol w:w="1086"/>
        <w:gridCol w:w="11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Ex>
        <w:trPr>
          <w:trHeight w:val="300" w:hRule="atLeast"/>
        </w:trPr>
        <w:tc>
          <w:tcPr>
            <w:tcW w:w="4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排名</w:t>
            </w:r>
          </w:p>
        </w:tc>
        <w:tc>
          <w:tcPr>
            <w:tcW w:w="4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分类</w:t>
            </w:r>
          </w:p>
        </w:tc>
        <w:tc>
          <w:tcPr>
            <w:tcW w:w="256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部  门</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color w:val="000000"/>
                <w:kern w:val="0"/>
                <w:sz w:val="24"/>
                <w:szCs w:val="24"/>
                <w:u w:val="none"/>
                <w:lang w:val="en-US" w:eastAsia="zh-CN" w:bidi="ar"/>
              </w:rPr>
              <w:t>纳入</w:t>
            </w:r>
          </w:p>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考评</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响应率</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解决率</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满意率</w:t>
            </w:r>
          </w:p>
        </w:tc>
        <w:tc>
          <w:tcPr>
            <w:tcW w:w="115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color w:val="000000"/>
                <w:kern w:val="0"/>
                <w:sz w:val="24"/>
                <w:szCs w:val="24"/>
                <w:u w:val="none"/>
                <w:lang w:val="en-US" w:eastAsia="zh-CN" w:bidi="ar"/>
              </w:rPr>
              <w:t>综合</w:t>
            </w:r>
          </w:p>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成绩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0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一类部门</w:t>
            </w:r>
          </w:p>
          <w:p>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税务局</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15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400" w:type="dxa"/>
            <w:vMerge w:val="continue"/>
            <w:tcBorders>
              <w:tl2br w:val="nil"/>
              <w:tr2bl w:val="nil"/>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园林绿化局</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96.52%</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15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99.30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400" w:type="dxa"/>
            <w:vMerge w:val="continue"/>
            <w:tcBorders>
              <w:tl2br w:val="nil"/>
              <w:tr2bl w:val="nil"/>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中关村密云园</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46</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97.83%</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99.57%</w:t>
            </w:r>
          </w:p>
        </w:tc>
        <w:tc>
          <w:tcPr>
            <w:tcW w:w="115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98.96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400" w:type="dxa"/>
            <w:vMerge w:val="continue"/>
            <w:tcBorders>
              <w:tl2br w:val="nil"/>
              <w:tr2bl w:val="nil"/>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市场监督管理局</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215</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99.91%</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98.22%</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98.34%</w:t>
            </w:r>
          </w:p>
        </w:tc>
        <w:tc>
          <w:tcPr>
            <w:tcW w:w="115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98.61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400" w:type="dxa"/>
            <w:vMerge w:val="continue"/>
            <w:tcBorders>
              <w:tl2br w:val="nil"/>
              <w:tr2bl w:val="nil"/>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教  委</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131</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97.56%</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98.02%</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98.81%</w:t>
            </w:r>
          </w:p>
        </w:tc>
        <w:tc>
          <w:tcPr>
            <w:tcW w:w="115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98.24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400" w:type="dxa"/>
            <w:vMerge w:val="continue"/>
            <w:tcBorders>
              <w:tl2br w:val="nil"/>
              <w:tr2bl w:val="nil"/>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卫生健康委</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162</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99.51%</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97.18%</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98.45%</w:t>
            </w:r>
          </w:p>
        </w:tc>
        <w:tc>
          <w:tcPr>
            <w:tcW w:w="115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98.15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400" w:type="dxa"/>
            <w:vMerge w:val="continue"/>
            <w:tcBorders>
              <w:tl2br w:val="nil"/>
              <w:tr2bl w:val="nil"/>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国资委</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35</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97.71%</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97.06%</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99.41%</w:t>
            </w:r>
          </w:p>
        </w:tc>
        <w:tc>
          <w:tcPr>
            <w:tcW w:w="115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98.13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400" w:type="dxa"/>
            <w:vMerge w:val="continue"/>
            <w:tcBorders>
              <w:tl2br w:val="nil"/>
              <w:tr2bl w:val="nil"/>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农业农村局</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94.12%</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15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97.65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w:t>
            </w:r>
          </w:p>
        </w:tc>
        <w:tc>
          <w:tcPr>
            <w:tcW w:w="400" w:type="dxa"/>
            <w:vMerge w:val="continue"/>
            <w:tcBorders>
              <w:tl2br w:val="nil"/>
              <w:tr2bl w:val="nil"/>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城建投开发公司</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103</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98.45%</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97.37%</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96.05%</w:t>
            </w:r>
          </w:p>
        </w:tc>
        <w:tc>
          <w:tcPr>
            <w:tcW w:w="115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97.06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400" w:type="dxa"/>
            <w:vMerge w:val="continue"/>
            <w:tcBorders>
              <w:tl2br w:val="nil"/>
              <w:tr2bl w:val="nil"/>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文化和旅游局</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63</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98.73%</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92.73%</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99.27%</w:t>
            </w:r>
          </w:p>
        </w:tc>
        <w:tc>
          <w:tcPr>
            <w:tcW w:w="115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96.55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w:t>
            </w:r>
          </w:p>
        </w:tc>
        <w:tc>
          <w:tcPr>
            <w:tcW w:w="400" w:type="dxa"/>
            <w:vMerge w:val="continue"/>
            <w:tcBorders>
              <w:tl2br w:val="nil"/>
              <w:tr2bl w:val="nil"/>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心连心城服公司</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326</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99.45%</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91.72%</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94.55%</w:t>
            </w:r>
          </w:p>
        </w:tc>
        <w:tc>
          <w:tcPr>
            <w:tcW w:w="115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94.40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400" w:type="dxa"/>
            <w:vMerge w:val="continue"/>
            <w:tcBorders>
              <w:tl2br w:val="nil"/>
              <w:tr2bl w:val="nil"/>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4"/>
                <w:szCs w:val="24"/>
                <w:u w:val="none"/>
                <w:lang w:eastAsia="zh-CN"/>
              </w:rPr>
            </w:pPr>
          </w:p>
        </w:tc>
        <w:tc>
          <w:tcPr>
            <w:tcW w:w="256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商务局</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148</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99.46%</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90.52%</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93.97%</w:t>
            </w:r>
          </w:p>
        </w:tc>
        <w:tc>
          <w:tcPr>
            <w:tcW w:w="115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93.68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w:t>
            </w:r>
          </w:p>
        </w:tc>
        <w:tc>
          <w:tcPr>
            <w:tcW w:w="40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一类部门</w:t>
            </w:r>
          </w:p>
          <w:p>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城市管理委</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61</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98.36%</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86.79%</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96.23%</w:t>
            </w:r>
          </w:p>
        </w:tc>
        <w:tc>
          <w:tcPr>
            <w:tcW w:w="115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92.88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w:t>
            </w:r>
          </w:p>
        </w:tc>
        <w:tc>
          <w:tcPr>
            <w:tcW w:w="400" w:type="dxa"/>
            <w:vMerge w:val="continue"/>
            <w:tcBorders>
              <w:tl2br w:val="nil"/>
              <w:tr2bl w:val="nil"/>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体育局</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62</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87.76%</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94.29%</w:t>
            </w:r>
          </w:p>
        </w:tc>
        <w:tc>
          <w:tcPr>
            <w:tcW w:w="115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92.82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400" w:type="dxa"/>
            <w:vMerge w:val="continue"/>
            <w:tcBorders>
              <w:tl2br w:val="nil"/>
              <w:tr2bl w:val="nil"/>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人力资源和社会保障局</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141</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99.57%</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84.11%</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95.89%</w:t>
            </w:r>
          </w:p>
        </w:tc>
        <w:tc>
          <w:tcPr>
            <w:tcW w:w="115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91.91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w:t>
            </w:r>
          </w:p>
        </w:tc>
        <w:tc>
          <w:tcPr>
            <w:tcW w:w="400" w:type="dxa"/>
            <w:vMerge w:val="continue"/>
            <w:tcBorders>
              <w:tl2br w:val="nil"/>
              <w:tr2bl w:val="nil"/>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水务局</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38</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88.24%</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91.18%</w:t>
            </w:r>
          </w:p>
        </w:tc>
        <w:tc>
          <w:tcPr>
            <w:tcW w:w="115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91.76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17</w:t>
            </w:r>
          </w:p>
        </w:tc>
        <w:tc>
          <w:tcPr>
            <w:tcW w:w="400" w:type="dxa"/>
            <w:vMerge w:val="continue"/>
            <w:tcBorders>
              <w:tl2br w:val="nil"/>
              <w:tr2bl w:val="nil"/>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檀州资源公司</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28</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99.29%</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84.00%</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92.00%</w:t>
            </w:r>
          </w:p>
        </w:tc>
        <w:tc>
          <w:tcPr>
            <w:tcW w:w="115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90.26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18</w:t>
            </w:r>
          </w:p>
        </w:tc>
        <w:tc>
          <w:tcPr>
            <w:tcW w:w="400" w:type="dxa"/>
            <w:vMerge w:val="continue"/>
            <w:tcBorders>
              <w:tl2br w:val="nil"/>
              <w:tr2bl w:val="nil"/>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规自分局</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80.95%</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92.38%</w:t>
            </w:r>
          </w:p>
        </w:tc>
        <w:tc>
          <w:tcPr>
            <w:tcW w:w="115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89.33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19</w:t>
            </w:r>
          </w:p>
        </w:tc>
        <w:tc>
          <w:tcPr>
            <w:tcW w:w="400" w:type="dxa"/>
            <w:vMerge w:val="continue"/>
            <w:tcBorders>
              <w:tl2br w:val="nil"/>
              <w:tr2bl w:val="nil"/>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住建委</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488</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99.39%</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82.11%</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87.91%</w:t>
            </w:r>
          </w:p>
        </w:tc>
        <w:tc>
          <w:tcPr>
            <w:tcW w:w="115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87.89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400" w:type="dxa"/>
            <w:vMerge w:val="continue"/>
            <w:tcBorders>
              <w:tl2br w:val="nil"/>
              <w:tr2bl w:val="nil"/>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交通局</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56</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98.57%</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73.08%</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88.85%</w:t>
            </w:r>
          </w:p>
        </w:tc>
        <w:tc>
          <w:tcPr>
            <w:tcW w:w="115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84.</w:t>
            </w:r>
            <w:bookmarkStart w:id="0" w:name="_GoBack"/>
            <w:bookmarkEnd w:id="0"/>
            <w:r>
              <w:rPr>
                <w:rFonts w:hint="default" w:ascii="Times New Roman" w:hAnsi="Times New Roman" w:eastAsia="宋体" w:cs="Times New Roman"/>
                <w:i w:val="0"/>
                <w:iCs w:val="0"/>
                <w:color w:val="000000"/>
                <w:kern w:val="0"/>
                <w:sz w:val="24"/>
                <w:szCs w:val="24"/>
                <w:u w:val="none"/>
                <w:lang w:val="en-US" w:eastAsia="zh-CN" w:bidi="ar"/>
              </w:rPr>
              <w:t xml:space="preserve">48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黑体" w:hAnsi="宋体" w:eastAsia="黑体" w:cs="黑体"/>
                <w:i w:val="0"/>
                <w:color w:val="000000"/>
                <w:kern w:val="2"/>
                <w:sz w:val="24"/>
                <w:szCs w:val="24"/>
                <w:u w:val="none"/>
                <w:lang w:val="en-US" w:eastAsia="zh-CN" w:bidi="ar-SA"/>
              </w:rPr>
            </w:pPr>
            <w:r>
              <w:rPr>
                <w:rFonts w:hint="eastAsia" w:ascii="黑体" w:hAnsi="宋体" w:eastAsia="黑体" w:cs="黑体"/>
                <w:i w:val="0"/>
                <w:color w:val="000000"/>
                <w:kern w:val="0"/>
                <w:sz w:val="24"/>
                <w:szCs w:val="24"/>
                <w:u w:val="none"/>
                <w:lang w:val="en-US" w:eastAsia="zh-CN" w:bidi="ar"/>
              </w:rPr>
              <w:t>排名</w:t>
            </w:r>
          </w:p>
        </w:tc>
        <w:tc>
          <w:tcPr>
            <w:tcW w:w="4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2"/>
                <w:sz w:val="24"/>
                <w:szCs w:val="24"/>
                <w:u w:val="none"/>
                <w:lang w:val="en-US" w:eastAsia="zh-CN" w:bidi="ar-SA"/>
              </w:rPr>
            </w:pPr>
            <w:r>
              <w:rPr>
                <w:rFonts w:hint="eastAsia" w:ascii="黑体" w:hAnsi="宋体" w:eastAsia="黑体" w:cs="黑体"/>
                <w:i w:val="0"/>
                <w:color w:val="000000"/>
                <w:kern w:val="0"/>
                <w:sz w:val="24"/>
                <w:szCs w:val="24"/>
                <w:u w:val="none"/>
                <w:lang w:val="en-US" w:eastAsia="zh-CN" w:bidi="ar"/>
              </w:rPr>
              <w:t>分类</w:t>
            </w:r>
          </w:p>
        </w:tc>
        <w:tc>
          <w:tcPr>
            <w:tcW w:w="256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2"/>
                <w:sz w:val="24"/>
                <w:szCs w:val="24"/>
                <w:u w:val="none"/>
                <w:lang w:val="en-US" w:eastAsia="zh-CN" w:bidi="ar-SA"/>
              </w:rPr>
            </w:pPr>
            <w:r>
              <w:rPr>
                <w:rFonts w:hint="eastAsia" w:ascii="黑体" w:hAnsi="宋体" w:eastAsia="黑体" w:cs="黑体"/>
                <w:i w:val="0"/>
                <w:color w:val="000000"/>
                <w:kern w:val="0"/>
                <w:sz w:val="24"/>
                <w:szCs w:val="24"/>
                <w:u w:val="none"/>
                <w:lang w:val="en-US" w:eastAsia="zh-CN" w:bidi="ar"/>
              </w:rPr>
              <w:t>部  门</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color w:val="000000"/>
                <w:kern w:val="0"/>
                <w:sz w:val="24"/>
                <w:szCs w:val="24"/>
                <w:u w:val="none"/>
                <w:lang w:val="en-US" w:eastAsia="zh-CN" w:bidi="ar"/>
              </w:rPr>
              <w:t>纳入</w:t>
            </w:r>
          </w:p>
          <w:p>
            <w:pPr>
              <w:keepNext w:val="0"/>
              <w:keepLines w:val="0"/>
              <w:widowControl/>
              <w:suppressLineNumbers w:val="0"/>
              <w:jc w:val="center"/>
              <w:textAlignment w:val="center"/>
              <w:rPr>
                <w:rFonts w:hint="default" w:ascii="黑体" w:hAnsi="宋体" w:eastAsia="黑体" w:cs="黑体"/>
                <w:i w:val="0"/>
                <w:color w:val="000000"/>
                <w:kern w:val="2"/>
                <w:sz w:val="24"/>
                <w:szCs w:val="24"/>
                <w:u w:val="none"/>
                <w:lang w:val="en-US" w:eastAsia="zh-CN" w:bidi="ar-SA"/>
              </w:rPr>
            </w:pPr>
            <w:r>
              <w:rPr>
                <w:rFonts w:hint="eastAsia" w:ascii="黑体" w:hAnsi="宋体" w:eastAsia="黑体" w:cs="黑体"/>
                <w:i w:val="0"/>
                <w:color w:val="000000"/>
                <w:kern w:val="0"/>
                <w:sz w:val="24"/>
                <w:szCs w:val="24"/>
                <w:u w:val="none"/>
                <w:lang w:val="en-US" w:eastAsia="zh-CN" w:bidi="ar"/>
              </w:rPr>
              <w:t>考评</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黑体" w:hAnsi="宋体" w:eastAsia="黑体" w:cs="黑体"/>
                <w:i w:val="0"/>
                <w:color w:val="000000"/>
                <w:kern w:val="2"/>
                <w:sz w:val="24"/>
                <w:szCs w:val="24"/>
                <w:u w:val="none"/>
                <w:lang w:val="en-US" w:eastAsia="zh-CN" w:bidi="ar-SA"/>
              </w:rPr>
            </w:pPr>
            <w:r>
              <w:rPr>
                <w:rFonts w:hint="eastAsia" w:ascii="黑体" w:hAnsi="宋体" w:eastAsia="黑体" w:cs="黑体"/>
                <w:i w:val="0"/>
                <w:color w:val="000000"/>
                <w:kern w:val="0"/>
                <w:sz w:val="24"/>
                <w:szCs w:val="24"/>
                <w:u w:val="none"/>
                <w:lang w:val="en-US" w:eastAsia="zh-CN" w:bidi="ar"/>
              </w:rPr>
              <w:t>响应率</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黑体" w:hAnsi="宋体" w:eastAsia="黑体" w:cs="黑体"/>
                <w:i w:val="0"/>
                <w:color w:val="000000"/>
                <w:kern w:val="2"/>
                <w:sz w:val="24"/>
                <w:szCs w:val="24"/>
                <w:u w:val="none"/>
                <w:lang w:val="en-US" w:eastAsia="zh-CN" w:bidi="ar-SA"/>
              </w:rPr>
            </w:pPr>
            <w:r>
              <w:rPr>
                <w:rFonts w:hint="eastAsia" w:ascii="黑体" w:hAnsi="宋体" w:eastAsia="黑体" w:cs="黑体"/>
                <w:i w:val="0"/>
                <w:color w:val="000000"/>
                <w:kern w:val="0"/>
                <w:sz w:val="24"/>
                <w:szCs w:val="24"/>
                <w:u w:val="none"/>
                <w:lang w:val="en-US" w:eastAsia="zh-CN" w:bidi="ar"/>
              </w:rPr>
              <w:t>解决率</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黑体" w:hAnsi="宋体" w:eastAsia="黑体" w:cs="黑体"/>
                <w:i w:val="0"/>
                <w:color w:val="000000"/>
                <w:kern w:val="2"/>
                <w:sz w:val="24"/>
                <w:szCs w:val="24"/>
                <w:u w:val="none"/>
                <w:lang w:val="en-US" w:eastAsia="zh-CN" w:bidi="ar-SA"/>
              </w:rPr>
            </w:pPr>
            <w:r>
              <w:rPr>
                <w:rFonts w:hint="eastAsia" w:ascii="黑体" w:hAnsi="宋体" w:eastAsia="黑体" w:cs="黑体"/>
                <w:i w:val="0"/>
                <w:color w:val="000000"/>
                <w:kern w:val="0"/>
                <w:sz w:val="24"/>
                <w:szCs w:val="24"/>
                <w:u w:val="none"/>
                <w:lang w:val="en-US" w:eastAsia="zh-CN" w:bidi="ar"/>
              </w:rPr>
              <w:t>满意率</w:t>
            </w:r>
          </w:p>
        </w:tc>
        <w:tc>
          <w:tcPr>
            <w:tcW w:w="115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color w:val="000000"/>
                <w:kern w:val="0"/>
                <w:sz w:val="24"/>
                <w:szCs w:val="24"/>
                <w:u w:val="none"/>
                <w:lang w:val="en-US" w:eastAsia="zh-CN" w:bidi="ar"/>
              </w:rPr>
              <w:t>综合</w:t>
            </w:r>
          </w:p>
          <w:p>
            <w:pPr>
              <w:keepNext w:val="0"/>
              <w:keepLines w:val="0"/>
              <w:widowControl/>
              <w:suppressLineNumbers w:val="0"/>
              <w:jc w:val="center"/>
              <w:textAlignment w:val="center"/>
              <w:rPr>
                <w:rFonts w:hint="default" w:ascii="黑体" w:hAnsi="宋体" w:eastAsia="黑体" w:cs="黑体"/>
                <w:i w:val="0"/>
                <w:color w:val="000000"/>
                <w:kern w:val="2"/>
                <w:sz w:val="24"/>
                <w:szCs w:val="24"/>
                <w:u w:val="none"/>
                <w:lang w:val="en-US" w:eastAsia="zh-CN" w:bidi="ar-SA"/>
              </w:rPr>
            </w:pPr>
            <w:r>
              <w:rPr>
                <w:rFonts w:hint="eastAsia" w:ascii="黑体" w:hAnsi="宋体" w:eastAsia="黑体" w:cs="黑体"/>
                <w:i w:val="0"/>
                <w:color w:val="000000"/>
                <w:kern w:val="0"/>
                <w:sz w:val="24"/>
                <w:szCs w:val="24"/>
                <w:u w:val="none"/>
                <w:lang w:val="en-US" w:eastAsia="zh-CN" w:bidi="ar"/>
              </w:rPr>
              <w:t>成绩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0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二类部门</w:t>
            </w:r>
          </w:p>
          <w:p>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消防支队</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15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00" w:type="dxa"/>
            <w:vMerge w:val="continue"/>
            <w:tcBorders>
              <w:tl2br w:val="nil"/>
              <w:tr2bl w:val="nil"/>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园林中心</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15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00" w:type="dxa"/>
            <w:vMerge w:val="continue"/>
            <w:tcBorders>
              <w:tl2br w:val="nil"/>
              <w:tr2bl w:val="nil"/>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农业服务中心</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15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00" w:type="dxa"/>
            <w:vMerge w:val="continue"/>
            <w:tcBorders>
              <w:tl2br w:val="nil"/>
              <w:tr2bl w:val="nil"/>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渔阳集团</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15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00" w:type="dxa"/>
            <w:vMerge w:val="continue"/>
            <w:tcBorders>
              <w:tl2br w:val="nil"/>
              <w:tr2bl w:val="nil"/>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医疗保障局</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15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100.00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00" w:type="dxa"/>
            <w:vMerge w:val="continue"/>
            <w:tcBorders>
              <w:tl2br w:val="nil"/>
              <w:tr2bl w:val="nil"/>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2"/>
                <w:sz w:val="24"/>
                <w:szCs w:val="24"/>
                <w:u w:val="none"/>
                <w:lang w:val="en-US" w:eastAsia="zh-CN" w:bidi="ar-SA"/>
              </w:rPr>
            </w:pPr>
            <w:r>
              <w:rPr>
                <w:rFonts w:hint="eastAsia" w:ascii="黑体" w:hAnsi="宋体" w:eastAsia="黑体" w:cs="黑体"/>
                <w:i w:val="0"/>
                <w:iCs w:val="0"/>
                <w:color w:val="000000"/>
                <w:kern w:val="0"/>
                <w:sz w:val="24"/>
                <w:szCs w:val="24"/>
                <w:u w:val="none"/>
                <w:lang w:val="en-US" w:eastAsia="zh-CN" w:bidi="ar"/>
              </w:rPr>
              <w:t>水库执法大队</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15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100.00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00" w:type="dxa"/>
            <w:vMerge w:val="continue"/>
            <w:tcBorders>
              <w:tl2br w:val="nil"/>
              <w:tr2bl w:val="nil"/>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退役军人事务局</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15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00" w:type="dxa"/>
            <w:vMerge w:val="continue"/>
            <w:tcBorders>
              <w:tl2br w:val="nil"/>
              <w:tr2bl w:val="nil"/>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政务服务管理局</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15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00" w:type="dxa"/>
            <w:vMerge w:val="continue"/>
            <w:tcBorders>
              <w:tl2br w:val="nil"/>
              <w:tr2bl w:val="nil"/>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供销社</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15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100.00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00" w:type="dxa"/>
            <w:vMerge w:val="continue"/>
            <w:tcBorders>
              <w:tl2br w:val="nil"/>
              <w:tr2bl w:val="nil"/>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经信局</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15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00" w:type="dxa"/>
            <w:vMerge w:val="continue"/>
            <w:tcBorders>
              <w:tl2br w:val="nil"/>
              <w:tr2bl w:val="nil"/>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司法局</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15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00" w:type="dxa"/>
            <w:vMerge w:val="continue"/>
            <w:tcBorders>
              <w:tl2br w:val="nil"/>
              <w:tr2bl w:val="nil"/>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机关事务中心</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15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00" w:type="dxa"/>
            <w:vMerge w:val="continue"/>
            <w:tcBorders>
              <w:tl2br w:val="nil"/>
              <w:tr2bl w:val="nil"/>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lang w:eastAsia="zh-CN"/>
              </w:rPr>
            </w:pPr>
            <w:r>
              <w:rPr>
                <w:rFonts w:hint="eastAsia" w:ascii="黑体" w:hAnsi="宋体" w:eastAsia="黑体" w:cs="黑体"/>
                <w:i w:val="0"/>
                <w:iCs w:val="0"/>
                <w:color w:val="000000"/>
                <w:kern w:val="0"/>
                <w:sz w:val="24"/>
                <w:szCs w:val="24"/>
                <w:u w:val="none"/>
                <w:lang w:val="en-US" w:eastAsia="zh-CN" w:bidi="ar"/>
              </w:rPr>
              <w:t>投促中心</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15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14</w:t>
            </w:r>
          </w:p>
        </w:tc>
        <w:tc>
          <w:tcPr>
            <w:tcW w:w="400" w:type="dxa"/>
            <w:vMerge w:val="continue"/>
            <w:tcBorders>
              <w:tl2br w:val="nil"/>
              <w:tr2bl w:val="nil"/>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静态交通</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94.74%</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94.74%</w:t>
            </w:r>
          </w:p>
        </w:tc>
        <w:tc>
          <w:tcPr>
            <w:tcW w:w="115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95.79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400" w:type="dxa"/>
            <w:vMerge w:val="continue"/>
            <w:tcBorders>
              <w:tl2br w:val="nil"/>
              <w:tr2bl w:val="nil"/>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发改委</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14</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92.86%</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92.86%</w:t>
            </w:r>
          </w:p>
        </w:tc>
        <w:tc>
          <w:tcPr>
            <w:tcW w:w="115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94.29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16</w:t>
            </w:r>
          </w:p>
        </w:tc>
        <w:tc>
          <w:tcPr>
            <w:tcW w:w="400" w:type="dxa"/>
            <w:vMerge w:val="continue"/>
            <w:tcBorders>
              <w:tl2br w:val="nil"/>
              <w:tr2bl w:val="nil"/>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公路分局</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19</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82.35%</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15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92.94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17</w:t>
            </w:r>
          </w:p>
        </w:tc>
        <w:tc>
          <w:tcPr>
            <w:tcW w:w="400" w:type="dxa"/>
            <w:vMerge w:val="continue"/>
            <w:tcBorders>
              <w:tl2br w:val="nil"/>
              <w:tr2bl w:val="nil"/>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生态环境局</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66.67%</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15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86.67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18</w:t>
            </w:r>
          </w:p>
        </w:tc>
        <w:tc>
          <w:tcPr>
            <w:tcW w:w="400" w:type="dxa"/>
            <w:vMerge w:val="continue"/>
            <w:tcBorders>
              <w:tl2br w:val="nil"/>
              <w:tr2bl w:val="nil"/>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残  联</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66.67%</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93.33%</w:t>
            </w:r>
          </w:p>
        </w:tc>
        <w:tc>
          <w:tcPr>
            <w:tcW w:w="115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84.00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19</w:t>
            </w:r>
          </w:p>
        </w:tc>
        <w:tc>
          <w:tcPr>
            <w:tcW w:w="400" w:type="dxa"/>
            <w:vMerge w:val="continue"/>
            <w:tcBorders>
              <w:tl2br w:val="nil"/>
              <w:tr2bl w:val="nil"/>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民政局</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50.00%</w:t>
            </w:r>
          </w:p>
        </w:tc>
        <w:tc>
          <w:tcPr>
            <w:tcW w:w="10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50.00%</w:t>
            </w:r>
          </w:p>
        </w:tc>
        <w:tc>
          <w:tcPr>
            <w:tcW w:w="115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5" w:hRule="atLeast"/>
        </w:trPr>
        <w:tc>
          <w:tcPr>
            <w:tcW w:w="8870" w:type="dxa"/>
            <w:gridSpan w:val="8"/>
            <w:tcBorders>
              <w:tl2br w:val="nil"/>
              <w:tr2bl w:val="nil"/>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kern w:val="0"/>
                <w:sz w:val="24"/>
                <w:szCs w:val="24"/>
                <w:u w:val="none"/>
                <w:lang w:val="en-US" w:eastAsia="zh-CN" w:bidi="ar"/>
              </w:rPr>
            </w:pPr>
            <w:r>
              <w:rPr>
                <w:rFonts w:hint="eastAsia" w:ascii="黑体" w:hAnsi="黑体" w:eastAsia="黑体" w:cs="黑体"/>
                <w:i w:val="0"/>
                <w:color w:val="000000"/>
                <w:kern w:val="0"/>
                <w:sz w:val="24"/>
                <w:szCs w:val="24"/>
                <w:u w:val="none"/>
                <w:lang w:val="en-US" w:eastAsia="zh-CN" w:bidi="ar"/>
              </w:rPr>
              <w:t>全区各部门平均综合成绩为93.87分。</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b w:val="0"/>
          <w:bCs/>
          <w:color w:val="auto"/>
          <w:sz w:val="32"/>
          <w:szCs w:val="32"/>
          <w:highlight w:val="none"/>
          <w:u w:val="none"/>
          <w:lang w:val="en-US" w:eastAsia="zh-CN"/>
        </w:rPr>
      </w:pPr>
      <w:r>
        <w:rPr>
          <w:rFonts w:hint="eastAsia" w:ascii="黑体" w:hAnsi="黑体" w:eastAsia="黑体" w:cs="黑体"/>
          <w:b w:val="0"/>
          <w:bCs/>
          <w:color w:val="auto"/>
          <w:sz w:val="32"/>
          <w:szCs w:val="32"/>
          <w:highlight w:val="none"/>
          <w:u w:val="none"/>
          <w:lang w:val="en-US" w:eastAsia="zh-CN"/>
        </w:rPr>
        <w:t>三、当月典型案例</w:t>
      </w:r>
    </w:p>
    <w:p>
      <w:pPr>
        <w:keepNext w:val="0"/>
        <w:keepLines w:val="0"/>
        <w:pageBreakBefore w:val="0"/>
        <w:widowControl/>
        <w:suppressLineNumbers w:val="0"/>
        <w:kinsoku/>
        <w:wordWrap/>
        <w:overflowPunct/>
        <w:topLinePunct w:val="0"/>
        <w:autoSpaceDE/>
        <w:autoSpaceDN/>
        <w:bidi w:val="0"/>
        <w:adjustRightInd/>
        <w:snapToGrid/>
        <w:spacing w:line="540" w:lineRule="exact"/>
        <w:ind w:firstLine="640" w:firstLineChars="200"/>
        <w:jc w:val="left"/>
        <w:textAlignment w:val="auto"/>
        <w:rPr>
          <w:rFonts w:hint="eastAsia"/>
          <w:color w:val="auto"/>
          <w:lang w:val="en-US" w:eastAsia="zh-CN"/>
        </w:rPr>
      </w:pPr>
      <w:r>
        <w:rPr>
          <w:rFonts w:hint="eastAsia" w:ascii="楷体_GB2312" w:hAnsi="楷体_GB2312" w:eastAsia="楷体_GB2312" w:cs="楷体_GB2312"/>
          <w:b w:val="0"/>
          <w:bCs w:val="0"/>
          <w:color w:val="auto"/>
          <w:sz w:val="32"/>
          <w:szCs w:val="32"/>
          <w:highlight w:val="none"/>
          <w:lang w:val="en-US" w:eastAsia="zh-CN"/>
        </w:rPr>
        <w:t>高岭镇解决李桂香女士宅基地审批问题</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40" w:lineRule="exact"/>
        <w:ind w:firstLine="643" w:firstLineChars="200"/>
        <w:jc w:val="left"/>
        <w:textAlignment w:val="auto"/>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1.事件概述</w:t>
      </w:r>
    </w:p>
    <w:p>
      <w:pPr>
        <w:keepNext w:val="0"/>
        <w:keepLines w:val="0"/>
        <w:pageBreakBefore w:val="0"/>
        <w:widowControl/>
        <w:suppressLineNumbers w:val="0"/>
        <w:kinsoku/>
        <w:wordWrap/>
        <w:overflowPunct/>
        <w:topLinePunct w:val="0"/>
        <w:autoSpaceDE/>
        <w:autoSpaceDN/>
        <w:bidi w:val="0"/>
        <w:adjustRightInd/>
        <w:snapToGrid/>
        <w:spacing w:line="540" w:lineRule="exact"/>
        <w:ind w:firstLine="620" w:firstLineChars="200"/>
        <w:jc w:val="left"/>
        <w:textAlignment w:val="auto"/>
        <w:rPr>
          <w:rFonts w:hint="eastAsia" w:ascii="仿宋_GB2312" w:hAnsi="宋体" w:eastAsia="仿宋_GB2312" w:cs="仿宋_GB2312"/>
          <w:color w:val="auto"/>
          <w:kern w:val="0"/>
          <w:sz w:val="31"/>
          <w:szCs w:val="31"/>
          <w:highlight w:val="none"/>
          <w:lang w:val="en-US" w:eastAsia="zh-CN" w:bidi="ar"/>
        </w:rPr>
      </w:pPr>
      <w:r>
        <w:rPr>
          <w:rFonts w:hint="eastAsia" w:ascii="仿宋_GB2312" w:hAnsi="宋体" w:eastAsia="仿宋_GB2312" w:cs="仿宋_GB2312"/>
          <w:color w:val="auto"/>
          <w:kern w:val="0"/>
          <w:sz w:val="31"/>
          <w:szCs w:val="31"/>
          <w:highlight w:val="none"/>
          <w:lang w:val="en-US" w:eastAsia="zh-CN" w:bidi="ar"/>
        </w:rPr>
        <w:t xml:space="preserve">2018 年，高岭镇政府收到李女士的宅基地新建申请后，第 </w:t>
      </w:r>
    </w:p>
    <w:p>
      <w:pPr>
        <w:keepNext w:val="0"/>
        <w:keepLines w:val="0"/>
        <w:pageBreakBefore w:val="0"/>
        <w:widowControl/>
        <w:suppressLineNumbers w:val="0"/>
        <w:kinsoku/>
        <w:wordWrap/>
        <w:overflowPunct/>
        <w:topLinePunct w:val="0"/>
        <w:autoSpaceDE/>
        <w:autoSpaceDN/>
        <w:bidi w:val="0"/>
        <w:adjustRightInd/>
        <w:snapToGrid/>
        <w:spacing w:line="540" w:lineRule="exact"/>
        <w:jc w:val="left"/>
        <w:textAlignment w:val="auto"/>
        <w:rPr>
          <w:rFonts w:hint="eastAsia" w:ascii="仿宋_GB2312" w:hAnsi="宋体" w:eastAsia="仿宋_GB2312" w:cs="仿宋_GB2312"/>
          <w:color w:val="auto"/>
          <w:kern w:val="0"/>
          <w:sz w:val="31"/>
          <w:szCs w:val="31"/>
          <w:highlight w:val="none"/>
          <w:lang w:val="en-US" w:eastAsia="zh-CN" w:bidi="ar"/>
        </w:rPr>
      </w:pPr>
      <w:r>
        <w:rPr>
          <w:rFonts w:hint="eastAsia" w:ascii="仿宋_GB2312" w:hAnsi="宋体" w:eastAsia="仿宋_GB2312" w:cs="仿宋_GB2312"/>
          <w:color w:val="auto"/>
          <w:kern w:val="0"/>
          <w:sz w:val="31"/>
          <w:szCs w:val="31"/>
          <w:highlight w:val="none"/>
          <w:lang w:val="en-US" w:eastAsia="zh-CN" w:bidi="ar"/>
        </w:rPr>
        <w:t xml:space="preserve">一时间将相关材料报送至原密云区国土局进行审批，后经区国土 </w:t>
      </w:r>
    </w:p>
    <w:p>
      <w:pPr>
        <w:keepNext w:val="0"/>
        <w:keepLines w:val="0"/>
        <w:pageBreakBefore w:val="0"/>
        <w:widowControl/>
        <w:suppressLineNumbers w:val="0"/>
        <w:kinsoku/>
        <w:wordWrap/>
        <w:overflowPunct/>
        <w:topLinePunct w:val="0"/>
        <w:autoSpaceDE/>
        <w:autoSpaceDN/>
        <w:bidi w:val="0"/>
        <w:adjustRightInd/>
        <w:snapToGrid/>
        <w:spacing w:line="540" w:lineRule="exact"/>
        <w:jc w:val="left"/>
        <w:textAlignment w:val="auto"/>
        <w:rPr>
          <w:rFonts w:hint="eastAsia" w:ascii="仿宋_GB2312" w:hAnsi="宋体" w:eastAsia="仿宋_GB2312" w:cs="仿宋_GB2312"/>
          <w:color w:val="auto"/>
          <w:kern w:val="0"/>
          <w:sz w:val="31"/>
          <w:szCs w:val="31"/>
          <w:highlight w:val="none"/>
          <w:lang w:val="en-US" w:eastAsia="zh-CN" w:bidi="ar"/>
        </w:rPr>
      </w:pPr>
      <w:r>
        <w:rPr>
          <w:rFonts w:hint="eastAsia" w:ascii="仿宋_GB2312" w:hAnsi="宋体" w:eastAsia="仿宋_GB2312" w:cs="仿宋_GB2312"/>
          <w:color w:val="auto"/>
          <w:kern w:val="0"/>
          <w:sz w:val="31"/>
          <w:szCs w:val="31"/>
          <w:highlight w:val="none"/>
          <w:lang w:val="en-US" w:eastAsia="zh-CN" w:bidi="ar"/>
        </w:rPr>
        <w:t xml:space="preserve">局审核，发现李桂香女士不符合《中华人民共和国土地管理法》 </w:t>
      </w:r>
    </w:p>
    <w:p>
      <w:pPr>
        <w:keepNext w:val="0"/>
        <w:keepLines w:val="0"/>
        <w:pageBreakBefore w:val="0"/>
        <w:widowControl/>
        <w:suppressLineNumbers w:val="0"/>
        <w:kinsoku/>
        <w:wordWrap/>
        <w:overflowPunct/>
        <w:topLinePunct w:val="0"/>
        <w:autoSpaceDE/>
        <w:autoSpaceDN/>
        <w:bidi w:val="0"/>
        <w:adjustRightInd/>
        <w:snapToGrid/>
        <w:spacing w:line="540" w:lineRule="exact"/>
        <w:jc w:val="left"/>
        <w:textAlignment w:val="auto"/>
        <w:rPr>
          <w:rFonts w:hint="eastAsia" w:ascii="仿宋_GB2312" w:hAnsi="宋体" w:eastAsia="仿宋_GB2312" w:cs="仿宋_GB2312"/>
          <w:b/>
          <w:bCs/>
          <w:color w:val="auto"/>
          <w:kern w:val="0"/>
          <w:sz w:val="31"/>
          <w:szCs w:val="31"/>
          <w:highlight w:val="none"/>
          <w:lang w:val="en-US" w:eastAsia="zh-CN" w:bidi="ar"/>
        </w:rPr>
      </w:pPr>
      <w:r>
        <w:rPr>
          <w:rFonts w:hint="eastAsia" w:ascii="仿宋_GB2312" w:hAnsi="宋体" w:eastAsia="仿宋_GB2312" w:cs="仿宋_GB2312"/>
          <w:color w:val="auto"/>
          <w:kern w:val="0"/>
          <w:sz w:val="31"/>
          <w:szCs w:val="31"/>
          <w:highlight w:val="none"/>
          <w:lang w:val="en-US" w:eastAsia="zh-CN" w:bidi="ar"/>
        </w:rPr>
        <w:t>第 62 条的规定：</w:t>
      </w:r>
      <w:r>
        <w:rPr>
          <w:rFonts w:hint="eastAsia" w:ascii="仿宋_GB2312" w:hAnsi="宋体" w:eastAsia="仿宋_GB2312" w:cs="仿宋_GB2312"/>
          <w:b/>
          <w:bCs/>
          <w:color w:val="auto"/>
          <w:kern w:val="0"/>
          <w:sz w:val="31"/>
          <w:szCs w:val="31"/>
          <w:highlight w:val="none"/>
          <w:lang w:val="en-US" w:eastAsia="zh-CN" w:bidi="ar"/>
        </w:rPr>
        <w:t xml:space="preserve">农村村民一户只能拥有一处宅基地，其宅基地 </w:t>
      </w:r>
    </w:p>
    <w:p>
      <w:pPr>
        <w:keepNext w:val="0"/>
        <w:keepLines w:val="0"/>
        <w:pageBreakBefore w:val="0"/>
        <w:widowControl/>
        <w:suppressLineNumbers w:val="0"/>
        <w:kinsoku/>
        <w:wordWrap/>
        <w:overflowPunct/>
        <w:topLinePunct w:val="0"/>
        <w:autoSpaceDE/>
        <w:autoSpaceDN/>
        <w:bidi w:val="0"/>
        <w:adjustRightInd/>
        <w:snapToGrid/>
        <w:spacing w:line="540" w:lineRule="exact"/>
        <w:jc w:val="left"/>
        <w:textAlignment w:val="auto"/>
        <w:rPr>
          <w:rFonts w:hint="eastAsia" w:ascii="仿宋_GB2312" w:hAnsi="宋体" w:eastAsia="仿宋_GB2312" w:cs="仿宋_GB2312"/>
          <w:b/>
          <w:bCs/>
          <w:color w:val="auto"/>
          <w:kern w:val="0"/>
          <w:sz w:val="31"/>
          <w:szCs w:val="31"/>
          <w:highlight w:val="none"/>
          <w:lang w:val="en-US" w:eastAsia="zh-CN" w:bidi="ar"/>
        </w:rPr>
      </w:pPr>
      <w:r>
        <w:rPr>
          <w:rFonts w:hint="eastAsia" w:ascii="仿宋_GB2312" w:hAnsi="宋体" w:eastAsia="仿宋_GB2312" w:cs="仿宋_GB2312"/>
          <w:b/>
          <w:bCs/>
          <w:color w:val="auto"/>
          <w:kern w:val="0"/>
          <w:sz w:val="31"/>
          <w:szCs w:val="31"/>
          <w:highlight w:val="none"/>
          <w:lang w:val="en-US" w:eastAsia="zh-CN" w:bidi="ar"/>
        </w:rPr>
        <w:t xml:space="preserve">面积不得超过省、自治区、直辖市规定标准（“一户一宅”）。 </w:t>
      </w:r>
    </w:p>
    <w:p>
      <w:pPr>
        <w:keepNext w:val="0"/>
        <w:keepLines w:val="0"/>
        <w:pageBreakBefore w:val="0"/>
        <w:widowControl/>
        <w:suppressLineNumbers w:val="0"/>
        <w:kinsoku/>
        <w:wordWrap/>
        <w:overflowPunct/>
        <w:topLinePunct w:val="0"/>
        <w:autoSpaceDE/>
        <w:autoSpaceDN/>
        <w:bidi w:val="0"/>
        <w:adjustRightInd/>
        <w:snapToGrid/>
        <w:spacing w:line="540" w:lineRule="exact"/>
        <w:jc w:val="left"/>
        <w:textAlignment w:val="auto"/>
        <w:rPr>
          <w:rFonts w:hint="eastAsia" w:ascii="仿宋_GB2312" w:hAnsi="宋体" w:eastAsia="仿宋_GB2312" w:cs="仿宋_GB2312"/>
          <w:color w:val="auto"/>
          <w:kern w:val="0"/>
          <w:sz w:val="31"/>
          <w:szCs w:val="31"/>
          <w:highlight w:val="none"/>
          <w:lang w:val="en-US" w:eastAsia="zh-CN" w:bidi="ar"/>
        </w:rPr>
      </w:pPr>
      <w:r>
        <w:rPr>
          <w:rFonts w:hint="eastAsia" w:ascii="仿宋_GB2312" w:hAnsi="宋体" w:eastAsia="仿宋_GB2312" w:cs="仿宋_GB2312"/>
          <w:color w:val="auto"/>
          <w:kern w:val="0"/>
          <w:sz w:val="31"/>
          <w:szCs w:val="31"/>
          <w:highlight w:val="none"/>
          <w:lang w:val="en-US" w:eastAsia="zh-CN" w:bidi="ar"/>
        </w:rPr>
        <w:t>同时因上报的申请材料不全，所以当时未通过审批。</w:t>
      </w:r>
    </w:p>
    <w:p>
      <w:pPr>
        <w:keepNext w:val="0"/>
        <w:keepLines w:val="0"/>
        <w:pageBreakBefore w:val="0"/>
        <w:kinsoku/>
        <w:wordWrap/>
        <w:overflowPunct/>
        <w:topLinePunct w:val="0"/>
        <w:autoSpaceDE/>
        <w:autoSpaceDN/>
        <w:bidi w:val="0"/>
        <w:adjustRightInd/>
        <w:snapToGrid/>
        <w:spacing w:line="540" w:lineRule="exact"/>
        <w:ind w:left="7" w:right="81" w:firstLine="649" w:firstLineChars="202"/>
        <w:textAlignment w:val="auto"/>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2.解决情况</w:t>
      </w:r>
    </w:p>
    <w:p>
      <w:pPr>
        <w:keepNext w:val="0"/>
        <w:keepLines w:val="0"/>
        <w:pageBreakBefore w:val="0"/>
        <w:widowControl/>
        <w:suppressLineNumbers w:val="0"/>
        <w:kinsoku/>
        <w:wordWrap/>
        <w:overflowPunct/>
        <w:topLinePunct w:val="0"/>
        <w:autoSpaceDE/>
        <w:autoSpaceDN/>
        <w:bidi w:val="0"/>
        <w:adjustRightInd/>
        <w:snapToGrid/>
        <w:spacing w:line="540" w:lineRule="exact"/>
        <w:ind w:firstLine="620" w:firstLineChars="200"/>
        <w:jc w:val="left"/>
        <w:textAlignment w:val="auto"/>
        <w:rPr>
          <w:rFonts w:hint="eastAsia" w:ascii="仿宋_GB2312" w:hAnsi="宋体" w:eastAsia="仿宋_GB2312" w:cs="仿宋_GB2312"/>
          <w:color w:val="auto"/>
          <w:kern w:val="0"/>
          <w:sz w:val="31"/>
          <w:szCs w:val="31"/>
          <w:highlight w:val="none"/>
          <w:lang w:val="en-US" w:eastAsia="zh-CN" w:bidi="ar"/>
        </w:rPr>
      </w:pPr>
      <w:r>
        <w:rPr>
          <w:rFonts w:hint="eastAsia" w:ascii="仿宋_GB2312" w:hAnsi="宋体" w:eastAsia="仿宋_GB2312" w:cs="仿宋_GB2312"/>
          <w:color w:val="auto"/>
          <w:kern w:val="0"/>
          <w:sz w:val="31"/>
          <w:szCs w:val="31"/>
          <w:highlight w:val="none"/>
          <w:lang w:val="en-US" w:eastAsia="zh-CN" w:bidi="ar"/>
        </w:rPr>
        <w:t>2020年，经高岭镇政府调查，李桂香女士名下的宅基地实际为其父亲所留遗产，并由多个子女共同继承，其仅分配到半间房。现考虑到李女士家庭成员中有一个儿子和两个女儿，所继承的宅基地无法满足实际居住要求。后经高岭镇政府认真研究，认定李桂香女士符合“一户一宅”政策，并给与通过新建宅基地审批程序。</w:t>
      </w:r>
    </w:p>
    <w:p>
      <w:pPr>
        <w:keepNext w:val="0"/>
        <w:keepLines w:val="0"/>
        <w:pageBreakBefore w:val="0"/>
        <w:widowControl/>
        <w:suppressLineNumbers w:val="0"/>
        <w:kinsoku/>
        <w:wordWrap/>
        <w:overflowPunct/>
        <w:topLinePunct w:val="0"/>
        <w:autoSpaceDE/>
        <w:autoSpaceDN/>
        <w:bidi w:val="0"/>
        <w:adjustRightInd/>
        <w:snapToGrid/>
        <w:spacing w:line="540" w:lineRule="exact"/>
        <w:ind w:firstLine="620" w:firstLineChars="200"/>
        <w:jc w:val="left"/>
        <w:textAlignment w:val="auto"/>
        <w:rPr>
          <w:rFonts w:hint="eastAsia" w:ascii="仿宋_GB2312" w:hAnsi="宋体" w:eastAsia="仿宋_GB2312" w:cs="仿宋_GB2312"/>
          <w:color w:val="auto"/>
          <w:kern w:val="0"/>
          <w:sz w:val="31"/>
          <w:szCs w:val="31"/>
          <w:highlight w:val="none"/>
          <w:lang w:val="en-US" w:eastAsia="zh-CN" w:bidi="ar"/>
        </w:rPr>
      </w:pPr>
      <w:r>
        <w:rPr>
          <w:rFonts w:hint="eastAsia" w:ascii="仿宋_GB2312" w:hAnsi="宋体" w:eastAsia="仿宋_GB2312" w:cs="仿宋_GB2312"/>
          <w:color w:val="auto"/>
          <w:kern w:val="0"/>
          <w:sz w:val="31"/>
          <w:szCs w:val="31"/>
          <w:highlight w:val="none"/>
          <w:lang w:val="en-US" w:eastAsia="zh-CN" w:bidi="ar"/>
        </w:rPr>
        <w:t>2022年，高岭镇政府结合美丽乡村建设，根据瑶亭村村庄规划，在村内划定了李女士家新宅基地位置。后经镇村干部共同努力，现李女士审批宅基地已通过村两委会议，并签署四邻协议。</w:t>
      </w:r>
    </w:p>
    <w:p>
      <w:pPr>
        <w:keepNext w:val="0"/>
        <w:keepLines w:val="0"/>
        <w:pageBreakBefore w:val="0"/>
        <w:widowControl/>
        <w:suppressLineNumbers w:val="0"/>
        <w:kinsoku/>
        <w:wordWrap/>
        <w:overflowPunct/>
        <w:topLinePunct w:val="0"/>
        <w:autoSpaceDE/>
        <w:autoSpaceDN/>
        <w:bidi w:val="0"/>
        <w:adjustRightInd/>
        <w:snapToGrid/>
        <w:spacing w:line="540" w:lineRule="exact"/>
        <w:ind w:firstLine="420" w:firstLineChars="200"/>
        <w:jc w:val="left"/>
        <w:textAlignment w:val="auto"/>
        <w:rPr>
          <w:rFonts w:hint="eastAsia" w:ascii="仿宋_GB2312" w:hAnsi="仿宋_GB2312" w:eastAsia="仿宋_GB2312" w:cs="仿宋_GB2312"/>
          <w:sz w:val="32"/>
          <w:szCs w:val="32"/>
          <w:lang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665480</wp:posOffset>
                </wp:positionH>
                <wp:positionV relativeFrom="paragraph">
                  <wp:posOffset>2616200</wp:posOffset>
                </wp:positionV>
                <wp:extent cx="4429125" cy="475615"/>
                <wp:effectExtent l="0" t="0" r="0" b="0"/>
                <wp:wrapNone/>
                <wp:docPr id="3" name="文本框 3"/>
                <wp:cNvGraphicFramePr/>
                <a:graphic xmlns:a="http://schemas.openxmlformats.org/drawingml/2006/main">
                  <a:graphicData uri="http://schemas.microsoft.com/office/word/2010/wordprocessingShape">
                    <wps:wsp>
                      <wps:cNvSpPr txBox="1"/>
                      <wps:spPr>
                        <a:xfrm>
                          <a:off x="2130425" y="9312910"/>
                          <a:ext cx="4429125" cy="4756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left"/>
                              <w:rPr>
                                <w:rFonts w:hint="eastAsia" w:ascii="楷体_GB2312" w:hAnsi="楷体_GB2312" w:eastAsia="楷体_GB2312" w:cs="楷体_GB2312"/>
                                <w:color w:val="0000FF"/>
                                <w:sz w:val="32"/>
                                <w:szCs w:val="32"/>
                                <w:highlight w:val="none"/>
                                <w:lang w:val="en-US" w:eastAsia="zh-CN"/>
                              </w:rPr>
                            </w:pPr>
                            <w:r>
                              <w:rPr>
                                <w:rFonts w:hint="eastAsia" w:ascii="楷体_GB2312" w:hAnsi="楷体_GB2312" w:eastAsia="楷体_GB2312" w:cs="楷体_GB2312"/>
                                <w:color w:val="auto"/>
                                <w:sz w:val="32"/>
                                <w:szCs w:val="32"/>
                                <w:highlight w:val="none"/>
                                <w:lang w:val="en-US" w:eastAsia="zh-CN"/>
                              </w:rPr>
                              <w:t>图：宅基地批示现场点位与李女士送锦旗照片</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4pt;margin-top:206pt;height:37.45pt;width:348.75pt;z-index:251661312;mso-width-relative:page;mso-height-relative:page;" filled="f" stroked="f" coordsize="21600,21600" o:gfxdata="UEsDBAoAAAAAAIdO4kAAAAAAAAAAAAAAAAAEAAAAZHJzL1BLAwQUAAAACACHTuJAInyQ3tsAAAAL&#10;AQAADwAAAGRycy9kb3ducmV2LnhtbE2PzU7DMBCE70i8g7VI3KidUKo0jVOhSBUSgkNLL9w2sZtE&#10;xOsQuz/w9CwnOM7saPabYn1xgzjZKfSeNCQzBcJS401PrYb92+YuAxEiksHBk9XwZQOsy+urAnPj&#10;z7S1p11sBZdQyFFDF+OYSxmazjoMMz9a4tvBTw4jy6mVZsIzl7tBpkotpMOe+EOHo60623zsjk7D&#10;c7V5xW2duux7qJ5eDo/j5/79Qevbm0StQER7iX9h+MVndCiZqfZHMkEMrNWc0aOGeZLyKE5kKr0H&#10;UbOTLZYgy0L+31D+AFBLAwQUAAAACACHTuJAxzC8zSkCAAAkBAAADgAAAGRycy9lMm9Eb2MueG1s&#10;rVPNjtMwEL4j8Q6W7zQ/Tbu0aroquypCqtiVCuLsOnYbyX/YbpPyAPAGe+LCnefqczB20m4FnBAX&#10;Zzzz5RvPzDez21YKdGDW1VqVOBukGDFFdVWrbYk/fli+eo2R80RVRGjFSnxkDt/OX76YNWbKcr3T&#10;omIWAYly08aUeOe9mSaJozsmiRtowxQEubaSeLjabVJZ0gC7FEmepuOk0bYyVlPmHHjvuyCeR37O&#10;GfUPnDvmkSgxvM3H08ZzE85kPiPTrSVmV9P+GeQfXiFJrSDpheqeeIL2tv6DStbUaqe5H1AtE815&#10;TVmsAarJ0t+qWe+IYbEWaI4zlza5/0dL3x8eLaqrEg8xUkTCiE5P307ff55+fEXD0J7GuCmg1gZw&#10;vn2jWxjz2e/AGapuuZXhC/UgiOfZMC3yEUbHEk+GWT7J+kaz1iMKgKIAXwBQQBQ3o3E2CpTJM5Ox&#10;zr9lWqJglNjCIGN/yWHlfAc9Q0JipZe1EHGYQqGmxOPhKI0/XCJALhTkCPV07w6WbzdtX+RGV0eo&#10;0epOJM7QZQ3JV8T5R2JBFaAfULp/gIMLDUl0b2G00/bL3/wBD8OCKEYNqKzE7vOeWIaReKdgjJOs&#10;KIIs46UY3eRwsdeRzXVE7eWdBiFnsFOGRjPgvTib3Gr5CRZiEbJCiCgKuUvsz+ad77QPC0XZYhFB&#10;IERD/EqtDQ3UXTsXe695HTsd2tT1pu8eSDHOql+boPXre0Q9L/f8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J8kN7bAAAACwEAAA8AAAAAAAAAAQAgAAAAIgAAAGRycy9kb3ducmV2LnhtbFBLAQIU&#10;ABQAAAAIAIdO4kDHMLzNKQIAACQEAAAOAAAAAAAAAAEAIAAAACoBAABkcnMvZTJvRG9jLnhtbFBL&#10;BQYAAAAABgAGAFkBAADFBQAAAAA=&#10;">
                <v:fill on="f" focussize="0,0"/>
                <v:stroke on="f" weight="0.5pt"/>
                <v:imagedata o:title=""/>
                <o:lock v:ext="edit" aspectratio="f"/>
                <v:textbox>
                  <w:txbxContent>
                    <w:p>
                      <w:pPr>
                        <w:keepNext w:val="0"/>
                        <w:keepLines w:val="0"/>
                        <w:widowControl/>
                        <w:suppressLineNumbers w:val="0"/>
                        <w:jc w:val="left"/>
                        <w:rPr>
                          <w:rFonts w:hint="eastAsia" w:ascii="楷体_GB2312" w:hAnsi="楷体_GB2312" w:eastAsia="楷体_GB2312" w:cs="楷体_GB2312"/>
                          <w:color w:val="0000FF"/>
                          <w:sz w:val="32"/>
                          <w:szCs w:val="32"/>
                          <w:highlight w:val="none"/>
                          <w:lang w:val="en-US" w:eastAsia="zh-CN"/>
                        </w:rPr>
                      </w:pPr>
                      <w:r>
                        <w:rPr>
                          <w:rFonts w:hint="eastAsia" w:ascii="楷体_GB2312" w:hAnsi="楷体_GB2312" w:eastAsia="楷体_GB2312" w:cs="楷体_GB2312"/>
                          <w:color w:val="auto"/>
                          <w:sz w:val="32"/>
                          <w:szCs w:val="32"/>
                          <w:highlight w:val="none"/>
                          <w:lang w:val="en-US" w:eastAsia="zh-CN"/>
                        </w:rPr>
                        <w:t>图：宅基地批示现场点位与李女士送锦旗照片</w:t>
                      </w:r>
                    </w:p>
                    <w:p/>
                  </w:txbxContent>
                </v:textbox>
              </v:shape>
            </w:pict>
          </mc:Fallback>
        </mc:AlternateContent>
      </w:r>
      <w:r>
        <w:rPr>
          <w:color w:val="auto"/>
        </w:rPr>
        <w:drawing>
          <wp:anchor distT="0" distB="0" distL="114300" distR="114300" simplePos="0" relativeHeight="251659264" behindDoc="0" locked="0" layoutInCell="1" allowOverlap="1">
            <wp:simplePos x="0" y="0"/>
            <wp:positionH relativeFrom="column">
              <wp:posOffset>330200</wp:posOffset>
            </wp:positionH>
            <wp:positionV relativeFrom="paragraph">
              <wp:posOffset>342900</wp:posOffset>
            </wp:positionV>
            <wp:extent cx="2398395" cy="2148840"/>
            <wp:effectExtent l="0" t="0" r="952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2398395" cy="2148840"/>
                    </a:xfrm>
                    <a:prstGeom prst="rect">
                      <a:avLst/>
                    </a:prstGeom>
                    <a:noFill/>
                    <a:ln>
                      <a:noFill/>
                    </a:ln>
                  </pic:spPr>
                </pic:pic>
              </a:graphicData>
            </a:graphic>
          </wp:anchor>
        </w:drawing>
      </w:r>
      <w:r>
        <w:rPr>
          <w:color w:val="auto"/>
        </w:rPr>
        <w:drawing>
          <wp:anchor distT="0" distB="0" distL="114300" distR="114300" simplePos="0" relativeHeight="251660288" behindDoc="0" locked="0" layoutInCell="1" allowOverlap="1">
            <wp:simplePos x="0" y="0"/>
            <wp:positionH relativeFrom="column">
              <wp:posOffset>2978785</wp:posOffset>
            </wp:positionH>
            <wp:positionV relativeFrom="paragraph">
              <wp:posOffset>349885</wp:posOffset>
            </wp:positionV>
            <wp:extent cx="2365375" cy="2122805"/>
            <wp:effectExtent l="0" t="0" r="12065" b="1079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2365375" cy="2122805"/>
                    </a:xfrm>
                    <a:prstGeom prst="rect">
                      <a:avLst/>
                    </a:prstGeom>
                    <a:noFill/>
                    <a:ln>
                      <a:noFill/>
                    </a:ln>
                  </pic:spPr>
                </pic:pic>
              </a:graphicData>
            </a:graphic>
          </wp:anchor>
        </w:drawing>
      </w:r>
      <w:r>
        <w:rPr>
          <w:rFonts w:hint="eastAsia" w:ascii="仿宋_GB2312" w:hAnsi="宋体" w:eastAsia="仿宋_GB2312" w:cs="仿宋_GB2312"/>
          <w:color w:val="auto"/>
          <w:kern w:val="0"/>
          <w:sz w:val="31"/>
          <w:szCs w:val="31"/>
          <w:highlight w:val="none"/>
          <w:lang w:val="en-US" w:eastAsia="zh-CN" w:bidi="ar"/>
        </w:rPr>
        <w:t>目前，李桂香女士宅基地审批问题已经得到解决。</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color w:val="auto"/>
          <w:sz w:val="32"/>
          <w:szCs w:val="32"/>
          <w:highlight w:val="none"/>
          <w:u w:val="none"/>
          <w:lang w:val="en-US" w:eastAsia="zh-CN"/>
        </w:rPr>
      </w:pPr>
      <w:r>
        <w:rPr>
          <w:rFonts w:hint="eastAsia" w:ascii="仿宋_GB2312" w:hAnsi="仿宋_GB2312" w:eastAsia="仿宋_GB2312" w:cs="仿宋_GB2312"/>
          <w:sz w:val="32"/>
          <w:szCs w:val="32"/>
          <w:lang w:eastAsia="zh-CN"/>
        </w:rPr>
        <w:t>附件：</w:t>
      </w:r>
      <w:r>
        <w:rPr>
          <w:rFonts w:hint="eastAsia" w:ascii="仿宋_GB2312" w:hAnsi="仿宋_GB2312" w:eastAsia="仿宋_GB2312" w:cs="仿宋_GB2312"/>
          <w:b w:val="0"/>
          <w:bCs/>
          <w:color w:val="auto"/>
          <w:sz w:val="32"/>
          <w:szCs w:val="32"/>
          <w:highlight w:val="none"/>
          <w:u w:val="none"/>
          <w:lang w:val="en-US" w:eastAsia="zh-CN"/>
        </w:rPr>
        <w:t>密云区2022年“每月一题”工作进度统计表（1月1</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1600" w:firstLineChars="5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color w:val="auto"/>
          <w:sz w:val="32"/>
          <w:szCs w:val="32"/>
          <w:highlight w:val="none"/>
          <w:u w:val="none"/>
          <w:lang w:val="en-US" w:eastAsia="zh-CN"/>
        </w:rPr>
        <w:t>日至1月18日）</w:t>
      </w:r>
    </w:p>
    <w:p>
      <w:pPr>
        <w:rPr>
          <w:rFonts w:hint="eastAsia"/>
          <w:lang w:val="en-US" w:eastAsia="zh-CN"/>
        </w:rPr>
        <w:sectPr>
          <w:footerReference r:id="rId3" w:type="default"/>
          <w:pgSz w:w="11906" w:h="16838"/>
          <w:pgMar w:top="2098" w:right="1474" w:bottom="1984" w:left="1587" w:header="851" w:footer="992" w:gutter="0"/>
          <w:pgBorders>
            <w:top w:val="none" w:sz="0" w:space="0"/>
            <w:left w:val="none" w:sz="0" w:space="0"/>
            <w:bottom w:val="none" w:sz="0" w:space="0"/>
            <w:right w:val="none" w:sz="0" w:space="0"/>
          </w:pgBorders>
          <w:pgNumType w:fmt="numberInDash"/>
          <w:cols w:space="0" w:num="1"/>
          <w:rtlGutter w:val="0"/>
          <w:docGrid w:type="lines" w:linePitch="318" w:charSpace="0"/>
        </w:sectPr>
      </w:pPr>
    </w:p>
    <w:p>
      <w:pPr>
        <w:pStyle w:val="11"/>
        <w:ind w:left="0" w:leftChars="0" w:firstLine="0" w:firstLineChars="0"/>
        <w:jc w:val="left"/>
        <w:rPr>
          <w:rFonts w:hint="eastAsia" w:ascii="仿宋_GB2312" w:hAnsi="仿宋_GB2312" w:eastAsia="仿宋_GB2312" w:cs="仿宋_GB2312"/>
          <w:b w:val="0"/>
          <w:bCs/>
          <w:color w:val="auto"/>
          <w:sz w:val="32"/>
          <w:szCs w:val="32"/>
          <w:highlight w:val="none"/>
          <w:u w:val="none"/>
          <w:lang w:val="en-US" w:eastAsia="zh-CN"/>
        </w:rPr>
      </w:pPr>
      <w:r>
        <w:rPr>
          <w:rFonts w:hint="eastAsia" w:ascii="黑体" w:hAnsi="黑体" w:eastAsia="黑体" w:cs="黑体"/>
          <w:b w:val="0"/>
          <w:bCs/>
          <w:color w:val="auto"/>
          <w:sz w:val="28"/>
          <w:szCs w:val="28"/>
          <w:highlight w:val="none"/>
          <w:u w:val="none"/>
          <w:lang w:val="en-US" w:eastAsia="zh-CN"/>
        </w:rPr>
        <w:t xml:space="preserve">附件：                </w:t>
      </w:r>
      <w:r>
        <w:rPr>
          <w:rFonts w:hint="eastAsia" w:ascii="方正小标宋_GBK" w:hAnsi="方正小标宋_GBK" w:eastAsia="方正小标宋_GBK" w:cs="方正小标宋_GBK"/>
          <w:b w:val="0"/>
          <w:bCs/>
          <w:color w:val="auto"/>
          <w:sz w:val="32"/>
          <w:szCs w:val="32"/>
          <w:highlight w:val="none"/>
          <w:u w:val="none"/>
          <w:lang w:val="en-US" w:eastAsia="zh-CN"/>
        </w:rPr>
        <w:t>密云区2022年“每月一题”工作进度统计表（1月1日至1月18日）</w:t>
      </w:r>
    </w:p>
    <w:tbl>
      <w:tblPr>
        <w:tblStyle w:val="10"/>
        <w:tblW w:w="156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1050"/>
        <w:gridCol w:w="2800"/>
        <w:gridCol w:w="5635"/>
        <w:gridCol w:w="2782"/>
        <w:gridCol w:w="2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1" w:hRule="atLeast"/>
          <w:tblHeader/>
          <w:jc w:val="center"/>
        </w:trPr>
        <w:tc>
          <w:tcPr>
            <w:tcW w:w="925" w:type="dxa"/>
            <w:vAlign w:val="center"/>
          </w:tcPr>
          <w:p>
            <w:pPr>
              <w:pStyle w:val="2"/>
              <w:spacing w:before="55"/>
              <w:jc w:val="center"/>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序号</w:t>
            </w:r>
          </w:p>
        </w:tc>
        <w:tc>
          <w:tcPr>
            <w:tcW w:w="1050" w:type="dxa"/>
            <w:vAlign w:val="center"/>
          </w:tcPr>
          <w:p>
            <w:pPr>
              <w:pStyle w:val="2"/>
              <w:spacing w:before="55"/>
              <w:ind w:left="0" w:leftChars="0" w:right="0" w:rightChars="0"/>
              <w:jc w:val="center"/>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上会</w:t>
            </w:r>
          </w:p>
          <w:p>
            <w:pPr>
              <w:pStyle w:val="2"/>
              <w:spacing w:before="55"/>
              <w:ind w:left="0" w:leftChars="0" w:right="0" w:rightChars="0"/>
              <w:jc w:val="center"/>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月份</w:t>
            </w:r>
          </w:p>
        </w:tc>
        <w:tc>
          <w:tcPr>
            <w:tcW w:w="2800" w:type="dxa"/>
            <w:vAlign w:val="center"/>
          </w:tcPr>
          <w:p>
            <w:pPr>
              <w:pStyle w:val="2"/>
              <w:spacing w:before="55"/>
              <w:ind w:left="0" w:leftChars="0" w:right="0" w:rightChars="0"/>
              <w:jc w:val="center"/>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整治问题</w:t>
            </w:r>
          </w:p>
        </w:tc>
        <w:tc>
          <w:tcPr>
            <w:tcW w:w="5635" w:type="dxa"/>
            <w:vAlign w:val="center"/>
          </w:tcPr>
          <w:p>
            <w:pPr>
              <w:pStyle w:val="2"/>
              <w:spacing w:before="55"/>
              <w:ind w:left="0" w:leftChars="0" w:right="0" w:rightChars="0"/>
              <w:jc w:val="center"/>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当前工作进度</w:t>
            </w:r>
          </w:p>
        </w:tc>
        <w:tc>
          <w:tcPr>
            <w:tcW w:w="2782" w:type="dxa"/>
            <w:vAlign w:val="center"/>
          </w:tcPr>
          <w:p>
            <w:pPr>
              <w:pStyle w:val="2"/>
              <w:spacing w:before="55"/>
              <w:ind w:left="0" w:leftChars="0" w:right="0" w:rightChars="0"/>
              <w:jc w:val="center"/>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诉求情况</w:t>
            </w:r>
          </w:p>
        </w:tc>
        <w:tc>
          <w:tcPr>
            <w:tcW w:w="2424" w:type="dxa"/>
            <w:vAlign w:val="center"/>
          </w:tcPr>
          <w:p>
            <w:pPr>
              <w:pStyle w:val="2"/>
              <w:spacing w:before="55"/>
              <w:ind w:left="0" w:leftChars="0" w:right="0" w:rightChars="0"/>
              <w:jc w:val="center"/>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56" w:hRule="atLeast"/>
          <w:jc w:val="center"/>
        </w:trPr>
        <w:tc>
          <w:tcPr>
            <w:tcW w:w="925" w:type="dxa"/>
            <w:vAlign w:val="center"/>
          </w:tcPr>
          <w:p>
            <w:pPr>
              <w:pStyle w:val="2"/>
              <w:spacing w:before="55"/>
              <w:jc w:val="center"/>
              <w:rPr>
                <w:rFonts w:hint="default" w:ascii="仿宋_GB2312" w:hAnsi="仿宋_GB2312" w:eastAsia="仿宋_GB2312" w:cs="仿宋_GB2312"/>
                <w:b w:val="0"/>
                <w:bCs w:val="0"/>
                <w:sz w:val="20"/>
                <w:szCs w:val="20"/>
                <w:vertAlign w:val="baseline"/>
                <w:lang w:val="en-US" w:eastAsia="zh-CN"/>
              </w:rPr>
            </w:pPr>
            <w:r>
              <w:rPr>
                <w:rFonts w:hint="eastAsia" w:ascii="仿宋_GB2312" w:hAnsi="仿宋_GB2312" w:eastAsia="仿宋_GB2312" w:cs="仿宋_GB2312"/>
                <w:b/>
                <w:bCs/>
                <w:sz w:val="20"/>
                <w:szCs w:val="20"/>
                <w:vertAlign w:val="baseline"/>
                <w:lang w:val="en-US" w:eastAsia="zh-CN"/>
              </w:rPr>
              <w:t>1</w:t>
            </w:r>
          </w:p>
        </w:tc>
        <w:tc>
          <w:tcPr>
            <w:tcW w:w="1050" w:type="dxa"/>
            <w:vMerge w:val="restart"/>
            <w:vAlign w:val="center"/>
          </w:tcPr>
          <w:p>
            <w:pPr>
              <w:pStyle w:val="2"/>
              <w:spacing w:before="55"/>
              <w:jc w:val="center"/>
              <w:rPr>
                <w:rFonts w:hint="default" w:ascii="仿宋_GB2312" w:hAnsi="仿宋_GB2312" w:eastAsia="仿宋_GB2312" w:cs="仿宋_GB2312"/>
                <w:b w:val="0"/>
                <w:bCs w:val="0"/>
                <w:sz w:val="20"/>
                <w:szCs w:val="20"/>
                <w:vertAlign w:val="baseline"/>
                <w:lang w:val="en-US" w:eastAsia="zh-CN"/>
              </w:rPr>
            </w:pPr>
            <w:r>
              <w:rPr>
                <w:rFonts w:hint="eastAsia" w:ascii="仿宋_GB2312" w:hAnsi="仿宋_GB2312" w:eastAsia="仿宋_GB2312" w:cs="仿宋_GB2312"/>
                <w:b/>
                <w:bCs/>
                <w:sz w:val="20"/>
                <w:szCs w:val="20"/>
                <w:vertAlign w:val="baseline"/>
                <w:lang w:val="en-US" w:eastAsia="zh-CN"/>
              </w:rPr>
              <w:t>一月</w:t>
            </w:r>
          </w:p>
        </w:tc>
        <w:tc>
          <w:tcPr>
            <w:tcW w:w="2800" w:type="dxa"/>
            <w:vAlign w:val="center"/>
          </w:tcPr>
          <w:p>
            <w:pPr>
              <w:pStyle w:val="2"/>
              <w:spacing w:before="55"/>
              <w:jc w:val="center"/>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老旧小区加装电梯问题</w:t>
            </w:r>
          </w:p>
          <w:p>
            <w:pPr>
              <w:pStyle w:val="2"/>
              <w:spacing w:before="55"/>
              <w:jc w:val="center"/>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主责单位：</w:t>
            </w:r>
          </w:p>
          <w:p>
            <w:pPr>
              <w:pStyle w:val="2"/>
              <w:spacing w:before="55"/>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区住建委</w:t>
            </w:r>
          </w:p>
        </w:tc>
        <w:tc>
          <w:tcPr>
            <w:tcW w:w="5635" w:type="dxa"/>
            <w:vAlign w:val="top"/>
          </w:tcPr>
          <w:p>
            <w:pPr>
              <w:pStyle w:val="2"/>
              <w:spacing w:before="55"/>
              <w:jc w:val="both"/>
              <w:rPr>
                <w:rFonts w:hint="default" w:ascii="方正小标宋简体" w:hAnsi="方正小标宋简体" w:eastAsia="方正小标宋简体" w:cs="方正小标宋简体"/>
                <w:b/>
                <w:bCs/>
                <w:sz w:val="21"/>
                <w:szCs w:val="21"/>
                <w:vertAlign w:val="baseline"/>
                <w:lang w:val="en-US" w:eastAsia="zh-CN"/>
              </w:rPr>
            </w:pPr>
            <w:r>
              <w:rPr>
                <w:rFonts w:hint="default" w:ascii="仿宋_GB2312" w:hAnsi="仿宋_GB2312" w:eastAsia="仿宋_GB2312" w:cs="仿宋_GB2312"/>
                <w:b/>
                <w:bCs/>
                <w:sz w:val="21"/>
                <w:szCs w:val="21"/>
                <w:vertAlign w:val="baseline"/>
                <w:lang w:val="en-US" w:eastAsia="zh-CN"/>
              </w:rPr>
              <w:t>鼓楼街道矿山公司家属院C楼3、4、6单元，已完成地下市政管线改移、电梯基坑制作等工作。</w:t>
            </w:r>
          </w:p>
        </w:tc>
        <w:tc>
          <w:tcPr>
            <w:tcW w:w="2782" w:type="dxa"/>
            <w:vAlign w:val="top"/>
          </w:tcPr>
          <w:p>
            <w:pPr>
              <w:pStyle w:val="2"/>
              <w:spacing w:before="55"/>
              <w:jc w:val="both"/>
              <w:rPr>
                <w:rFonts w:hint="eastAsia" w:cs="仿宋_GB2312"/>
                <w:b/>
                <w:bCs/>
                <w:sz w:val="21"/>
                <w:szCs w:val="21"/>
                <w:vertAlign w:val="baseline"/>
                <w:lang w:val="en-US" w:eastAsia="zh-CN"/>
              </w:rPr>
            </w:pPr>
            <w:r>
              <w:rPr>
                <w:rFonts w:hint="default" w:ascii="仿宋_GB2312" w:hAnsi="仿宋_GB2312" w:eastAsia="仿宋_GB2312" w:cs="仿宋_GB2312"/>
                <w:b/>
                <w:bCs/>
                <w:sz w:val="21"/>
                <w:szCs w:val="21"/>
                <w:vertAlign w:val="baseline"/>
                <w:lang w:val="en-US" w:eastAsia="zh-CN"/>
              </w:rPr>
              <w:t>问题工单9件</w:t>
            </w:r>
            <w:r>
              <w:rPr>
                <w:rFonts w:hint="eastAsia" w:cs="仿宋_GB2312"/>
                <w:b/>
                <w:bCs/>
                <w:sz w:val="21"/>
                <w:szCs w:val="21"/>
                <w:vertAlign w:val="baseline"/>
                <w:lang w:val="en-US" w:eastAsia="zh-CN"/>
              </w:rPr>
              <w:t>；</w:t>
            </w:r>
          </w:p>
          <w:p>
            <w:pPr>
              <w:pStyle w:val="2"/>
              <w:spacing w:before="55"/>
              <w:jc w:val="both"/>
              <w:rPr>
                <w:rFonts w:hint="default" w:ascii="方正小标宋简体" w:hAnsi="方正小标宋简体" w:eastAsia="方正小标宋简体" w:cs="方正小标宋简体"/>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涉及点位：檀营地区檀府家园小区</w:t>
            </w:r>
            <w:r>
              <w:rPr>
                <w:rFonts w:hint="eastAsia" w:cs="仿宋_GB2312"/>
                <w:b/>
                <w:bCs/>
                <w:sz w:val="21"/>
                <w:szCs w:val="21"/>
                <w:vertAlign w:val="baseline"/>
                <w:lang w:val="en-US" w:eastAsia="zh-CN"/>
              </w:rPr>
              <w:t>，</w:t>
            </w:r>
            <w:r>
              <w:rPr>
                <w:rFonts w:hint="eastAsia" w:ascii="仿宋_GB2312" w:hAnsi="仿宋_GB2312" w:eastAsia="仿宋_GB2312" w:cs="仿宋_GB2312"/>
                <w:b/>
                <w:bCs/>
                <w:sz w:val="21"/>
                <w:szCs w:val="21"/>
                <w:vertAlign w:val="baseline"/>
                <w:lang w:val="en-US" w:eastAsia="zh-CN"/>
              </w:rPr>
              <w:t>果园街道康居南区、新里东区、果园新里北区。</w:t>
            </w:r>
          </w:p>
        </w:tc>
        <w:tc>
          <w:tcPr>
            <w:tcW w:w="2424" w:type="dxa"/>
            <w:vAlign w:val="top"/>
          </w:tcPr>
          <w:p>
            <w:pPr>
              <w:pStyle w:val="2"/>
              <w:spacing w:before="55"/>
              <w:jc w:val="both"/>
              <w:rPr>
                <w:rFonts w:hint="default" w:ascii="方正小标宋简体" w:hAnsi="方正小标宋简体" w:eastAsia="方正小标宋简体" w:cs="方正小标宋简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40" w:hRule="atLeast"/>
          <w:jc w:val="center"/>
        </w:trPr>
        <w:tc>
          <w:tcPr>
            <w:tcW w:w="925" w:type="dxa"/>
            <w:vAlign w:val="center"/>
          </w:tcPr>
          <w:p>
            <w:pPr>
              <w:pStyle w:val="2"/>
              <w:spacing w:before="55"/>
              <w:jc w:val="center"/>
              <w:rPr>
                <w:rFonts w:hint="default" w:ascii="方正小标宋简体" w:hAnsi="方正小标宋简体" w:eastAsia="方正小标宋简体" w:cs="方正小标宋简体"/>
                <w:b w:val="0"/>
                <w:bCs w:val="0"/>
                <w:sz w:val="20"/>
                <w:szCs w:val="20"/>
                <w:vertAlign w:val="baseline"/>
                <w:lang w:val="en-US" w:eastAsia="zh-CN"/>
              </w:rPr>
            </w:pPr>
            <w:r>
              <w:rPr>
                <w:rFonts w:hint="eastAsia" w:ascii="仿宋_GB2312" w:hAnsi="仿宋_GB2312" w:eastAsia="仿宋_GB2312" w:cs="仿宋_GB2312"/>
                <w:b w:val="0"/>
                <w:bCs w:val="0"/>
                <w:sz w:val="20"/>
                <w:szCs w:val="20"/>
                <w:vertAlign w:val="baseline"/>
                <w:lang w:val="en-US" w:eastAsia="zh-CN"/>
              </w:rPr>
              <w:t>2</w:t>
            </w:r>
          </w:p>
        </w:tc>
        <w:tc>
          <w:tcPr>
            <w:tcW w:w="1050" w:type="dxa"/>
            <w:vMerge w:val="continue"/>
            <w:vAlign w:val="center"/>
          </w:tcPr>
          <w:p>
            <w:pPr>
              <w:pStyle w:val="2"/>
              <w:spacing w:before="55"/>
              <w:jc w:val="center"/>
              <w:rPr>
                <w:rFonts w:hint="default" w:ascii="方正小标宋简体" w:hAnsi="方正小标宋简体" w:eastAsia="方正小标宋简体" w:cs="方正小标宋简体"/>
                <w:b w:val="0"/>
                <w:bCs w:val="0"/>
                <w:sz w:val="20"/>
                <w:szCs w:val="20"/>
                <w:vertAlign w:val="baseline"/>
                <w:lang w:val="en-US" w:eastAsia="zh-CN"/>
              </w:rPr>
            </w:pPr>
          </w:p>
        </w:tc>
        <w:tc>
          <w:tcPr>
            <w:tcW w:w="2800" w:type="dxa"/>
            <w:vAlign w:val="center"/>
          </w:tcPr>
          <w:p>
            <w:pPr>
              <w:pStyle w:val="2"/>
              <w:spacing w:before="55"/>
              <w:jc w:val="center"/>
              <w:rPr>
                <w:rFonts w:hint="default" w:ascii="仿宋_GB2312" w:hAnsi="仿宋_GB2312" w:eastAsia="仿宋_GB2312" w:cs="仿宋_GB2312"/>
                <w:sz w:val="21"/>
                <w:szCs w:val="21"/>
                <w:vertAlign w:val="baseline"/>
                <w:lang w:val="en-US" w:eastAsia="zh-CN"/>
              </w:rPr>
            </w:pPr>
            <w:r>
              <w:rPr>
                <w:rFonts w:hint="default" w:ascii="仿宋_GB2312" w:hAnsi="仿宋_GB2312" w:eastAsia="仿宋_GB2312" w:cs="仿宋_GB2312"/>
                <w:sz w:val="21"/>
                <w:szCs w:val="21"/>
                <w:vertAlign w:val="baseline"/>
                <w:lang w:val="en-US" w:eastAsia="zh-CN"/>
              </w:rPr>
              <w:t>雨季房屋漏雨问题</w:t>
            </w:r>
          </w:p>
          <w:p>
            <w:pPr>
              <w:pStyle w:val="2"/>
              <w:spacing w:before="55"/>
              <w:jc w:val="center"/>
              <w:rPr>
                <w:rFonts w:hint="default" w:ascii="方正小标宋简体" w:hAnsi="方正小标宋简体" w:eastAsia="方正小标宋简体" w:cs="方正小标宋简体"/>
                <w:sz w:val="21"/>
                <w:szCs w:val="21"/>
                <w:vertAlign w:val="baseline"/>
                <w:lang w:val="en-US" w:eastAsia="zh-CN"/>
              </w:rPr>
            </w:pPr>
            <w:r>
              <w:rPr>
                <w:rFonts w:hint="default" w:ascii="仿宋_GB2312" w:hAnsi="仿宋_GB2312" w:eastAsia="仿宋_GB2312" w:cs="仿宋_GB2312"/>
                <w:sz w:val="21"/>
                <w:szCs w:val="21"/>
                <w:vertAlign w:val="baseline"/>
                <w:lang w:val="en-US" w:eastAsia="zh-CN"/>
              </w:rPr>
              <w:t>主责单位：区住建委</w:t>
            </w:r>
          </w:p>
        </w:tc>
        <w:tc>
          <w:tcPr>
            <w:tcW w:w="5635" w:type="dxa"/>
            <w:vAlign w:val="top"/>
          </w:tcPr>
          <w:p>
            <w:pPr>
              <w:pStyle w:val="2"/>
              <w:spacing w:before="55"/>
              <w:jc w:val="both"/>
              <w:rPr>
                <w:rFonts w:hint="default" w:ascii="仿宋_GB2312" w:hAnsi="仿宋_GB2312" w:eastAsia="仿宋_GB2312" w:cs="仿宋_GB2312"/>
                <w:sz w:val="21"/>
                <w:szCs w:val="21"/>
                <w:vertAlign w:val="baseline"/>
                <w:lang w:val="en-US" w:eastAsia="zh-CN"/>
              </w:rPr>
            </w:pPr>
            <w:r>
              <w:rPr>
                <w:rFonts w:hint="default" w:ascii="仿宋_GB2312" w:hAnsi="仿宋_GB2312" w:eastAsia="仿宋_GB2312" w:cs="仿宋_GB2312"/>
                <w:sz w:val="21"/>
                <w:szCs w:val="21"/>
                <w:vertAlign w:val="baseline"/>
                <w:lang w:val="en-US" w:eastAsia="zh-CN"/>
              </w:rPr>
              <w:t>1.已发《关于开展2022年严重漏雨房屋统计及修缮工作的通知》，请相关镇街（地区）部署开展辖区内住宅楼房屋漏雨情况调查统计。</w:t>
            </w:r>
          </w:p>
          <w:p>
            <w:pPr>
              <w:pStyle w:val="2"/>
              <w:spacing w:before="55"/>
              <w:jc w:val="both"/>
              <w:rPr>
                <w:rFonts w:hint="default" w:ascii="方正小标宋简体" w:hAnsi="方正小标宋简体" w:eastAsia="方正小标宋简体" w:cs="方正小标宋简体"/>
                <w:sz w:val="21"/>
                <w:szCs w:val="21"/>
                <w:vertAlign w:val="baseline"/>
                <w:lang w:val="en-US" w:eastAsia="zh-CN"/>
              </w:rPr>
            </w:pPr>
            <w:r>
              <w:rPr>
                <w:rFonts w:hint="default" w:ascii="仿宋_GB2312" w:hAnsi="仿宋_GB2312" w:eastAsia="仿宋_GB2312" w:cs="仿宋_GB2312"/>
                <w:sz w:val="21"/>
                <w:szCs w:val="21"/>
                <w:vertAlign w:val="baseline"/>
                <w:lang w:val="en-US" w:eastAsia="zh-CN"/>
              </w:rPr>
              <w:t>2.针对保修期内的工程接到工单后第一时间与市民及建设单位取得联系，3天之内明确处理进展情况，因冬季无法进行防水施工作业，要求建设单位根据京建发【2021】360号文要求在次年雨季前完成维修工作，并向市民出具维修记录以作为延保依据。</w:t>
            </w:r>
          </w:p>
        </w:tc>
        <w:tc>
          <w:tcPr>
            <w:tcW w:w="2782" w:type="dxa"/>
            <w:vAlign w:val="top"/>
          </w:tcPr>
          <w:p>
            <w:pPr>
              <w:pStyle w:val="2"/>
              <w:spacing w:before="55"/>
              <w:jc w:val="both"/>
              <w:rPr>
                <w:rFonts w:hint="default" w:ascii="方正小标宋简体" w:hAnsi="方正小标宋简体" w:eastAsia="方正小标宋简体" w:cs="方正小标宋简体"/>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无</w:t>
            </w:r>
          </w:p>
        </w:tc>
        <w:tc>
          <w:tcPr>
            <w:tcW w:w="2424" w:type="dxa"/>
            <w:vAlign w:val="top"/>
          </w:tcPr>
          <w:p>
            <w:pPr>
              <w:pStyle w:val="2"/>
              <w:spacing w:before="55"/>
              <w:jc w:val="both"/>
              <w:rPr>
                <w:rFonts w:hint="default" w:ascii="方正小标宋简体" w:hAnsi="方正小标宋简体" w:eastAsia="方正小标宋简体" w:cs="方正小标宋简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00" w:hRule="atLeast"/>
          <w:jc w:val="center"/>
        </w:trPr>
        <w:tc>
          <w:tcPr>
            <w:tcW w:w="925" w:type="dxa"/>
            <w:vAlign w:val="center"/>
          </w:tcPr>
          <w:p>
            <w:pPr>
              <w:pStyle w:val="2"/>
              <w:spacing w:before="55"/>
              <w:ind w:left="0" w:leftChars="0" w:right="0" w:rightChars="0"/>
              <w:jc w:val="center"/>
              <w:rPr>
                <w:rFonts w:hint="eastAsia" w:ascii="仿宋_GB2312" w:hAnsi="仿宋_GB2312" w:eastAsia="仿宋_GB2312" w:cs="仿宋_GB2312"/>
                <w:b w:val="0"/>
                <w:bCs w:val="0"/>
                <w:sz w:val="20"/>
                <w:szCs w:val="20"/>
                <w:vertAlign w:val="baseline"/>
                <w:lang w:val="en-US" w:eastAsia="zh-CN"/>
              </w:rPr>
            </w:pPr>
            <w:r>
              <w:rPr>
                <w:rFonts w:hint="eastAsia" w:cs="仿宋_GB2312"/>
                <w:b w:val="0"/>
                <w:bCs w:val="0"/>
                <w:sz w:val="20"/>
                <w:szCs w:val="20"/>
                <w:vertAlign w:val="baseline"/>
                <w:lang w:val="en-US" w:eastAsia="zh-CN"/>
              </w:rPr>
              <w:t>3</w:t>
            </w:r>
          </w:p>
        </w:tc>
        <w:tc>
          <w:tcPr>
            <w:tcW w:w="1050" w:type="dxa"/>
            <w:vAlign w:val="center"/>
          </w:tcPr>
          <w:p>
            <w:pPr>
              <w:pStyle w:val="2"/>
              <w:spacing w:before="55"/>
              <w:ind w:left="0" w:leftChars="0" w:right="0" w:rightChars="0"/>
              <w:jc w:val="center"/>
              <w:rPr>
                <w:rFonts w:hint="default" w:ascii="仿宋_GB2312" w:hAnsi="仿宋_GB2312" w:eastAsia="仿宋_GB2312" w:cs="仿宋_GB2312"/>
                <w:b w:val="0"/>
                <w:bCs w:val="0"/>
                <w:sz w:val="20"/>
                <w:szCs w:val="20"/>
                <w:vertAlign w:val="baseline"/>
                <w:lang w:val="en-US" w:eastAsia="zh-CN"/>
              </w:rPr>
            </w:pPr>
            <w:r>
              <w:rPr>
                <w:rFonts w:hint="eastAsia" w:cs="仿宋_GB2312"/>
                <w:b w:val="0"/>
                <w:bCs w:val="0"/>
                <w:sz w:val="20"/>
                <w:szCs w:val="20"/>
                <w:vertAlign w:val="baseline"/>
                <w:lang w:val="en-US" w:eastAsia="zh-CN"/>
              </w:rPr>
              <w:t>二月</w:t>
            </w:r>
          </w:p>
        </w:tc>
        <w:tc>
          <w:tcPr>
            <w:tcW w:w="2800" w:type="dxa"/>
            <w:vAlign w:val="center"/>
          </w:tcPr>
          <w:p>
            <w:pPr>
              <w:pStyle w:val="2"/>
              <w:spacing w:before="55"/>
              <w:ind w:left="0" w:leftChars="0" w:right="0" w:right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房产证办理难问题</w:t>
            </w:r>
          </w:p>
          <w:p>
            <w:pPr>
              <w:pStyle w:val="2"/>
              <w:spacing w:before="55"/>
              <w:ind w:left="0" w:leftChars="0" w:right="0" w:right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主责单位：区规自分局</w:t>
            </w:r>
          </w:p>
        </w:tc>
        <w:tc>
          <w:tcPr>
            <w:tcW w:w="5635" w:type="dxa"/>
            <w:vAlign w:val="top"/>
          </w:tcPr>
          <w:p>
            <w:pPr>
              <w:pStyle w:val="2"/>
              <w:spacing w:before="55"/>
              <w:ind w:left="0" w:leftChars="0" w:right="0" w:rightChars="0"/>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加强不动产登记业务知识宣传和普及，提高常规业务办理水平和效率。此外，持续推动化解历史遗留问题导致的办证难题，计划2022年为10万套房屋解决“房产证办理难”问题。市级任务计划2022年为10万套房屋解决“房产证办理难”问题，暂未下达区级任务数。全区已累计完成首次登记项目19个，涉及居民8178户，2022年将继续推进解决万利花园、博世庄园、碧水花园、世纪家园A座、永安家园、佛山花园、海怡庄园项目的首次登记。</w:t>
            </w:r>
          </w:p>
        </w:tc>
        <w:tc>
          <w:tcPr>
            <w:tcW w:w="2782" w:type="dxa"/>
            <w:vAlign w:val="top"/>
          </w:tcPr>
          <w:p>
            <w:pPr>
              <w:pStyle w:val="2"/>
              <w:spacing w:before="55"/>
              <w:ind w:left="0" w:leftChars="0" w:right="0" w:rightChars="0"/>
              <w:jc w:val="both"/>
              <w:rPr>
                <w:rFonts w:hint="eastAsia"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问题工单41件</w:t>
            </w:r>
            <w:r>
              <w:rPr>
                <w:rFonts w:hint="eastAsia" w:cs="仿宋_GB2312"/>
                <w:sz w:val="21"/>
                <w:szCs w:val="21"/>
                <w:vertAlign w:val="baseline"/>
                <w:lang w:val="en-US" w:eastAsia="zh-CN"/>
              </w:rPr>
              <w:t>；</w:t>
            </w:r>
          </w:p>
          <w:p>
            <w:pPr>
              <w:pStyle w:val="2"/>
              <w:spacing w:before="55"/>
              <w:ind w:left="0" w:leftChars="0" w:right="0" w:rightChars="0"/>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主要涉及点位：果园街道桃源公馆小区、万利花园小区</w:t>
            </w:r>
            <w:r>
              <w:rPr>
                <w:rFonts w:hint="eastAsia" w:cs="仿宋_GB2312"/>
                <w:sz w:val="21"/>
                <w:szCs w:val="21"/>
                <w:vertAlign w:val="baseline"/>
                <w:lang w:val="en-US" w:eastAsia="zh-CN"/>
              </w:rPr>
              <w:t>，</w:t>
            </w:r>
            <w:r>
              <w:rPr>
                <w:rFonts w:hint="eastAsia" w:ascii="仿宋_GB2312" w:hAnsi="仿宋_GB2312" w:eastAsia="仿宋_GB2312" w:cs="仿宋_GB2312"/>
                <w:sz w:val="21"/>
                <w:szCs w:val="21"/>
                <w:vertAlign w:val="baseline"/>
                <w:lang w:val="en-US" w:eastAsia="zh-CN"/>
              </w:rPr>
              <w:t>古北口镇长城源著小区、果园街道唐源云居小区、溪翁庄镇溪水花园小区等。</w:t>
            </w:r>
          </w:p>
        </w:tc>
        <w:tc>
          <w:tcPr>
            <w:tcW w:w="2424" w:type="dxa"/>
            <w:vAlign w:val="top"/>
          </w:tcPr>
          <w:p>
            <w:pPr>
              <w:pStyle w:val="2"/>
              <w:spacing w:before="55"/>
              <w:ind w:left="0" w:leftChars="0" w:right="0" w:rightChars="0"/>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溪水花园项目的首次登记及紫金大厦项目的变更登记已办理完成，正在协调开发企业为购房人办理转移登记。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56" w:hRule="atLeast"/>
          <w:jc w:val="center"/>
        </w:trPr>
        <w:tc>
          <w:tcPr>
            <w:tcW w:w="925" w:type="dxa"/>
            <w:vAlign w:val="center"/>
          </w:tcPr>
          <w:p>
            <w:pPr>
              <w:pStyle w:val="2"/>
              <w:spacing w:before="55"/>
              <w:ind w:left="0" w:leftChars="0" w:right="0" w:rightChars="0"/>
              <w:jc w:val="center"/>
              <w:rPr>
                <w:rFonts w:hint="default" w:cs="仿宋_GB2312"/>
                <w:b w:val="0"/>
                <w:bCs w:val="0"/>
                <w:sz w:val="20"/>
                <w:szCs w:val="20"/>
                <w:vertAlign w:val="baseline"/>
                <w:lang w:val="en-US" w:eastAsia="zh-CN"/>
              </w:rPr>
            </w:pPr>
            <w:r>
              <w:rPr>
                <w:rFonts w:hint="eastAsia" w:cs="仿宋_GB2312"/>
                <w:b w:val="0"/>
                <w:bCs w:val="0"/>
                <w:sz w:val="20"/>
                <w:szCs w:val="20"/>
                <w:vertAlign w:val="baseline"/>
                <w:lang w:val="en-US" w:eastAsia="zh-CN"/>
              </w:rPr>
              <w:t>4</w:t>
            </w:r>
          </w:p>
        </w:tc>
        <w:tc>
          <w:tcPr>
            <w:tcW w:w="1050" w:type="dxa"/>
            <w:vMerge w:val="restart"/>
            <w:vAlign w:val="center"/>
          </w:tcPr>
          <w:p>
            <w:pPr>
              <w:pStyle w:val="2"/>
              <w:spacing w:before="55"/>
              <w:ind w:left="0" w:leftChars="0" w:right="0" w:rightChars="0"/>
              <w:jc w:val="center"/>
              <w:rPr>
                <w:rFonts w:hint="default" w:cs="仿宋_GB2312"/>
                <w:b w:val="0"/>
                <w:bCs w:val="0"/>
                <w:sz w:val="20"/>
                <w:szCs w:val="20"/>
                <w:vertAlign w:val="baseline"/>
                <w:lang w:val="en-US" w:eastAsia="zh-CN"/>
              </w:rPr>
            </w:pPr>
            <w:r>
              <w:rPr>
                <w:rFonts w:hint="eastAsia" w:cs="仿宋_GB2312"/>
                <w:b w:val="0"/>
                <w:bCs w:val="0"/>
                <w:sz w:val="20"/>
                <w:szCs w:val="20"/>
                <w:vertAlign w:val="baseline"/>
                <w:lang w:val="en-US" w:eastAsia="zh-CN"/>
              </w:rPr>
              <w:t>二月</w:t>
            </w:r>
          </w:p>
        </w:tc>
        <w:tc>
          <w:tcPr>
            <w:tcW w:w="2800" w:type="dxa"/>
            <w:vAlign w:val="center"/>
          </w:tcPr>
          <w:p>
            <w:pPr>
              <w:pStyle w:val="2"/>
              <w:spacing w:before="55"/>
              <w:ind w:left="0" w:leftChars="0" w:right="0" w:right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居住区电动自行车集中充电设施建设问题</w:t>
            </w:r>
          </w:p>
          <w:p>
            <w:pPr>
              <w:pStyle w:val="2"/>
              <w:spacing w:before="55"/>
              <w:ind w:left="0" w:leftChars="0" w:right="0" w:right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主责单位：区城管委</w:t>
            </w:r>
          </w:p>
        </w:tc>
        <w:tc>
          <w:tcPr>
            <w:tcW w:w="5635" w:type="dxa"/>
            <w:vAlign w:val="top"/>
          </w:tcPr>
          <w:p>
            <w:pPr>
              <w:pStyle w:val="2"/>
              <w:spacing w:before="55"/>
              <w:ind w:left="0" w:leftChars="0" w:right="0" w:rightChars="0"/>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 xml:space="preserve">1.目前已对191个居住小区及3处平房院落进行摸排，共摸排电动自行车74295辆，其中92个居住小区建有充电设施接口8649个，有效使用接口数8481个。 </w:t>
            </w:r>
          </w:p>
          <w:p>
            <w:pPr>
              <w:pStyle w:val="2"/>
              <w:spacing w:before="55"/>
              <w:ind w:left="0" w:leftChars="0" w:right="0" w:rightChars="0"/>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2.前期摸排的部分基础信息进行数据整理完成，电动自行车充电设施小程序社区上报人员测试登录已完成，与安装厂家初步对接。</w:t>
            </w:r>
          </w:p>
        </w:tc>
        <w:tc>
          <w:tcPr>
            <w:tcW w:w="2782" w:type="dxa"/>
            <w:vAlign w:val="top"/>
          </w:tcPr>
          <w:p>
            <w:pPr>
              <w:pStyle w:val="2"/>
              <w:spacing w:before="55"/>
              <w:ind w:left="0" w:leftChars="0" w:right="0" w:rightChars="0"/>
              <w:jc w:val="both"/>
              <w:rPr>
                <w:rFonts w:hint="eastAsia"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问题工单15件</w:t>
            </w:r>
            <w:r>
              <w:rPr>
                <w:rFonts w:hint="eastAsia" w:cs="仿宋_GB2312"/>
                <w:sz w:val="21"/>
                <w:szCs w:val="21"/>
                <w:vertAlign w:val="baseline"/>
                <w:lang w:val="en-US" w:eastAsia="zh-CN"/>
              </w:rPr>
              <w:t>；</w:t>
            </w:r>
          </w:p>
          <w:p>
            <w:pPr>
              <w:pStyle w:val="2"/>
              <w:spacing w:before="55"/>
              <w:ind w:left="0" w:leftChars="0" w:right="0" w:rightChars="0"/>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问题较分散，涉及开园小区、沿湖小区、檀府家园、国际生态城南区等点位各1件。</w:t>
            </w:r>
          </w:p>
        </w:tc>
        <w:tc>
          <w:tcPr>
            <w:tcW w:w="2424" w:type="dxa"/>
            <w:vAlign w:val="top"/>
          </w:tcPr>
          <w:p>
            <w:pPr>
              <w:pStyle w:val="2"/>
              <w:spacing w:before="55"/>
              <w:ind w:left="0" w:leftChars="0" w:right="0" w:rightChars="0"/>
              <w:jc w:val="both"/>
              <w:rPr>
                <w:rFonts w:hint="eastAsia" w:ascii="仿宋_GB2312" w:hAnsi="仿宋_GB2312" w:eastAsia="仿宋_GB2312" w:cs="仿宋_GB2312"/>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17" w:hRule="atLeast"/>
          <w:jc w:val="center"/>
        </w:trPr>
        <w:tc>
          <w:tcPr>
            <w:tcW w:w="925" w:type="dxa"/>
            <w:vAlign w:val="center"/>
          </w:tcPr>
          <w:p>
            <w:pPr>
              <w:pStyle w:val="2"/>
              <w:spacing w:before="55"/>
              <w:ind w:left="0" w:leftChars="0" w:right="0" w:rightChars="0"/>
              <w:jc w:val="center"/>
              <w:rPr>
                <w:rFonts w:hint="default" w:cs="仿宋_GB2312"/>
                <w:b w:val="0"/>
                <w:bCs w:val="0"/>
                <w:sz w:val="20"/>
                <w:szCs w:val="20"/>
                <w:vertAlign w:val="baseline"/>
                <w:lang w:val="en-US" w:eastAsia="zh-CN"/>
              </w:rPr>
            </w:pPr>
            <w:r>
              <w:rPr>
                <w:rFonts w:hint="eastAsia" w:cs="仿宋_GB2312"/>
                <w:b w:val="0"/>
                <w:bCs w:val="0"/>
                <w:sz w:val="20"/>
                <w:szCs w:val="20"/>
                <w:vertAlign w:val="baseline"/>
                <w:lang w:val="en-US" w:eastAsia="zh-CN"/>
              </w:rPr>
              <w:t>5</w:t>
            </w:r>
          </w:p>
        </w:tc>
        <w:tc>
          <w:tcPr>
            <w:tcW w:w="1050" w:type="dxa"/>
            <w:vMerge w:val="continue"/>
            <w:vAlign w:val="center"/>
          </w:tcPr>
          <w:p>
            <w:pPr>
              <w:pStyle w:val="2"/>
              <w:spacing w:before="55"/>
              <w:ind w:left="0" w:leftChars="0" w:right="0" w:rightChars="0"/>
              <w:jc w:val="center"/>
              <w:rPr>
                <w:rFonts w:hint="eastAsia" w:cs="仿宋_GB2312"/>
                <w:b w:val="0"/>
                <w:bCs w:val="0"/>
                <w:sz w:val="20"/>
                <w:szCs w:val="20"/>
                <w:vertAlign w:val="baseline"/>
                <w:lang w:val="en-US" w:eastAsia="zh-CN"/>
              </w:rPr>
            </w:pPr>
          </w:p>
        </w:tc>
        <w:tc>
          <w:tcPr>
            <w:tcW w:w="2800" w:type="dxa"/>
            <w:vAlign w:val="center"/>
          </w:tcPr>
          <w:p>
            <w:pPr>
              <w:pStyle w:val="2"/>
              <w:spacing w:before="55"/>
              <w:ind w:left="0" w:leftChars="0" w:right="0" w:right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停车难问题</w:t>
            </w:r>
          </w:p>
          <w:p>
            <w:pPr>
              <w:pStyle w:val="2"/>
              <w:spacing w:before="55"/>
              <w:ind w:left="0" w:leftChars="0" w:right="0" w:right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主责单位：区城管委</w:t>
            </w:r>
          </w:p>
        </w:tc>
        <w:tc>
          <w:tcPr>
            <w:tcW w:w="5635" w:type="dxa"/>
            <w:vAlign w:val="top"/>
          </w:tcPr>
          <w:p>
            <w:pPr>
              <w:pStyle w:val="2"/>
              <w:spacing w:before="55"/>
              <w:ind w:left="0" w:leftChars="0" w:right="0" w:rightChars="0"/>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与专业停车治理研究机构对密云区停车基础设施信息普查及停车信息报送工作进行了初步对接，了解北京市各区停车秩序治理先进经验，为后续制定密云区停车秩序治理措施打基础。</w:t>
            </w:r>
          </w:p>
        </w:tc>
        <w:tc>
          <w:tcPr>
            <w:tcW w:w="2782" w:type="dxa"/>
            <w:vAlign w:val="top"/>
          </w:tcPr>
          <w:p>
            <w:pPr>
              <w:pStyle w:val="2"/>
              <w:spacing w:before="55"/>
              <w:ind w:left="0" w:leftChars="0" w:right="0" w:rightChars="0"/>
              <w:jc w:val="both"/>
              <w:rPr>
                <w:rFonts w:hint="eastAsia"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问题工单32件</w:t>
            </w:r>
            <w:r>
              <w:rPr>
                <w:rFonts w:hint="eastAsia" w:cs="仿宋_GB2312"/>
                <w:sz w:val="21"/>
                <w:szCs w:val="21"/>
                <w:vertAlign w:val="baseline"/>
                <w:lang w:val="en-US" w:eastAsia="zh-CN"/>
              </w:rPr>
              <w:t>；</w:t>
            </w:r>
          </w:p>
          <w:p>
            <w:pPr>
              <w:pStyle w:val="2"/>
              <w:spacing w:before="55"/>
              <w:ind w:left="0" w:leftChars="0" w:right="0" w:rightChars="0"/>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主要涉及悦欣汇小区3件，季庄小区、新东路、新北路与檀营街等点位各1件。</w:t>
            </w:r>
          </w:p>
        </w:tc>
        <w:tc>
          <w:tcPr>
            <w:tcW w:w="2424" w:type="dxa"/>
            <w:vAlign w:val="top"/>
          </w:tcPr>
          <w:p>
            <w:pPr>
              <w:pStyle w:val="2"/>
              <w:spacing w:before="55"/>
              <w:ind w:left="0" w:leftChars="0" w:right="0" w:rightChars="0"/>
              <w:jc w:val="both"/>
              <w:rPr>
                <w:rFonts w:hint="eastAsia" w:ascii="仿宋_GB2312" w:hAnsi="仿宋_GB2312" w:eastAsia="仿宋_GB2312" w:cs="仿宋_GB2312"/>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6" w:hRule="atLeast"/>
          <w:jc w:val="center"/>
        </w:trPr>
        <w:tc>
          <w:tcPr>
            <w:tcW w:w="925" w:type="dxa"/>
            <w:vAlign w:val="center"/>
          </w:tcPr>
          <w:p>
            <w:pPr>
              <w:pStyle w:val="2"/>
              <w:spacing w:before="55"/>
              <w:ind w:left="0" w:leftChars="0" w:right="0" w:rightChars="0"/>
              <w:jc w:val="center"/>
              <w:rPr>
                <w:rFonts w:hint="default" w:cs="仿宋_GB2312"/>
                <w:b w:val="0"/>
                <w:bCs w:val="0"/>
                <w:sz w:val="20"/>
                <w:szCs w:val="20"/>
                <w:vertAlign w:val="baseline"/>
                <w:lang w:val="en-US" w:eastAsia="zh-CN"/>
              </w:rPr>
            </w:pPr>
            <w:r>
              <w:rPr>
                <w:rFonts w:hint="eastAsia" w:cs="仿宋_GB2312"/>
                <w:b w:val="0"/>
                <w:bCs w:val="0"/>
                <w:sz w:val="20"/>
                <w:szCs w:val="20"/>
                <w:vertAlign w:val="baseline"/>
                <w:lang w:val="en-US" w:eastAsia="zh-CN"/>
              </w:rPr>
              <w:t>6</w:t>
            </w:r>
          </w:p>
        </w:tc>
        <w:tc>
          <w:tcPr>
            <w:tcW w:w="1050" w:type="dxa"/>
            <w:vAlign w:val="center"/>
          </w:tcPr>
          <w:p>
            <w:pPr>
              <w:pStyle w:val="2"/>
              <w:spacing w:before="55"/>
              <w:ind w:left="0" w:leftChars="0" w:right="0" w:rightChars="0"/>
              <w:jc w:val="center"/>
              <w:rPr>
                <w:rFonts w:hint="default" w:cs="仿宋_GB2312"/>
                <w:b w:val="0"/>
                <w:bCs w:val="0"/>
                <w:sz w:val="20"/>
                <w:szCs w:val="20"/>
                <w:vertAlign w:val="baseline"/>
                <w:lang w:val="en-US" w:eastAsia="zh-CN"/>
              </w:rPr>
            </w:pPr>
            <w:r>
              <w:rPr>
                <w:rFonts w:hint="eastAsia" w:cs="仿宋_GB2312"/>
                <w:b w:val="0"/>
                <w:bCs w:val="0"/>
                <w:sz w:val="20"/>
                <w:szCs w:val="20"/>
                <w:vertAlign w:val="baseline"/>
                <w:lang w:val="en-US" w:eastAsia="zh-CN"/>
              </w:rPr>
              <w:t>三月</w:t>
            </w:r>
          </w:p>
        </w:tc>
        <w:tc>
          <w:tcPr>
            <w:tcW w:w="2800" w:type="dxa"/>
            <w:vAlign w:val="center"/>
          </w:tcPr>
          <w:p>
            <w:pPr>
              <w:pStyle w:val="2"/>
              <w:spacing w:before="55"/>
              <w:ind w:left="0" w:leftChars="0" w:right="0" w:right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中小学教学管理问题</w:t>
            </w:r>
          </w:p>
          <w:p>
            <w:pPr>
              <w:pStyle w:val="2"/>
              <w:spacing w:before="55"/>
              <w:ind w:left="0" w:leftChars="0" w:right="0" w:right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主责单位：区教委</w:t>
            </w:r>
          </w:p>
          <w:p>
            <w:pPr>
              <w:pStyle w:val="2"/>
              <w:spacing w:before="55"/>
              <w:ind w:left="0" w:leftChars="0" w:right="0" w:rightChars="0"/>
              <w:jc w:val="center"/>
              <w:rPr>
                <w:rFonts w:hint="eastAsia" w:ascii="仿宋_GB2312" w:hAnsi="仿宋_GB2312" w:eastAsia="仿宋_GB2312" w:cs="仿宋_GB2312"/>
                <w:sz w:val="21"/>
                <w:szCs w:val="21"/>
                <w:vertAlign w:val="baseline"/>
                <w:lang w:val="en-US" w:eastAsia="zh-CN"/>
              </w:rPr>
            </w:pPr>
          </w:p>
        </w:tc>
        <w:tc>
          <w:tcPr>
            <w:tcW w:w="5635" w:type="dxa"/>
            <w:vAlign w:val="top"/>
          </w:tcPr>
          <w:p>
            <w:pPr>
              <w:pStyle w:val="2"/>
              <w:spacing w:before="55"/>
              <w:ind w:left="0" w:leftChars="0" w:right="0" w:rightChars="0"/>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全区29所小学组织一二年级开展趣味化、游戏式的“乐考”主题活动，全面展示一个学期以来学生的综合素养所得；2.由区教师研修学院成立义务教育阶段（除小学一二年级）命题小组，集中统一命制2021至2022学年第一学期期末语文、数学、英语等学科试题。1月13日、14日、17日，区教委统一组织三至九年级各学科期末考试；3.全区各中小学成立寒假作业管理领导小组，明确人员分工，聚焦实际获得精心设计作业内容，严格控制作业总量；4.联合区教师研修学院召开工作交流会，总结本学期视导听课工作、部署下一阶段期末考试、寒假教师培训具体工作以及新学期工作思路想法；5.成立期末考试工作领导小组，明确人员分工，检查各中小学期末考试情况，指导学校做好期末试卷讲评工作和期末前各项安全教育工作。</w:t>
            </w:r>
          </w:p>
        </w:tc>
        <w:tc>
          <w:tcPr>
            <w:tcW w:w="2782" w:type="dxa"/>
            <w:vAlign w:val="top"/>
          </w:tcPr>
          <w:p>
            <w:pPr>
              <w:pStyle w:val="2"/>
              <w:spacing w:before="55"/>
              <w:ind w:left="0" w:leftChars="0" w:right="0" w:rightChars="0"/>
              <w:jc w:val="both"/>
              <w:rPr>
                <w:rFonts w:hint="eastAsia"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问题工单17件</w:t>
            </w:r>
            <w:r>
              <w:rPr>
                <w:rFonts w:hint="eastAsia" w:cs="仿宋_GB2312"/>
                <w:sz w:val="21"/>
                <w:szCs w:val="21"/>
                <w:vertAlign w:val="baseline"/>
                <w:lang w:val="en-US" w:eastAsia="zh-CN"/>
              </w:rPr>
              <w:t>；</w:t>
            </w:r>
          </w:p>
          <w:p>
            <w:pPr>
              <w:pStyle w:val="2"/>
              <w:spacing w:before="55"/>
              <w:ind w:left="0" w:leftChars="0" w:right="0" w:rightChars="0"/>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主要涉及点位：东邵渠镇中学、密云二中、密云三中、果园小学等。</w:t>
            </w:r>
          </w:p>
        </w:tc>
        <w:tc>
          <w:tcPr>
            <w:tcW w:w="2424" w:type="dxa"/>
            <w:vAlign w:val="top"/>
          </w:tcPr>
          <w:p>
            <w:pPr>
              <w:pStyle w:val="2"/>
              <w:spacing w:before="55"/>
              <w:ind w:left="0" w:leftChars="0" w:right="0" w:rightChars="0"/>
              <w:jc w:val="both"/>
              <w:rPr>
                <w:rFonts w:hint="eastAsia" w:ascii="仿宋_GB2312" w:hAnsi="仿宋_GB2312" w:eastAsia="仿宋_GB2312" w:cs="仿宋_GB2312"/>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289" w:hRule="atLeast"/>
          <w:jc w:val="center"/>
        </w:trPr>
        <w:tc>
          <w:tcPr>
            <w:tcW w:w="925" w:type="dxa"/>
            <w:vAlign w:val="center"/>
          </w:tcPr>
          <w:p>
            <w:pPr>
              <w:pStyle w:val="2"/>
              <w:spacing w:before="55"/>
              <w:ind w:left="0" w:leftChars="0" w:right="0" w:rightChars="0"/>
              <w:jc w:val="center"/>
              <w:rPr>
                <w:rFonts w:hint="default" w:cs="仿宋_GB2312"/>
                <w:b w:val="0"/>
                <w:bCs w:val="0"/>
                <w:sz w:val="20"/>
                <w:szCs w:val="20"/>
                <w:vertAlign w:val="baseline"/>
                <w:lang w:val="en-US" w:eastAsia="zh-CN"/>
              </w:rPr>
            </w:pPr>
            <w:r>
              <w:rPr>
                <w:rFonts w:hint="eastAsia" w:cs="仿宋_GB2312"/>
                <w:b w:val="0"/>
                <w:bCs w:val="0"/>
                <w:sz w:val="20"/>
                <w:szCs w:val="20"/>
                <w:vertAlign w:val="baseline"/>
                <w:lang w:val="en-US" w:eastAsia="zh-CN"/>
              </w:rPr>
              <w:t>7</w:t>
            </w:r>
          </w:p>
        </w:tc>
        <w:tc>
          <w:tcPr>
            <w:tcW w:w="1050" w:type="dxa"/>
            <w:vAlign w:val="center"/>
          </w:tcPr>
          <w:p>
            <w:pPr>
              <w:pStyle w:val="2"/>
              <w:spacing w:before="55"/>
              <w:ind w:left="0" w:leftChars="0" w:right="0" w:rightChars="0"/>
              <w:jc w:val="center"/>
              <w:rPr>
                <w:rFonts w:hint="default" w:cs="仿宋_GB2312"/>
                <w:b w:val="0"/>
                <w:bCs w:val="0"/>
                <w:sz w:val="20"/>
                <w:szCs w:val="20"/>
                <w:vertAlign w:val="baseline"/>
                <w:lang w:val="en-US" w:eastAsia="zh-CN"/>
              </w:rPr>
            </w:pPr>
            <w:r>
              <w:rPr>
                <w:rFonts w:hint="eastAsia" w:cs="仿宋_GB2312"/>
                <w:b w:val="0"/>
                <w:bCs w:val="0"/>
                <w:sz w:val="20"/>
                <w:szCs w:val="20"/>
                <w:vertAlign w:val="baseline"/>
                <w:lang w:val="en-US" w:eastAsia="zh-CN"/>
              </w:rPr>
              <w:t>四月</w:t>
            </w:r>
          </w:p>
        </w:tc>
        <w:tc>
          <w:tcPr>
            <w:tcW w:w="2800" w:type="dxa"/>
            <w:vAlign w:val="center"/>
          </w:tcPr>
          <w:p>
            <w:pPr>
              <w:pStyle w:val="2"/>
              <w:spacing w:before="55"/>
              <w:ind w:left="0" w:leftChars="0" w:right="0" w:right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新就业形态劳动者劳动</w:t>
            </w:r>
          </w:p>
          <w:p>
            <w:pPr>
              <w:pStyle w:val="2"/>
              <w:spacing w:before="55"/>
              <w:ind w:left="0" w:leftChars="0" w:right="0" w:right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保障问题</w:t>
            </w:r>
          </w:p>
          <w:p>
            <w:pPr>
              <w:pStyle w:val="2"/>
              <w:spacing w:before="55"/>
              <w:ind w:left="0" w:leftChars="0" w:right="0" w:right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主责单位：区人力社保局</w:t>
            </w:r>
          </w:p>
          <w:p>
            <w:pPr>
              <w:pStyle w:val="2"/>
              <w:spacing w:before="55"/>
              <w:ind w:left="0" w:leftChars="0" w:right="0" w:rightChars="0"/>
              <w:jc w:val="center"/>
              <w:rPr>
                <w:rFonts w:hint="eastAsia" w:ascii="仿宋_GB2312" w:hAnsi="仿宋_GB2312" w:eastAsia="仿宋_GB2312" w:cs="仿宋_GB2312"/>
                <w:sz w:val="21"/>
                <w:szCs w:val="21"/>
                <w:vertAlign w:val="baseline"/>
                <w:lang w:val="en-US" w:eastAsia="zh-CN"/>
              </w:rPr>
            </w:pPr>
          </w:p>
        </w:tc>
        <w:tc>
          <w:tcPr>
            <w:tcW w:w="5635" w:type="dxa"/>
            <w:vAlign w:val="top"/>
          </w:tcPr>
          <w:p>
            <w:pPr>
              <w:pStyle w:val="2"/>
              <w:spacing w:before="55"/>
              <w:ind w:left="0" w:leftChars="0" w:right="0" w:rightChars="0"/>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 xml:space="preserve">2022年1月1日至18日，区人力资源和社会保障综合执法队做好保障农民工工资支付工作，深入建筑工程、企业进行检查，按照市局落实五项制度要求查看在建工程项目保障农民工工资支付制度落实情况，及早发现欠薪隐患，解决欠薪问题。同时，及时处理各类群众投诉举报案件。共处理各种形式来源的32起投诉举报案件，解决拖欠工资12.55万元。截止1月18日累计处理案件32件，解决拖欠工资12.55万元。我局仲裁院积极开展各项仲裁工作，对涉及新就业形态劳动者的劳动争议案件高度重视，认真排查涉及新就业形态劳动者拖欠工资等各类劳动争议案件。对涉及新就业形态劳动者的案件，坚持“快立、快审、快结”办案原则，保障劳动者的合法权益。截止2022年1月1日至1月18日涉及新就业形态劳动者的各类劳动人事争议案件0件。2022年1月1日至18日，密云社保中心稽核科稳步开展日常稽核工作，深入部分企业实地稽核，查看职工花名册、劳动合同、会计凭证等相关材料，及时发现、处置各类少报漏报、少缴漏缴社会保险费问题，确保社会保险费应收尽收。同时，第一时间处理各类投诉举报案件，共受理投诉举报案件27件，妥善处置了1件漏缴外卖送餐员社会保险费投诉案件。截至1月18日，通过日常稽核、举报稽核，下达整改意见25份，完成稽核补缴65.1万元。                               </w:t>
            </w:r>
          </w:p>
        </w:tc>
        <w:tc>
          <w:tcPr>
            <w:tcW w:w="2782" w:type="dxa"/>
            <w:vAlign w:val="top"/>
          </w:tcPr>
          <w:p>
            <w:pPr>
              <w:pStyle w:val="2"/>
              <w:spacing w:before="55"/>
              <w:ind w:left="0" w:leftChars="0" w:right="0" w:rightChars="0"/>
              <w:jc w:val="both"/>
              <w:rPr>
                <w:rFonts w:hint="eastAsia"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问题工单392件</w:t>
            </w:r>
            <w:r>
              <w:rPr>
                <w:rFonts w:hint="eastAsia" w:cs="仿宋_GB2312"/>
                <w:sz w:val="21"/>
                <w:szCs w:val="21"/>
                <w:vertAlign w:val="baseline"/>
                <w:lang w:val="en-US" w:eastAsia="zh-CN"/>
              </w:rPr>
              <w:t>；</w:t>
            </w:r>
          </w:p>
          <w:p>
            <w:pPr>
              <w:pStyle w:val="2"/>
              <w:spacing w:before="55"/>
              <w:ind w:left="0" w:leftChars="0" w:right="0" w:rightChars="0"/>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主要涉事企业：密云紫云腾中药饮片有限公司、临沂飞鹏装饰工程有限公司、广东蕉岭建筑有限公司、北京宅急送快运股份有限公司北京分公司、中国新兴保信公司等。</w:t>
            </w:r>
          </w:p>
        </w:tc>
        <w:tc>
          <w:tcPr>
            <w:tcW w:w="2424" w:type="dxa"/>
            <w:vAlign w:val="top"/>
          </w:tcPr>
          <w:p>
            <w:pPr>
              <w:pStyle w:val="2"/>
              <w:spacing w:before="55"/>
              <w:ind w:left="0" w:leftChars="0" w:right="0" w:rightChars="0"/>
              <w:jc w:val="both"/>
              <w:rPr>
                <w:rFonts w:hint="eastAsia" w:ascii="仿宋_GB2312" w:hAnsi="仿宋_GB2312" w:eastAsia="仿宋_GB2312" w:cs="仿宋_GB2312"/>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84" w:hRule="atLeast"/>
          <w:jc w:val="center"/>
        </w:trPr>
        <w:tc>
          <w:tcPr>
            <w:tcW w:w="925" w:type="dxa"/>
            <w:vAlign w:val="center"/>
          </w:tcPr>
          <w:p>
            <w:pPr>
              <w:pStyle w:val="2"/>
              <w:spacing w:before="55"/>
              <w:ind w:left="0" w:leftChars="0" w:right="0" w:rightChars="0"/>
              <w:jc w:val="center"/>
              <w:rPr>
                <w:rFonts w:hint="eastAsia" w:ascii="仿宋_GB2312" w:hAnsi="仿宋_GB2312" w:eastAsia="仿宋_GB2312" w:cs="仿宋_GB2312"/>
                <w:b w:val="0"/>
                <w:bCs w:val="0"/>
                <w:sz w:val="20"/>
                <w:szCs w:val="20"/>
                <w:vertAlign w:val="baseline"/>
                <w:lang w:val="en-US" w:eastAsia="zh-CN"/>
              </w:rPr>
            </w:pPr>
            <w:r>
              <w:rPr>
                <w:rFonts w:hint="eastAsia" w:ascii="仿宋_GB2312" w:hAnsi="仿宋_GB2312" w:eastAsia="仿宋_GB2312" w:cs="仿宋_GB2312"/>
                <w:b w:val="0"/>
                <w:bCs w:val="0"/>
                <w:sz w:val="20"/>
                <w:szCs w:val="20"/>
                <w:vertAlign w:val="baseline"/>
                <w:lang w:val="en-US" w:eastAsia="zh-CN"/>
              </w:rPr>
              <w:t>8</w:t>
            </w:r>
          </w:p>
        </w:tc>
        <w:tc>
          <w:tcPr>
            <w:tcW w:w="1050" w:type="dxa"/>
            <w:vAlign w:val="center"/>
          </w:tcPr>
          <w:p>
            <w:pPr>
              <w:pStyle w:val="2"/>
              <w:spacing w:before="55"/>
              <w:ind w:left="0" w:leftChars="0" w:right="0" w:rightChars="0"/>
              <w:jc w:val="center"/>
              <w:rPr>
                <w:rFonts w:hint="eastAsia" w:ascii="仿宋_GB2312" w:hAnsi="仿宋_GB2312" w:eastAsia="仿宋_GB2312" w:cs="仿宋_GB2312"/>
                <w:b w:val="0"/>
                <w:bCs w:val="0"/>
                <w:sz w:val="20"/>
                <w:szCs w:val="20"/>
                <w:vertAlign w:val="baseline"/>
                <w:lang w:val="en-US" w:eastAsia="zh-CN"/>
              </w:rPr>
            </w:pPr>
            <w:r>
              <w:rPr>
                <w:rFonts w:hint="eastAsia" w:ascii="仿宋_GB2312" w:hAnsi="仿宋_GB2312" w:eastAsia="仿宋_GB2312" w:cs="仿宋_GB2312"/>
                <w:b w:val="0"/>
                <w:bCs w:val="0"/>
                <w:sz w:val="20"/>
                <w:szCs w:val="20"/>
                <w:vertAlign w:val="baseline"/>
                <w:lang w:val="en-US" w:eastAsia="zh-CN"/>
              </w:rPr>
              <w:t>四月</w:t>
            </w:r>
          </w:p>
        </w:tc>
        <w:tc>
          <w:tcPr>
            <w:tcW w:w="2800" w:type="dxa"/>
            <w:vAlign w:val="center"/>
          </w:tcPr>
          <w:p>
            <w:pPr>
              <w:pStyle w:val="2"/>
              <w:spacing w:before="55"/>
              <w:ind w:left="0" w:leftChars="0" w:right="0" w:right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农村宅基地审批问题</w:t>
            </w:r>
          </w:p>
          <w:p>
            <w:pPr>
              <w:pStyle w:val="2"/>
              <w:spacing w:before="55"/>
              <w:ind w:left="0" w:leftChars="0" w:right="0" w:right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主责单位：区农业农村局</w:t>
            </w:r>
          </w:p>
        </w:tc>
        <w:tc>
          <w:tcPr>
            <w:tcW w:w="5635" w:type="dxa"/>
            <w:vAlign w:val="top"/>
          </w:tcPr>
          <w:p>
            <w:pPr>
              <w:pStyle w:val="2"/>
              <w:spacing w:before="55"/>
              <w:ind w:left="0" w:leftChars="0" w:right="0" w:rightChars="0"/>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因全区各村庄规划已经编制完成并通过审批，短时间内难以修改，为落实户有所居，解决全区新批宅基地供地问题，区农业农村局下发了《关于在国土空间规划内合理安排宅基地用地工作的通知》，要求各镇精准摸排掌握本镇宅基地用地需求，按照市、区有关规划要求，在编制国土空间规划（2020-2035年）中，充分预留宅基地用地，通过对各项规划用地的调整，逐步增加宅基地数量，逐步缓解新批宅基地难问题。</w:t>
            </w:r>
          </w:p>
          <w:p>
            <w:pPr>
              <w:pStyle w:val="2"/>
              <w:spacing w:before="55"/>
              <w:ind w:left="0" w:leftChars="0" w:right="0" w:rightChars="0"/>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 xml:space="preserve">2.2021年《密云区关于落实户有所居加强农村宅基地及房屋建设管理办法（试行）》出台后，区农业农村局组织镇村，通过村级“村村响”、发放宣传彩页等形式，集中对“宅基地管理办法”进行宣传，增加群众宅基 </w:t>
            </w:r>
          </w:p>
        </w:tc>
        <w:tc>
          <w:tcPr>
            <w:tcW w:w="2782" w:type="dxa"/>
            <w:vAlign w:val="top"/>
          </w:tcPr>
          <w:p>
            <w:pPr>
              <w:pStyle w:val="2"/>
              <w:spacing w:before="55"/>
              <w:ind w:left="0" w:leftChars="0" w:right="0" w:rightChars="0"/>
              <w:jc w:val="both"/>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问题工单107件；</w:t>
            </w:r>
          </w:p>
          <w:p>
            <w:pPr>
              <w:pStyle w:val="2"/>
              <w:spacing w:before="55"/>
              <w:ind w:left="0" w:leftChars="0" w:right="0" w:rightChars="0"/>
              <w:jc w:val="both"/>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主要涉及点位：巨各庄镇八家庄村、河南寨镇提辖庄村、古北口镇潮关村、穆家峪镇水漳村、太师屯镇太师屯村等。</w:t>
            </w:r>
          </w:p>
        </w:tc>
        <w:tc>
          <w:tcPr>
            <w:tcW w:w="2424" w:type="dxa"/>
            <w:vAlign w:val="top"/>
          </w:tcPr>
          <w:p>
            <w:pPr>
              <w:pStyle w:val="2"/>
              <w:spacing w:before="55"/>
              <w:ind w:left="0" w:leftChars="0" w:right="0" w:rightChars="0"/>
              <w:jc w:val="both"/>
              <w:rPr>
                <w:rFonts w:hint="eastAsia" w:ascii="仿宋_GB2312" w:hAnsi="仿宋_GB2312" w:eastAsia="仿宋_GB2312" w:cs="仿宋_GB2312"/>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91" w:hRule="atLeast"/>
          <w:jc w:val="center"/>
        </w:trPr>
        <w:tc>
          <w:tcPr>
            <w:tcW w:w="925" w:type="dxa"/>
            <w:vAlign w:val="center"/>
          </w:tcPr>
          <w:p>
            <w:pPr>
              <w:pStyle w:val="2"/>
              <w:spacing w:before="55"/>
              <w:ind w:left="0" w:leftChars="0" w:right="0" w:rightChars="0"/>
              <w:jc w:val="center"/>
              <w:rPr>
                <w:rFonts w:hint="eastAsia" w:ascii="仿宋_GB2312" w:hAnsi="仿宋_GB2312" w:eastAsia="仿宋_GB2312" w:cs="仿宋_GB2312"/>
                <w:b w:val="0"/>
                <w:bCs w:val="0"/>
                <w:sz w:val="20"/>
                <w:szCs w:val="20"/>
                <w:vertAlign w:val="baseline"/>
                <w:lang w:val="en-US" w:eastAsia="zh-CN"/>
              </w:rPr>
            </w:pPr>
            <w:r>
              <w:rPr>
                <w:rFonts w:hint="eastAsia" w:ascii="仿宋_GB2312" w:hAnsi="仿宋_GB2312" w:eastAsia="仿宋_GB2312" w:cs="仿宋_GB2312"/>
                <w:b w:val="0"/>
                <w:bCs w:val="0"/>
                <w:sz w:val="20"/>
                <w:szCs w:val="20"/>
                <w:vertAlign w:val="baseline"/>
                <w:lang w:val="en-US" w:eastAsia="zh-CN"/>
              </w:rPr>
              <w:t>9</w:t>
            </w:r>
          </w:p>
        </w:tc>
        <w:tc>
          <w:tcPr>
            <w:tcW w:w="1050" w:type="dxa"/>
            <w:vAlign w:val="center"/>
          </w:tcPr>
          <w:p>
            <w:pPr>
              <w:pStyle w:val="2"/>
              <w:spacing w:before="55"/>
              <w:ind w:left="0" w:leftChars="0" w:right="0" w:rightChars="0"/>
              <w:jc w:val="center"/>
              <w:rPr>
                <w:rFonts w:hint="eastAsia" w:ascii="仿宋_GB2312" w:hAnsi="仿宋_GB2312" w:eastAsia="仿宋_GB2312" w:cs="仿宋_GB2312"/>
                <w:b w:val="0"/>
                <w:bCs w:val="0"/>
                <w:sz w:val="20"/>
                <w:szCs w:val="20"/>
                <w:vertAlign w:val="baseline"/>
                <w:lang w:val="en-US" w:eastAsia="zh-CN"/>
              </w:rPr>
            </w:pPr>
            <w:r>
              <w:rPr>
                <w:rFonts w:hint="eastAsia" w:ascii="仿宋_GB2312" w:hAnsi="仿宋_GB2312" w:eastAsia="仿宋_GB2312" w:cs="仿宋_GB2312"/>
                <w:b w:val="0"/>
                <w:bCs w:val="0"/>
                <w:sz w:val="20"/>
                <w:szCs w:val="20"/>
                <w:vertAlign w:val="baseline"/>
                <w:lang w:val="en-US" w:eastAsia="zh-CN"/>
              </w:rPr>
              <w:t>五月</w:t>
            </w:r>
          </w:p>
        </w:tc>
        <w:tc>
          <w:tcPr>
            <w:tcW w:w="2800" w:type="dxa"/>
            <w:vAlign w:val="center"/>
          </w:tcPr>
          <w:p>
            <w:pPr>
              <w:pStyle w:val="2"/>
              <w:spacing w:before="55"/>
              <w:ind w:left="0" w:leftChars="0" w:right="0" w:right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物业服务不规范问题</w:t>
            </w:r>
          </w:p>
          <w:p>
            <w:pPr>
              <w:pStyle w:val="2"/>
              <w:spacing w:before="55"/>
              <w:ind w:left="0" w:leftChars="0" w:right="0" w:right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主责单位：区住建委</w:t>
            </w:r>
          </w:p>
        </w:tc>
        <w:tc>
          <w:tcPr>
            <w:tcW w:w="5635" w:type="dxa"/>
            <w:vAlign w:val="top"/>
          </w:tcPr>
          <w:p>
            <w:pPr>
              <w:pStyle w:val="2"/>
              <w:tabs>
                <w:tab w:val="left" w:pos="1470"/>
              </w:tabs>
              <w:spacing w:before="55"/>
              <w:ind w:left="0" w:leftChars="0" w:right="0" w:rightChars="0"/>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市住建委正在起草《物业服务不规范问题解决方案》，区住建委已将意见进行了反馈。待市级文件正式出台后，区住建委将结合我区的实际积极落实。</w:t>
            </w:r>
          </w:p>
        </w:tc>
        <w:tc>
          <w:tcPr>
            <w:tcW w:w="2782" w:type="dxa"/>
            <w:vAlign w:val="top"/>
          </w:tcPr>
          <w:p>
            <w:pPr>
              <w:pStyle w:val="2"/>
              <w:spacing w:before="55"/>
              <w:ind w:left="0" w:leftChars="0" w:right="0" w:rightChars="0"/>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问题工单107件；</w:t>
            </w:r>
          </w:p>
          <w:p>
            <w:pPr>
              <w:pStyle w:val="2"/>
              <w:spacing w:before="55"/>
              <w:ind w:left="0" w:leftChars="0" w:right="0" w:rightChars="0"/>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主要涉及点位：溪翁庄镇溪水花园小区、鼓楼街道宾阳里小区、果园街道上河湾小区、巨各庄镇蔡家洼小区、檀营地区悦欣汇小区等。</w:t>
            </w:r>
          </w:p>
        </w:tc>
        <w:tc>
          <w:tcPr>
            <w:tcW w:w="2424" w:type="dxa"/>
            <w:vAlign w:val="top"/>
          </w:tcPr>
          <w:p>
            <w:pPr>
              <w:pStyle w:val="2"/>
              <w:spacing w:before="55"/>
              <w:ind w:left="0" w:leftChars="0" w:right="0" w:rightChars="0"/>
              <w:jc w:val="both"/>
              <w:rPr>
                <w:rFonts w:hint="eastAsia" w:ascii="仿宋_GB2312" w:hAnsi="仿宋_GB2312" w:eastAsia="仿宋_GB2312" w:cs="仿宋_GB2312"/>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17" w:hRule="atLeast"/>
          <w:jc w:val="center"/>
        </w:trPr>
        <w:tc>
          <w:tcPr>
            <w:tcW w:w="925" w:type="dxa"/>
            <w:vAlign w:val="center"/>
          </w:tcPr>
          <w:p>
            <w:pPr>
              <w:pStyle w:val="2"/>
              <w:spacing w:before="55"/>
              <w:ind w:left="0" w:leftChars="0" w:right="0" w:rightChars="0"/>
              <w:jc w:val="center"/>
              <w:rPr>
                <w:rFonts w:hint="eastAsia" w:ascii="仿宋_GB2312" w:hAnsi="仿宋_GB2312" w:eastAsia="仿宋_GB2312" w:cs="仿宋_GB2312"/>
                <w:b w:val="0"/>
                <w:bCs w:val="0"/>
                <w:sz w:val="20"/>
                <w:szCs w:val="20"/>
                <w:vertAlign w:val="baseline"/>
                <w:lang w:val="en-US" w:eastAsia="zh-CN"/>
              </w:rPr>
            </w:pPr>
            <w:r>
              <w:rPr>
                <w:rFonts w:hint="eastAsia" w:ascii="仿宋_GB2312" w:hAnsi="仿宋_GB2312" w:eastAsia="仿宋_GB2312" w:cs="仿宋_GB2312"/>
                <w:b w:val="0"/>
                <w:bCs w:val="0"/>
                <w:sz w:val="20"/>
                <w:szCs w:val="20"/>
                <w:vertAlign w:val="baseline"/>
                <w:lang w:val="en-US" w:eastAsia="zh-CN"/>
              </w:rPr>
              <w:t>10</w:t>
            </w:r>
          </w:p>
        </w:tc>
        <w:tc>
          <w:tcPr>
            <w:tcW w:w="1050" w:type="dxa"/>
            <w:vAlign w:val="center"/>
          </w:tcPr>
          <w:p>
            <w:pPr>
              <w:pStyle w:val="2"/>
              <w:spacing w:before="55"/>
              <w:ind w:left="0" w:leftChars="0" w:right="0" w:rightChars="0"/>
              <w:jc w:val="center"/>
              <w:rPr>
                <w:rFonts w:hint="default" w:ascii="仿宋_GB2312" w:hAnsi="仿宋_GB2312" w:eastAsia="仿宋_GB2312" w:cs="仿宋_GB2312"/>
                <w:b w:val="0"/>
                <w:bCs w:val="0"/>
                <w:sz w:val="20"/>
                <w:szCs w:val="20"/>
                <w:vertAlign w:val="baseline"/>
                <w:lang w:val="en-US" w:eastAsia="zh-CN"/>
              </w:rPr>
            </w:pPr>
            <w:r>
              <w:rPr>
                <w:rFonts w:hint="eastAsia" w:cs="仿宋_GB2312"/>
                <w:b w:val="0"/>
                <w:bCs w:val="0"/>
                <w:sz w:val="20"/>
                <w:szCs w:val="20"/>
                <w:vertAlign w:val="baseline"/>
                <w:lang w:val="en-US" w:eastAsia="zh-CN"/>
              </w:rPr>
              <w:t>五月</w:t>
            </w:r>
          </w:p>
        </w:tc>
        <w:tc>
          <w:tcPr>
            <w:tcW w:w="2800" w:type="dxa"/>
            <w:vAlign w:val="center"/>
          </w:tcPr>
          <w:p>
            <w:pPr>
              <w:pStyle w:val="2"/>
              <w:spacing w:before="55"/>
              <w:ind w:left="0" w:leftChars="0" w:right="0" w:right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住宅楼内下水管道堵塞问题</w:t>
            </w:r>
          </w:p>
          <w:p>
            <w:pPr>
              <w:pStyle w:val="2"/>
              <w:spacing w:before="55"/>
              <w:ind w:left="0" w:leftChars="0" w:right="0" w:right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主责单位：区住建委</w:t>
            </w:r>
          </w:p>
        </w:tc>
        <w:tc>
          <w:tcPr>
            <w:tcW w:w="5635" w:type="dxa"/>
            <w:vAlign w:val="top"/>
          </w:tcPr>
          <w:p>
            <w:pPr>
              <w:pStyle w:val="2"/>
              <w:spacing w:before="55"/>
              <w:ind w:left="0" w:leftChars="0" w:right="0" w:rightChars="0"/>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针对保修期内的工程接到工单后第一时间与市民及建设单位取得联系，3天之内明确处理进展情况，及时疏通管道。保证问题及时得到解决。对于修复的部位责令建设单位与业主签订延保协议，目前涉及管道堵塞工单均得到解决。</w:t>
            </w:r>
          </w:p>
        </w:tc>
        <w:tc>
          <w:tcPr>
            <w:tcW w:w="2782" w:type="dxa"/>
            <w:vAlign w:val="top"/>
          </w:tcPr>
          <w:p>
            <w:pPr>
              <w:pStyle w:val="2"/>
              <w:spacing w:before="55"/>
              <w:ind w:left="0" w:leftChars="0" w:right="0" w:rightChars="0"/>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问题工单42件；</w:t>
            </w:r>
          </w:p>
          <w:p>
            <w:pPr>
              <w:pStyle w:val="2"/>
              <w:spacing w:before="55"/>
              <w:ind w:left="0" w:leftChars="0" w:right="0" w:rightChars="0"/>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主要涉及点位：鼓楼街道花园小区、果园街道果园西里小区、溪翁庄镇机床所小区、檀营地区檀营小区等。</w:t>
            </w:r>
          </w:p>
        </w:tc>
        <w:tc>
          <w:tcPr>
            <w:tcW w:w="2424" w:type="dxa"/>
            <w:vAlign w:val="top"/>
          </w:tcPr>
          <w:p>
            <w:pPr>
              <w:pStyle w:val="2"/>
              <w:spacing w:before="55"/>
              <w:ind w:left="0" w:leftChars="0" w:right="0" w:rightChars="0"/>
              <w:jc w:val="both"/>
              <w:rPr>
                <w:rFonts w:hint="eastAsia" w:ascii="仿宋_GB2312" w:hAnsi="仿宋_GB2312" w:eastAsia="仿宋_GB2312" w:cs="仿宋_GB2312"/>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33" w:hRule="atLeast"/>
          <w:jc w:val="center"/>
        </w:trPr>
        <w:tc>
          <w:tcPr>
            <w:tcW w:w="925" w:type="dxa"/>
            <w:vAlign w:val="center"/>
          </w:tcPr>
          <w:p>
            <w:pPr>
              <w:pStyle w:val="2"/>
              <w:spacing w:before="55"/>
              <w:ind w:left="0" w:leftChars="0" w:right="0" w:rightChars="0"/>
              <w:jc w:val="center"/>
              <w:rPr>
                <w:rFonts w:hint="eastAsia" w:ascii="仿宋_GB2312" w:hAnsi="仿宋_GB2312" w:eastAsia="仿宋_GB2312" w:cs="仿宋_GB2312"/>
                <w:b w:val="0"/>
                <w:bCs w:val="0"/>
                <w:sz w:val="20"/>
                <w:szCs w:val="20"/>
                <w:vertAlign w:val="baseline"/>
                <w:lang w:val="en-US" w:eastAsia="zh-CN"/>
              </w:rPr>
            </w:pPr>
            <w:r>
              <w:rPr>
                <w:rFonts w:hint="eastAsia" w:ascii="仿宋_GB2312" w:hAnsi="仿宋_GB2312" w:eastAsia="仿宋_GB2312" w:cs="仿宋_GB2312"/>
                <w:b w:val="0"/>
                <w:bCs w:val="0"/>
                <w:sz w:val="20"/>
                <w:szCs w:val="20"/>
                <w:vertAlign w:val="baseline"/>
                <w:lang w:val="en-US" w:eastAsia="zh-CN"/>
              </w:rPr>
              <w:t>11</w:t>
            </w:r>
          </w:p>
        </w:tc>
        <w:tc>
          <w:tcPr>
            <w:tcW w:w="1050" w:type="dxa"/>
            <w:vMerge w:val="restart"/>
            <w:vAlign w:val="center"/>
          </w:tcPr>
          <w:p>
            <w:pPr>
              <w:pStyle w:val="2"/>
              <w:spacing w:before="55"/>
              <w:ind w:left="0" w:leftChars="0" w:right="0" w:rightChars="0"/>
              <w:jc w:val="center"/>
              <w:rPr>
                <w:rFonts w:hint="eastAsia" w:ascii="仿宋_GB2312" w:hAnsi="仿宋_GB2312" w:eastAsia="仿宋_GB2312" w:cs="仿宋_GB2312"/>
                <w:b w:val="0"/>
                <w:bCs w:val="0"/>
                <w:sz w:val="20"/>
                <w:szCs w:val="20"/>
                <w:vertAlign w:val="baseline"/>
                <w:lang w:val="en-US" w:eastAsia="zh-CN"/>
              </w:rPr>
            </w:pPr>
            <w:r>
              <w:rPr>
                <w:rFonts w:hint="eastAsia" w:ascii="仿宋_GB2312" w:hAnsi="仿宋_GB2312" w:eastAsia="仿宋_GB2312" w:cs="仿宋_GB2312"/>
                <w:b w:val="0"/>
                <w:bCs w:val="0"/>
                <w:sz w:val="20"/>
                <w:szCs w:val="20"/>
                <w:vertAlign w:val="baseline"/>
                <w:lang w:val="en-US" w:eastAsia="zh-CN"/>
              </w:rPr>
              <w:t>六月</w:t>
            </w:r>
          </w:p>
        </w:tc>
        <w:tc>
          <w:tcPr>
            <w:tcW w:w="2800" w:type="dxa"/>
            <w:vAlign w:val="center"/>
          </w:tcPr>
          <w:p>
            <w:pPr>
              <w:pStyle w:val="2"/>
              <w:spacing w:before="55"/>
              <w:ind w:left="0" w:leftChars="0" w:right="0" w:right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道路积水问题</w:t>
            </w:r>
          </w:p>
          <w:p>
            <w:pPr>
              <w:pStyle w:val="2"/>
              <w:spacing w:before="55"/>
              <w:ind w:left="0" w:leftChars="0" w:right="0" w:right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主责单位：区城管委</w:t>
            </w:r>
          </w:p>
        </w:tc>
        <w:tc>
          <w:tcPr>
            <w:tcW w:w="5635" w:type="dxa"/>
            <w:vAlign w:val="top"/>
          </w:tcPr>
          <w:p>
            <w:pPr>
              <w:pStyle w:val="2"/>
              <w:spacing w:before="55"/>
              <w:ind w:left="0" w:leftChars="0" w:right="0" w:rightChars="0"/>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密云城区积水点改造工程共包含11个积水点。</w:t>
            </w:r>
          </w:p>
          <w:p>
            <w:pPr>
              <w:pStyle w:val="2"/>
              <w:spacing w:before="55"/>
              <w:ind w:left="0" w:leftChars="0" w:right="0" w:rightChars="0"/>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一期计划对新东路（行政服务大厅前）、新东路（沙河早市前）、果园西路（38号院前）积水点、水源路（水源路与园林路交叉口）、西门外大街（档案局前）５个积水点进行治理，目前正在进行施工监理招投标。</w:t>
            </w:r>
          </w:p>
          <w:p>
            <w:pPr>
              <w:pStyle w:val="2"/>
              <w:spacing w:before="55"/>
              <w:ind w:left="0" w:leftChars="0" w:right="0" w:rightChars="0"/>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二期计划对檀西路（超市发门前）、行宫前街（行宫东区北侧）、新南路（教委门前）、西门外大街（档案局前）、双燕街（兴云路路口西侧）、水源路（三驾校路口、水源路与南河路交叉口）６个积水点进行治理，目前正在进行方案设计。</w:t>
            </w:r>
          </w:p>
        </w:tc>
        <w:tc>
          <w:tcPr>
            <w:tcW w:w="2782" w:type="dxa"/>
            <w:vAlign w:val="top"/>
          </w:tcPr>
          <w:p>
            <w:pPr>
              <w:pStyle w:val="2"/>
              <w:spacing w:before="55"/>
              <w:ind w:left="0" w:leftChars="0" w:right="0" w:rightChars="0"/>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问题工单10件；</w:t>
            </w:r>
          </w:p>
          <w:p>
            <w:pPr>
              <w:pStyle w:val="2"/>
              <w:spacing w:before="55"/>
              <w:ind w:left="0" w:leftChars="0" w:right="0" w:rightChars="0"/>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问题较分散，涉及东邵渠镇石峨村、十里堡镇统军庄村、河南寨镇的提辖庄村、西田各庄镇兴盛村等村内道路积水结冰问题各1件。</w:t>
            </w:r>
          </w:p>
        </w:tc>
        <w:tc>
          <w:tcPr>
            <w:tcW w:w="2424" w:type="dxa"/>
            <w:vAlign w:val="top"/>
          </w:tcPr>
          <w:p>
            <w:pPr>
              <w:pStyle w:val="2"/>
              <w:spacing w:before="55"/>
              <w:ind w:left="0" w:leftChars="0" w:right="0" w:rightChars="0"/>
              <w:jc w:val="both"/>
              <w:rPr>
                <w:rFonts w:hint="eastAsia" w:ascii="仿宋_GB2312" w:hAnsi="仿宋_GB2312" w:eastAsia="仿宋_GB2312" w:cs="仿宋_GB2312"/>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89" w:hRule="atLeast"/>
          <w:jc w:val="center"/>
        </w:trPr>
        <w:tc>
          <w:tcPr>
            <w:tcW w:w="925" w:type="dxa"/>
            <w:vAlign w:val="center"/>
          </w:tcPr>
          <w:p>
            <w:pPr>
              <w:pStyle w:val="2"/>
              <w:spacing w:before="55"/>
              <w:ind w:left="0" w:leftChars="0" w:right="0" w:rightChars="0"/>
              <w:jc w:val="center"/>
              <w:rPr>
                <w:rFonts w:hint="default" w:cs="仿宋_GB2312"/>
                <w:b w:val="0"/>
                <w:bCs w:val="0"/>
                <w:sz w:val="20"/>
                <w:szCs w:val="20"/>
                <w:vertAlign w:val="baseline"/>
                <w:lang w:val="en-US" w:eastAsia="zh-CN"/>
              </w:rPr>
            </w:pPr>
            <w:r>
              <w:rPr>
                <w:rFonts w:hint="eastAsia" w:cs="仿宋_GB2312"/>
                <w:b w:val="0"/>
                <w:bCs w:val="0"/>
                <w:sz w:val="20"/>
                <w:szCs w:val="20"/>
                <w:vertAlign w:val="baseline"/>
                <w:lang w:val="en-US" w:eastAsia="zh-CN"/>
              </w:rPr>
              <w:t>12</w:t>
            </w:r>
          </w:p>
        </w:tc>
        <w:tc>
          <w:tcPr>
            <w:tcW w:w="1050" w:type="dxa"/>
            <w:vMerge w:val="continue"/>
            <w:vAlign w:val="center"/>
          </w:tcPr>
          <w:p>
            <w:pPr>
              <w:pStyle w:val="2"/>
              <w:spacing w:before="55"/>
              <w:ind w:left="0" w:leftChars="0" w:right="0" w:rightChars="0"/>
              <w:jc w:val="center"/>
              <w:rPr>
                <w:rFonts w:hint="default" w:cs="仿宋_GB2312"/>
                <w:b w:val="0"/>
                <w:bCs w:val="0"/>
                <w:sz w:val="20"/>
                <w:szCs w:val="20"/>
                <w:vertAlign w:val="baseline"/>
                <w:lang w:val="en-US" w:eastAsia="zh-CN"/>
              </w:rPr>
            </w:pPr>
          </w:p>
        </w:tc>
        <w:tc>
          <w:tcPr>
            <w:tcW w:w="2800" w:type="dxa"/>
            <w:vAlign w:val="center"/>
          </w:tcPr>
          <w:p>
            <w:pPr>
              <w:pStyle w:val="2"/>
              <w:spacing w:before="55"/>
              <w:ind w:left="0" w:leftChars="0" w:right="0" w:right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农村污水治理问题</w:t>
            </w:r>
          </w:p>
          <w:p>
            <w:pPr>
              <w:pStyle w:val="2"/>
              <w:spacing w:before="55"/>
              <w:ind w:left="0" w:leftChars="0" w:right="0" w:right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主责单位：区水务局</w:t>
            </w:r>
          </w:p>
        </w:tc>
        <w:tc>
          <w:tcPr>
            <w:tcW w:w="5635" w:type="dxa"/>
            <w:vAlign w:val="top"/>
          </w:tcPr>
          <w:p>
            <w:pPr>
              <w:pStyle w:val="2"/>
              <w:spacing w:before="55"/>
              <w:ind w:left="0" w:leftChars="0" w:right="0" w:rightChars="0"/>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目标计划完成13个镇25个村（溪翁庄镇东营子村；高岭镇上甸子村、辛庄村、下河村；不老屯镇黄土坎村、东道岭村、半城子村；石城镇张家坟村；穆家峪镇沙峪沟村；太师屯镇葡萄园村、松树掌村、令公村、松树峪村、东庄禾村、二道河村、沙峪村；北庄镇苇子峪村；古北口镇龙洋村；河南寨镇两河村；巨各庄镇沙厂村；十里堡镇靳各寨村；西田各庄镇水洼屯村、西恒河村、渤海寨村；东邵渠镇高各庄村）污水治理工程。</w:t>
            </w:r>
          </w:p>
          <w:p>
            <w:pPr>
              <w:pStyle w:val="2"/>
              <w:spacing w:before="55"/>
              <w:ind w:left="0" w:leftChars="0" w:right="0" w:rightChars="0"/>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1.施工人员入村核查项目情况；</w:t>
            </w:r>
          </w:p>
          <w:p>
            <w:pPr>
              <w:pStyle w:val="2"/>
              <w:spacing w:before="55"/>
              <w:ind w:left="0" w:leftChars="0" w:right="0" w:rightChars="0"/>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2.技术人员测量放线，做村内路面切割准备工作。</w:t>
            </w:r>
          </w:p>
        </w:tc>
        <w:tc>
          <w:tcPr>
            <w:tcW w:w="2782" w:type="dxa"/>
            <w:vAlign w:val="top"/>
          </w:tcPr>
          <w:p>
            <w:pPr>
              <w:pStyle w:val="2"/>
              <w:spacing w:before="55"/>
              <w:ind w:left="0" w:leftChars="0" w:right="0" w:rightChars="0"/>
              <w:jc w:val="both"/>
              <w:rPr>
                <w:rFonts w:hint="eastAsia"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问题工单90件</w:t>
            </w:r>
            <w:r>
              <w:rPr>
                <w:rFonts w:hint="eastAsia" w:cs="仿宋_GB2312"/>
                <w:sz w:val="21"/>
                <w:szCs w:val="21"/>
                <w:vertAlign w:val="baseline"/>
                <w:lang w:val="en-US" w:eastAsia="zh-CN"/>
              </w:rPr>
              <w:t>；</w:t>
            </w:r>
          </w:p>
          <w:p>
            <w:pPr>
              <w:pStyle w:val="2"/>
              <w:spacing w:before="55"/>
              <w:ind w:left="0" w:leftChars="0" w:right="0" w:rightChars="0"/>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问题较分散，主要涉及点位：河南寨镇的南单家庄村、高岭镇白河涧村、北庄镇北庄村、巨各庄镇东白岩村等。</w:t>
            </w:r>
          </w:p>
        </w:tc>
        <w:tc>
          <w:tcPr>
            <w:tcW w:w="2424" w:type="dxa"/>
            <w:vAlign w:val="top"/>
          </w:tcPr>
          <w:p>
            <w:pPr>
              <w:pStyle w:val="2"/>
              <w:spacing w:before="55"/>
              <w:ind w:left="0" w:leftChars="0" w:right="0" w:rightChars="0"/>
              <w:jc w:val="both"/>
              <w:rPr>
                <w:rFonts w:hint="eastAsia" w:ascii="仿宋_GB2312" w:hAnsi="仿宋_GB2312" w:eastAsia="仿宋_GB2312" w:cs="仿宋_GB2312"/>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33" w:hRule="atLeast"/>
          <w:jc w:val="center"/>
        </w:trPr>
        <w:tc>
          <w:tcPr>
            <w:tcW w:w="925" w:type="dxa"/>
            <w:vAlign w:val="center"/>
          </w:tcPr>
          <w:p>
            <w:pPr>
              <w:pStyle w:val="2"/>
              <w:spacing w:before="55"/>
              <w:ind w:left="0" w:leftChars="0" w:right="0" w:rightChars="0"/>
              <w:jc w:val="center"/>
              <w:rPr>
                <w:rFonts w:hint="default" w:cs="仿宋_GB2312"/>
                <w:b w:val="0"/>
                <w:bCs w:val="0"/>
                <w:sz w:val="20"/>
                <w:szCs w:val="20"/>
                <w:vertAlign w:val="baseline"/>
                <w:lang w:val="en-US" w:eastAsia="zh-CN"/>
              </w:rPr>
            </w:pPr>
            <w:r>
              <w:rPr>
                <w:rFonts w:hint="eastAsia" w:cs="仿宋_GB2312"/>
                <w:b w:val="0"/>
                <w:bCs w:val="0"/>
                <w:sz w:val="20"/>
                <w:szCs w:val="20"/>
                <w:vertAlign w:val="baseline"/>
                <w:lang w:val="en-US" w:eastAsia="zh-CN"/>
              </w:rPr>
              <w:t>13</w:t>
            </w:r>
          </w:p>
        </w:tc>
        <w:tc>
          <w:tcPr>
            <w:tcW w:w="1050" w:type="dxa"/>
            <w:vMerge w:val="restart"/>
            <w:vAlign w:val="center"/>
          </w:tcPr>
          <w:p>
            <w:pPr>
              <w:pStyle w:val="2"/>
              <w:spacing w:before="55"/>
              <w:ind w:left="0" w:leftChars="0" w:right="0" w:rightChars="0"/>
              <w:jc w:val="center"/>
              <w:rPr>
                <w:rFonts w:hint="default" w:cs="仿宋_GB2312"/>
                <w:b w:val="0"/>
                <w:bCs w:val="0"/>
                <w:sz w:val="20"/>
                <w:szCs w:val="20"/>
                <w:vertAlign w:val="baseline"/>
                <w:lang w:val="en-US" w:eastAsia="zh-CN"/>
              </w:rPr>
            </w:pPr>
            <w:r>
              <w:rPr>
                <w:rFonts w:hint="eastAsia" w:cs="仿宋_GB2312"/>
                <w:b w:val="0"/>
                <w:bCs w:val="0"/>
                <w:sz w:val="20"/>
                <w:szCs w:val="20"/>
                <w:vertAlign w:val="baseline"/>
                <w:lang w:val="en-US" w:eastAsia="zh-CN"/>
              </w:rPr>
              <w:t>七月</w:t>
            </w:r>
          </w:p>
        </w:tc>
        <w:tc>
          <w:tcPr>
            <w:tcW w:w="2800" w:type="dxa"/>
            <w:vAlign w:val="center"/>
          </w:tcPr>
          <w:p>
            <w:pPr>
              <w:pStyle w:val="2"/>
              <w:spacing w:before="55"/>
              <w:ind w:left="0" w:leftChars="0" w:right="0" w:right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社区健身设施建设与</w:t>
            </w:r>
          </w:p>
          <w:p>
            <w:pPr>
              <w:pStyle w:val="2"/>
              <w:spacing w:before="55"/>
              <w:ind w:left="0" w:leftChars="0" w:right="0" w:right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管理问题</w:t>
            </w:r>
          </w:p>
          <w:p>
            <w:pPr>
              <w:pStyle w:val="2"/>
              <w:spacing w:before="55"/>
              <w:ind w:left="0" w:leftChars="0" w:right="0" w:right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主责单位：区体育局</w:t>
            </w:r>
          </w:p>
        </w:tc>
        <w:tc>
          <w:tcPr>
            <w:tcW w:w="5635" w:type="dxa"/>
            <w:vAlign w:val="top"/>
          </w:tcPr>
          <w:p>
            <w:pPr>
              <w:pStyle w:val="2"/>
              <w:spacing w:before="55"/>
              <w:ind w:left="0" w:leftChars="0" w:right="0" w:rightChars="0"/>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已向各镇街发送《关于各镇街开展室外全民健身场地设施安全排查整洽工作的函》，要求加大对公共体育场地设施的安全排查力度，全面落实《健身器材管理维修办法》，对全民健身场地设施的安全年限使用情况及损坏情况全面排查，要求各镇街做好体育场地设施日常管护和维修。</w:t>
            </w:r>
          </w:p>
          <w:p>
            <w:pPr>
              <w:pStyle w:val="2"/>
              <w:spacing w:before="55"/>
              <w:ind w:left="0" w:leftChars="0" w:right="0" w:rightChars="0"/>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2.贯彻落实区政府为民办实事工程，利用疏解腾退空间、公园绿地商圈等场地，计划建设5处体育健身活动场所。目前已完成2处。</w:t>
            </w:r>
          </w:p>
          <w:p>
            <w:pPr>
              <w:pStyle w:val="2"/>
              <w:spacing w:before="55"/>
              <w:ind w:left="0" w:leftChars="0" w:right="0" w:rightChars="0"/>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3.依据全区体育设施达到年限及损坏情况，针对城区及各镇街等区域，正在制定更新和建设健身器材1000件工作方案。</w:t>
            </w:r>
          </w:p>
        </w:tc>
        <w:tc>
          <w:tcPr>
            <w:tcW w:w="2782" w:type="dxa"/>
            <w:vAlign w:val="top"/>
          </w:tcPr>
          <w:p>
            <w:pPr>
              <w:pStyle w:val="2"/>
              <w:spacing w:before="55"/>
              <w:ind w:left="0" w:leftChars="0" w:right="0" w:rightChars="0"/>
              <w:jc w:val="both"/>
              <w:rPr>
                <w:rFonts w:hint="eastAsia"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问题</w:t>
            </w:r>
            <w:r>
              <w:rPr>
                <w:rFonts w:hint="eastAsia" w:cs="仿宋_GB2312"/>
                <w:sz w:val="21"/>
                <w:szCs w:val="21"/>
                <w:vertAlign w:val="baseline"/>
                <w:lang w:val="en-US" w:eastAsia="zh-CN"/>
              </w:rPr>
              <w:t>工单</w:t>
            </w:r>
            <w:r>
              <w:rPr>
                <w:rFonts w:hint="eastAsia" w:ascii="仿宋_GB2312" w:hAnsi="仿宋_GB2312" w:eastAsia="仿宋_GB2312" w:cs="仿宋_GB2312"/>
                <w:sz w:val="21"/>
                <w:szCs w:val="21"/>
                <w:vertAlign w:val="baseline"/>
                <w:lang w:val="en-US" w:eastAsia="zh-CN"/>
              </w:rPr>
              <w:t>16件</w:t>
            </w:r>
            <w:r>
              <w:rPr>
                <w:rFonts w:hint="eastAsia" w:cs="仿宋_GB2312"/>
                <w:sz w:val="21"/>
                <w:szCs w:val="21"/>
                <w:vertAlign w:val="baseline"/>
                <w:lang w:val="en-US" w:eastAsia="zh-CN"/>
              </w:rPr>
              <w:t>；</w:t>
            </w:r>
          </w:p>
          <w:p>
            <w:pPr>
              <w:pStyle w:val="2"/>
              <w:spacing w:before="55"/>
              <w:ind w:left="0" w:leftChars="0" w:right="0" w:rightChars="0"/>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主要涉及点位：巨各庄镇蔡家洼村、巨各庄镇后焦家坞村、鼓楼街道世豪公寓、溪翁庄镇石马峪村等。</w:t>
            </w:r>
          </w:p>
        </w:tc>
        <w:tc>
          <w:tcPr>
            <w:tcW w:w="2424" w:type="dxa"/>
            <w:vAlign w:val="top"/>
          </w:tcPr>
          <w:p>
            <w:pPr>
              <w:pStyle w:val="2"/>
              <w:spacing w:before="55"/>
              <w:ind w:left="0" w:leftChars="0" w:right="0" w:rightChars="0"/>
              <w:jc w:val="both"/>
              <w:rPr>
                <w:rFonts w:hint="eastAsia" w:ascii="仿宋_GB2312" w:hAnsi="仿宋_GB2312" w:eastAsia="仿宋_GB2312" w:cs="仿宋_GB2312"/>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54" w:hRule="atLeast"/>
          <w:jc w:val="center"/>
        </w:trPr>
        <w:tc>
          <w:tcPr>
            <w:tcW w:w="925" w:type="dxa"/>
            <w:vAlign w:val="center"/>
          </w:tcPr>
          <w:p>
            <w:pPr>
              <w:pStyle w:val="2"/>
              <w:spacing w:before="55"/>
              <w:ind w:left="0" w:leftChars="0" w:right="0" w:rightChars="0"/>
              <w:jc w:val="center"/>
              <w:rPr>
                <w:rFonts w:hint="default" w:cs="仿宋_GB2312"/>
                <w:b w:val="0"/>
                <w:bCs w:val="0"/>
                <w:sz w:val="20"/>
                <w:szCs w:val="20"/>
                <w:vertAlign w:val="baseline"/>
                <w:lang w:val="en-US" w:eastAsia="zh-CN"/>
              </w:rPr>
            </w:pPr>
            <w:r>
              <w:rPr>
                <w:rFonts w:hint="eastAsia" w:cs="仿宋_GB2312"/>
                <w:b w:val="0"/>
                <w:bCs w:val="0"/>
                <w:sz w:val="20"/>
                <w:szCs w:val="20"/>
                <w:vertAlign w:val="baseline"/>
                <w:lang w:val="en-US" w:eastAsia="zh-CN"/>
              </w:rPr>
              <w:t>14</w:t>
            </w:r>
          </w:p>
        </w:tc>
        <w:tc>
          <w:tcPr>
            <w:tcW w:w="1050" w:type="dxa"/>
            <w:vMerge w:val="continue"/>
            <w:vAlign w:val="center"/>
          </w:tcPr>
          <w:p>
            <w:pPr>
              <w:pStyle w:val="2"/>
              <w:spacing w:before="55"/>
              <w:ind w:left="0" w:leftChars="0" w:right="0" w:rightChars="0"/>
              <w:jc w:val="center"/>
              <w:rPr>
                <w:rFonts w:hint="default" w:cs="仿宋_GB2312"/>
                <w:b w:val="0"/>
                <w:bCs w:val="0"/>
                <w:sz w:val="20"/>
                <w:szCs w:val="20"/>
                <w:vertAlign w:val="baseline"/>
                <w:lang w:val="en-US" w:eastAsia="zh-CN"/>
              </w:rPr>
            </w:pPr>
          </w:p>
        </w:tc>
        <w:tc>
          <w:tcPr>
            <w:tcW w:w="2800" w:type="dxa"/>
            <w:vAlign w:val="center"/>
          </w:tcPr>
          <w:p>
            <w:pPr>
              <w:pStyle w:val="2"/>
              <w:spacing w:before="55"/>
              <w:ind w:left="0" w:leftChars="0" w:right="0" w:right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棚户区改造问题</w:t>
            </w:r>
          </w:p>
          <w:p>
            <w:pPr>
              <w:pStyle w:val="2"/>
              <w:spacing w:before="55"/>
              <w:ind w:left="0" w:leftChars="0" w:right="0" w:right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主责单位：区住建委</w:t>
            </w:r>
          </w:p>
        </w:tc>
        <w:tc>
          <w:tcPr>
            <w:tcW w:w="5635" w:type="dxa"/>
            <w:vAlign w:val="top"/>
          </w:tcPr>
          <w:p>
            <w:pPr>
              <w:pStyle w:val="2"/>
              <w:spacing w:before="55"/>
              <w:ind w:left="0" w:leftChars="0" w:right="0" w:rightChars="0"/>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无</w:t>
            </w:r>
          </w:p>
        </w:tc>
        <w:tc>
          <w:tcPr>
            <w:tcW w:w="2782" w:type="dxa"/>
            <w:vAlign w:val="top"/>
          </w:tcPr>
          <w:p>
            <w:pPr>
              <w:pStyle w:val="2"/>
              <w:spacing w:before="55"/>
              <w:ind w:left="0" w:leftChars="0" w:right="0" w:rightChars="0"/>
              <w:jc w:val="both"/>
              <w:rPr>
                <w:rFonts w:hint="eastAsia"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问题工单20件</w:t>
            </w:r>
            <w:r>
              <w:rPr>
                <w:rFonts w:hint="eastAsia" w:cs="仿宋_GB2312"/>
                <w:sz w:val="21"/>
                <w:szCs w:val="21"/>
                <w:vertAlign w:val="baseline"/>
                <w:lang w:val="en-US" w:eastAsia="zh-CN"/>
              </w:rPr>
              <w:t>；</w:t>
            </w:r>
          </w:p>
          <w:p>
            <w:pPr>
              <w:pStyle w:val="2"/>
              <w:spacing w:before="55"/>
              <w:ind w:left="0" w:leftChars="0" w:right="0" w:rightChars="0"/>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主要涉及点位：新农村棚改项目、十六局家属院棚改项目、溪翁庄村棚改项目等。</w:t>
            </w:r>
          </w:p>
        </w:tc>
        <w:tc>
          <w:tcPr>
            <w:tcW w:w="2424" w:type="dxa"/>
            <w:vAlign w:val="top"/>
          </w:tcPr>
          <w:p>
            <w:pPr>
              <w:pStyle w:val="2"/>
              <w:spacing w:before="55"/>
              <w:ind w:left="0" w:leftChars="0" w:right="0" w:rightChars="0"/>
              <w:jc w:val="both"/>
              <w:rPr>
                <w:rFonts w:hint="eastAsia" w:ascii="仿宋_GB2312" w:hAnsi="仿宋_GB2312" w:eastAsia="仿宋_GB2312" w:cs="仿宋_GB2312"/>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315" w:hRule="atLeast"/>
          <w:jc w:val="center"/>
        </w:trPr>
        <w:tc>
          <w:tcPr>
            <w:tcW w:w="925" w:type="dxa"/>
            <w:vAlign w:val="center"/>
          </w:tcPr>
          <w:p>
            <w:pPr>
              <w:pStyle w:val="2"/>
              <w:spacing w:before="55"/>
              <w:ind w:left="0" w:leftChars="0" w:right="0" w:rightChars="0"/>
              <w:jc w:val="center"/>
              <w:rPr>
                <w:rFonts w:hint="default" w:cs="仿宋_GB2312"/>
                <w:b w:val="0"/>
                <w:bCs w:val="0"/>
                <w:sz w:val="20"/>
                <w:szCs w:val="20"/>
                <w:vertAlign w:val="baseline"/>
                <w:lang w:val="en-US" w:eastAsia="zh-CN"/>
              </w:rPr>
            </w:pPr>
            <w:r>
              <w:rPr>
                <w:rFonts w:hint="eastAsia" w:cs="仿宋_GB2312"/>
                <w:b w:val="0"/>
                <w:bCs w:val="0"/>
                <w:sz w:val="20"/>
                <w:szCs w:val="20"/>
                <w:vertAlign w:val="baseline"/>
                <w:lang w:val="en-US" w:eastAsia="zh-CN"/>
              </w:rPr>
              <w:t>15</w:t>
            </w:r>
          </w:p>
        </w:tc>
        <w:tc>
          <w:tcPr>
            <w:tcW w:w="1050" w:type="dxa"/>
            <w:vAlign w:val="center"/>
          </w:tcPr>
          <w:p>
            <w:pPr>
              <w:pStyle w:val="2"/>
              <w:spacing w:before="55"/>
              <w:ind w:left="0" w:leftChars="0" w:right="0" w:rightChars="0"/>
              <w:jc w:val="center"/>
              <w:rPr>
                <w:rFonts w:hint="default" w:cs="仿宋_GB2312"/>
                <w:b w:val="0"/>
                <w:bCs w:val="0"/>
                <w:sz w:val="20"/>
                <w:szCs w:val="20"/>
                <w:vertAlign w:val="baseline"/>
                <w:lang w:val="en-US" w:eastAsia="zh-CN"/>
              </w:rPr>
            </w:pPr>
            <w:r>
              <w:rPr>
                <w:rFonts w:hint="eastAsia" w:cs="仿宋_GB2312"/>
                <w:b w:val="0"/>
                <w:bCs w:val="0"/>
                <w:sz w:val="20"/>
                <w:szCs w:val="20"/>
                <w:vertAlign w:val="baseline"/>
                <w:lang w:val="en-US" w:eastAsia="zh-CN"/>
              </w:rPr>
              <w:t>八月</w:t>
            </w:r>
          </w:p>
        </w:tc>
        <w:tc>
          <w:tcPr>
            <w:tcW w:w="2800" w:type="dxa"/>
            <w:vAlign w:val="center"/>
          </w:tcPr>
          <w:p>
            <w:pPr>
              <w:pStyle w:val="2"/>
              <w:spacing w:before="55"/>
              <w:ind w:left="0" w:leftChars="0" w:right="0" w:rightChars="0"/>
              <w:jc w:val="center"/>
              <w:rPr>
                <w:rFonts w:hint="eastAsia" w:ascii="仿宋_GB2312" w:hAnsi="仿宋_GB2312" w:eastAsia="仿宋_GB2312"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农村地区煤改清洁能源后期运行管护问题</w:t>
            </w:r>
          </w:p>
          <w:p>
            <w:pPr>
              <w:pStyle w:val="2"/>
              <w:spacing w:before="55"/>
              <w:ind w:left="0" w:leftChars="0" w:right="0" w:rightChars="0"/>
              <w:jc w:val="center"/>
              <w:rPr>
                <w:rFonts w:hint="eastAsia" w:ascii="仿宋_GB2312" w:hAnsi="仿宋_GB2312" w:eastAsia="仿宋_GB2312"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主责单位：区农业农村局</w:t>
            </w:r>
          </w:p>
        </w:tc>
        <w:tc>
          <w:tcPr>
            <w:tcW w:w="5635" w:type="dxa"/>
            <w:vAlign w:val="top"/>
          </w:tcPr>
          <w:p>
            <w:pPr>
              <w:pStyle w:val="2"/>
              <w:spacing w:before="55"/>
              <w:ind w:left="0" w:leftChars="0" w:right="0" w:rightChars="0"/>
              <w:jc w:val="both"/>
              <w:rPr>
                <w:rFonts w:hint="eastAsia" w:ascii="仿宋_GB2312" w:hAnsi="仿宋_GB2312" w:eastAsia="仿宋_GB2312"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1.在2021-2022取暖季前进一步完善了《密云区冬季清洁取暖工作售后维护保障方案》并结合市级文件起草并报审了《密云区农村地区“煤改清洁能源”过保取暖设备后期运行维护工作实施方案（试行）》。于2021年9月初至10月底组织开展历年已安装的电取暖设备巡检工作，为保障农村地区冬季清洁取暖工作顺利推进夯实硬件基础。</w:t>
            </w:r>
          </w:p>
          <w:p>
            <w:pPr>
              <w:pStyle w:val="2"/>
              <w:spacing w:before="55"/>
              <w:ind w:left="0" w:leftChars="0" w:right="0" w:rightChars="0"/>
              <w:jc w:val="both"/>
              <w:rPr>
                <w:rFonts w:hint="eastAsia" w:ascii="仿宋_GB2312" w:hAnsi="仿宋_GB2312" w:eastAsia="仿宋_GB2312"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2.明确、宣传报修途径。对电话报修、微信公众号报修、远程终端一键报修、联系村级电工报修等多种报修途径进行广泛宣传，畅通报修途径，及时收集报修信息。</w:t>
            </w:r>
          </w:p>
          <w:p>
            <w:pPr>
              <w:pStyle w:val="2"/>
              <w:spacing w:before="55"/>
              <w:ind w:left="0" w:leftChars="0" w:right="0" w:rightChars="0"/>
              <w:jc w:val="both"/>
              <w:rPr>
                <w:rFonts w:hint="eastAsia" w:ascii="仿宋_GB2312" w:hAnsi="仿宋_GB2312" w:eastAsia="仿宋_GB2312"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3.做好派单结单和跟踪回访。维修中心接报修后要尽快形成工单并通过手机APP派给村级电工进行处理，村级电工要在30分钟之内到达现场了解情况并对取暖设备进行维修。维修中心要时刻关注工单进展，及时协调督促维修进度，结单后进行回访，售后维护各环节要无缝连接形成严格闭环，确保取暖设备正常运转。</w:t>
            </w:r>
          </w:p>
          <w:p>
            <w:pPr>
              <w:pStyle w:val="2"/>
              <w:spacing w:before="55"/>
              <w:ind w:left="0" w:leftChars="0" w:right="0" w:rightChars="0"/>
              <w:jc w:val="both"/>
              <w:rPr>
                <w:rFonts w:hint="eastAsia" w:ascii="仿宋_GB2312" w:hAnsi="仿宋_GB2312" w:eastAsia="仿宋_GB2312"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4.做好应急准备。依托抢单系统鼓励具有空气源热泵维修能力的技术人员注册为热泵维修员。遇有极寒天气、大面积停电等特殊情况，现有维修人员人手不足时，维修中心可通过抢单系统将部分维修任务派至热泵维修员，壮大抢修力量，避免或减少经济损失。</w:t>
            </w:r>
          </w:p>
          <w:p>
            <w:pPr>
              <w:pStyle w:val="2"/>
              <w:spacing w:before="55"/>
              <w:ind w:left="0" w:leftChars="0" w:right="0" w:rightChars="0"/>
              <w:jc w:val="both"/>
              <w:rPr>
                <w:rFonts w:hint="eastAsia" w:ascii="仿宋_GB2312" w:hAnsi="仿宋_GB2312" w:eastAsia="仿宋_GB2312"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 xml:space="preserve">5.强化服务意识。维修中心在区农业农村局、各镇政府指导下进行工作，代表政府形象，要强化服务意识，做到着装正规、流程规范、业务熟练，要严格应急值守制度，做到所有电话有人接，所有疑问有人解答，所有运维问题有人解决。          </w:t>
            </w:r>
          </w:p>
        </w:tc>
        <w:tc>
          <w:tcPr>
            <w:tcW w:w="2782" w:type="dxa"/>
            <w:vAlign w:val="top"/>
          </w:tcPr>
          <w:p>
            <w:pPr>
              <w:pStyle w:val="2"/>
              <w:spacing w:before="55"/>
              <w:ind w:left="0" w:leftChars="0" w:right="0" w:rightChars="0"/>
              <w:jc w:val="both"/>
              <w:rPr>
                <w:rFonts w:hint="eastAsia"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问题230件</w:t>
            </w:r>
            <w:r>
              <w:rPr>
                <w:rFonts w:hint="eastAsia" w:cs="仿宋_GB2312"/>
                <w:sz w:val="20"/>
                <w:szCs w:val="20"/>
                <w:vertAlign w:val="baseline"/>
                <w:lang w:val="en-US" w:eastAsia="zh-CN"/>
              </w:rPr>
              <w:t>；</w:t>
            </w:r>
          </w:p>
          <w:p>
            <w:pPr>
              <w:pStyle w:val="2"/>
              <w:spacing w:before="55"/>
              <w:ind w:left="0" w:leftChars="0" w:right="0" w:rightChars="0"/>
              <w:jc w:val="both"/>
              <w:rPr>
                <w:rFonts w:hint="eastAsia" w:ascii="仿宋_GB2312" w:hAnsi="仿宋_GB2312" w:eastAsia="仿宋_GB2312"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主要涉及点位：古北口镇北甸子村、穆家峪镇阁老峪村、溪翁庄镇石马峪村、不老屯镇半城子村、巨各庄镇前厂村、西田各庄镇小石尖村、溪翁庄镇金叵罗村等。</w:t>
            </w:r>
          </w:p>
        </w:tc>
        <w:tc>
          <w:tcPr>
            <w:tcW w:w="2424" w:type="dxa"/>
            <w:vAlign w:val="top"/>
          </w:tcPr>
          <w:p>
            <w:pPr>
              <w:pStyle w:val="2"/>
              <w:spacing w:before="55"/>
              <w:ind w:left="0" w:leftChars="0" w:right="0" w:rightChars="0"/>
              <w:jc w:val="both"/>
              <w:rPr>
                <w:rFonts w:hint="eastAsia" w:ascii="仿宋_GB2312" w:hAnsi="仿宋_GB2312" w:eastAsia="仿宋_GB2312"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1.2022年1月1日-1月17日调度中心平台预警941个，形成有效工单149单。</w:t>
            </w:r>
          </w:p>
          <w:p>
            <w:pPr>
              <w:pStyle w:val="2"/>
              <w:spacing w:before="55"/>
              <w:ind w:left="0" w:leftChars="0" w:right="0" w:rightChars="0"/>
              <w:jc w:val="both"/>
              <w:rPr>
                <w:rFonts w:hint="eastAsia" w:ascii="仿宋_GB2312" w:hAnsi="仿宋_GB2312" w:eastAsia="仿宋_GB2312"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2.2022年1月1日-1月17日调度中心共接到用户一键报修、电话报修、公众号报修共计986单。</w:t>
            </w:r>
          </w:p>
          <w:p>
            <w:pPr>
              <w:pStyle w:val="2"/>
              <w:spacing w:before="55"/>
              <w:ind w:left="0" w:leftChars="0" w:right="0" w:rightChars="0"/>
              <w:jc w:val="both"/>
              <w:rPr>
                <w:rFonts w:hint="eastAsia" w:ascii="仿宋_GB2312" w:hAnsi="仿宋_GB2312" w:eastAsia="仿宋_GB2312"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3.2022年1月1日-1月17日接到12345报修工单112单；政策咨询问题48单；费用与补贴问题25单；改造申请与安装问题27单；售后服务问题2单；</w:t>
            </w:r>
          </w:p>
          <w:p>
            <w:pPr>
              <w:pStyle w:val="2"/>
              <w:spacing w:before="55"/>
              <w:ind w:left="0" w:leftChars="0" w:right="0" w:rightChars="0"/>
              <w:jc w:val="both"/>
              <w:rPr>
                <w:rFonts w:hint="eastAsia" w:ascii="仿宋_GB2312" w:hAnsi="仿宋_GB2312" w:eastAsia="仿宋_GB2312"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以上形成工单咨询类问题均已解答，设备报修问题均已解决。</w:t>
            </w:r>
            <w:r>
              <w:rPr>
                <w:rFonts w:hint="eastAsia" w:cs="仿宋_GB2312"/>
                <w:sz w:val="20"/>
                <w:szCs w:val="20"/>
                <w:vertAlign w:val="baseline"/>
                <w:lang w:val="en-US" w:eastAsia="zh-CN"/>
              </w:rPr>
              <w:t>（</w:t>
            </w:r>
            <w:r>
              <w:rPr>
                <w:rFonts w:hint="eastAsia" w:ascii="楷体_GB2312" w:hAnsi="楷体_GB2312" w:eastAsia="楷体_GB2312" w:cs="楷体_GB2312"/>
                <w:b/>
                <w:bCs/>
                <w:sz w:val="20"/>
                <w:szCs w:val="20"/>
                <w:vertAlign w:val="baseline"/>
                <w:lang w:val="en-US" w:eastAsia="zh-CN"/>
              </w:rPr>
              <w:t>调度平台是区级“煤改电”问题运维售后网络平台</w:t>
            </w:r>
            <w:r>
              <w:rPr>
                <w:rFonts w:hint="eastAsia" w:cs="仿宋_GB2312"/>
                <w:sz w:val="20"/>
                <w:szCs w:val="20"/>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04" w:hRule="atLeast"/>
          <w:jc w:val="center"/>
        </w:trPr>
        <w:tc>
          <w:tcPr>
            <w:tcW w:w="925" w:type="dxa"/>
            <w:vAlign w:val="center"/>
          </w:tcPr>
          <w:p>
            <w:pPr>
              <w:pStyle w:val="2"/>
              <w:spacing w:before="55"/>
              <w:ind w:left="0" w:leftChars="0" w:right="0" w:rightChars="0"/>
              <w:jc w:val="center"/>
              <w:rPr>
                <w:rFonts w:hint="default" w:cs="仿宋_GB2312"/>
                <w:b w:val="0"/>
                <w:bCs w:val="0"/>
                <w:sz w:val="20"/>
                <w:szCs w:val="20"/>
                <w:vertAlign w:val="baseline"/>
                <w:lang w:val="en-US" w:eastAsia="zh-CN"/>
              </w:rPr>
            </w:pPr>
            <w:r>
              <w:rPr>
                <w:rFonts w:hint="eastAsia" w:cs="仿宋_GB2312"/>
                <w:b w:val="0"/>
                <w:bCs w:val="0"/>
                <w:sz w:val="20"/>
                <w:szCs w:val="20"/>
                <w:vertAlign w:val="baseline"/>
                <w:lang w:val="en-US" w:eastAsia="zh-CN"/>
              </w:rPr>
              <w:t>16</w:t>
            </w:r>
          </w:p>
        </w:tc>
        <w:tc>
          <w:tcPr>
            <w:tcW w:w="1050" w:type="dxa"/>
            <w:vAlign w:val="center"/>
          </w:tcPr>
          <w:p>
            <w:pPr>
              <w:pStyle w:val="2"/>
              <w:spacing w:before="55"/>
              <w:ind w:left="0" w:leftChars="0" w:right="0" w:rightChars="0"/>
              <w:jc w:val="center"/>
              <w:rPr>
                <w:rFonts w:hint="default" w:cs="仿宋_GB2312"/>
                <w:b w:val="0"/>
                <w:bCs w:val="0"/>
                <w:sz w:val="20"/>
                <w:szCs w:val="20"/>
                <w:vertAlign w:val="baseline"/>
                <w:lang w:val="en-US" w:eastAsia="zh-CN"/>
              </w:rPr>
            </w:pPr>
            <w:r>
              <w:rPr>
                <w:rFonts w:hint="eastAsia" w:cs="仿宋_GB2312"/>
                <w:b w:val="0"/>
                <w:bCs w:val="0"/>
                <w:sz w:val="20"/>
                <w:szCs w:val="20"/>
                <w:vertAlign w:val="baseline"/>
                <w:lang w:val="en-US" w:eastAsia="zh-CN"/>
              </w:rPr>
              <w:t>八月</w:t>
            </w:r>
          </w:p>
        </w:tc>
        <w:tc>
          <w:tcPr>
            <w:tcW w:w="2800" w:type="dxa"/>
            <w:vAlign w:val="center"/>
          </w:tcPr>
          <w:p>
            <w:pPr>
              <w:pStyle w:val="2"/>
              <w:spacing w:before="55"/>
              <w:ind w:left="0" w:leftChars="0" w:right="0" w:rightChars="0"/>
              <w:jc w:val="center"/>
              <w:rPr>
                <w:rFonts w:hint="eastAsia" w:ascii="仿宋_GB2312" w:hAnsi="仿宋_GB2312" w:eastAsia="仿宋_GB2312"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集中供暖不热问题</w:t>
            </w:r>
          </w:p>
          <w:p>
            <w:pPr>
              <w:pStyle w:val="2"/>
              <w:spacing w:before="55"/>
              <w:ind w:left="0" w:leftChars="0" w:right="0" w:rightChars="0"/>
              <w:jc w:val="center"/>
              <w:rPr>
                <w:rFonts w:hint="eastAsia" w:ascii="仿宋_GB2312" w:hAnsi="仿宋_GB2312" w:eastAsia="仿宋_GB2312"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主责单位：区城管委</w:t>
            </w:r>
          </w:p>
        </w:tc>
        <w:tc>
          <w:tcPr>
            <w:tcW w:w="5635" w:type="dxa"/>
            <w:vAlign w:val="top"/>
          </w:tcPr>
          <w:p>
            <w:pPr>
              <w:pStyle w:val="2"/>
              <w:spacing w:before="55"/>
              <w:ind w:left="0" w:leftChars="0" w:right="0" w:rightChars="0"/>
              <w:jc w:val="both"/>
              <w:rPr>
                <w:rFonts w:hint="eastAsia" w:ascii="仿宋_GB2312" w:hAnsi="仿宋_GB2312" w:eastAsia="仿宋_GB2312"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1.供热办开展“访民问暖”进社区活动2次，主动了解群众诉求，客观掌握供暖情况第一手资料，现场解决供暖问题16件，非现场解决供暖问题26件。</w:t>
            </w:r>
          </w:p>
          <w:p>
            <w:pPr>
              <w:pStyle w:val="2"/>
              <w:spacing w:before="55"/>
              <w:ind w:left="0" w:leftChars="0" w:right="0" w:rightChars="0"/>
              <w:jc w:val="both"/>
              <w:rPr>
                <w:rFonts w:hint="eastAsia" w:ascii="仿宋_GB2312" w:hAnsi="仿宋_GB2312" w:eastAsia="仿宋_GB2312"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2.利用区城管委一层智慧平台，24小时在线监测各供热企业供热供回水温度；利用69033333系统，实现常规供热问题一分钟接单、一小时内上门，有效降低了12345投诉，提高了群众满意度和幸福感。</w:t>
            </w:r>
          </w:p>
          <w:p>
            <w:pPr>
              <w:pStyle w:val="2"/>
              <w:spacing w:before="55"/>
              <w:ind w:left="0" w:leftChars="0" w:right="0" w:rightChars="0"/>
              <w:jc w:val="both"/>
              <w:rPr>
                <w:rFonts w:hint="eastAsia" w:ascii="仿宋_GB2312" w:hAnsi="仿宋_GB2312" w:eastAsia="仿宋_GB2312"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3.约谈12345投诉较多的供热企业，要求企业针对供热问题，列明解决方案和时限，及时整改落实。</w:t>
            </w:r>
          </w:p>
        </w:tc>
        <w:tc>
          <w:tcPr>
            <w:tcW w:w="2782" w:type="dxa"/>
            <w:vAlign w:val="top"/>
          </w:tcPr>
          <w:p>
            <w:pPr>
              <w:pStyle w:val="2"/>
              <w:spacing w:before="55"/>
              <w:ind w:left="0" w:leftChars="0" w:right="0" w:rightChars="0"/>
              <w:jc w:val="both"/>
              <w:rPr>
                <w:rFonts w:hint="eastAsia"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问题工单141件</w:t>
            </w:r>
            <w:r>
              <w:rPr>
                <w:rFonts w:hint="eastAsia" w:cs="仿宋_GB2312"/>
                <w:sz w:val="20"/>
                <w:szCs w:val="20"/>
                <w:vertAlign w:val="baseline"/>
                <w:lang w:val="en-US" w:eastAsia="zh-CN"/>
              </w:rPr>
              <w:t>；</w:t>
            </w:r>
          </w:p>
          <w:p>
            <w:pPr>
              <w:pStyle w:val="2"/>
              <w:spacing w:before="55"/>
              <w:ind w:left="0" w:leftChars="0" w:right="0" w:rightChars="0"/>
              <w:jc w:val="both"/>
              <w:rPr>
                <w:rFonts w:hint="eastAsia" w:ascii="仿宋_GB2312" w:hAnsi="仿宋_GB2312" w:eastAsia="仿宋_GB2312"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主要涉及明珠花园小区12件、长安小区8件、沿湖小区6件、康居北区6件、花园小区4件、世纪家园小区3件、福成新天地小区3件等。</w:t>
            </w:r>
          </w:p>
        </w:tc>
        <w:tc>
          <w:tcPr>
            <w:tcW w:w="2424" w:type="dxa"/>
            <w:vAlign w:val="top"/>
          </w:tcPr>
          <w:p>
            <w:pPr>
              <w:pStyle w:val="2"/>
              <w:spacing w:before="55"/>
              <w:ind w:left="0" w:leftChars="0" w:right="0" w:rightChars="0"/>
              <w:jc w:val="both"/>
              <w:rPr>
                <w:rFonts w:hint="eastAsia" w:ascii="仿宋_GB2312" w:hAnsi="仿宋_GB2312" w:eastAsia="仿宋_GB2312"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供热例会、访民问暖、供热大检查按计划有序进行，12345投诉量较去年同期稳步下降，居民满意度提高。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36" w:hRule="atLeast"/>
          <w:jc w:val="center"/>
        </w:trPr>
        <w:tc>
          <w:tcPr>
            <w:tcW w:w="925" w:type="dxa"/>
            <w:vAlign w:val="center"/>
          </w:tcPr>
          <w:p>
            <w:pPr>
              <w:pStyle w:val="2"/>
              <w:spacing w:before="55"/>
              <w:ind w:left="0" w:leftChars="0" w:right="0" w:rightChars="0"/>
              <w:jc w:val="center"/>
              <w:rPr>
                <w:rFonts w:hint="default" w:cs="仿宋_GB2312"/>
                <w:b w:val="0"/>
                <w:bCs w:val="0"/>
                <w:sz w:val="20"/>
                <w:szCs w:val="20"/>
                <w:vertAlign w:val="baseline"/>
                <w:lang w:val="en-US" w:eastAsia="zh-CN"/>
              </w:rPr>
            </w:pPr>
            <w:r>
              <w:rPr>
                <w:rFonts w:hint="eastAsia" w:cs="仿宋_GB2312"/>
                <w:b w:val="0"/>
                <w:bCs w:val="0"/>
                <w:sz w:val="20"/>
                <w:szCs w:val="20"/>
                <w:vertAlign w:val="baseline"/>
                <w:lang w:val="en-US" w:eastAsia="zh-CN"/>
              </w:rPr>
              <w:t>17</w:t>
            </w:r>
          </w:p>
        </w:tc>
        <w:tc>
          <w:tcPr>
            <w:tcW w:w="1050" w:type="dxa"/>
            <w:vAlign w:val="center"/>
          </w:tcPr>
          <w:p>
            <w:pPr>
              <w:pStyle w:val="2"/>
              <w:spacing w:before="55"/>
              <w:ind w:left="0" w:leftChars="0" w:right="0" w:rightChars="0"/>
              <w:jc w:val="center"/>
              <w:rPr>
                <w:rFonts w:hint="default" w:cs="仿宋_GB2312"/>
                <w:b w:val="0"/>
                <w:bCs w:val="0"/>
                <w:sz w:val="20"/>
                <w:szCs w:val="20"/>
                <w:vertAlign w:val="baseline"/>
                <w:lang w:val="en-US" w:eastAsia="zh-CN"/>
              </w:rPr>
            </w:pPr>
            <w:r>
              <w:rPr>
                <w:rFonts w:hint="eastAsia" w:cs="仿宋_GB2312"/>
                <w:b w:val="0"/>
                <w:bCs w:val="0"/>
                <w:sz w:val="20"/>
                <w:szCs w:val="20"/>
                <w:vertAlign w:val="baseline"/>
                <w:lang w:val="en-US" w:eastAsia="zh-CN"/>
              </w:rPr>
              <w:t>九月</w:t>
            </w:r>
          </w:p>
        </w:tc>
        <w:tc>
          <w:tcPr>
            <w:tcW w:w="2800" w:type="dxa"/>
            <w:vAlign w:val="center"/>
          </w:tcPr>
          <w:p>
            <w:pPr>
              <w:pStyle w:val="2"/>
              <w:spacing w:before="55"/>
              <w:ind w:left="0" w:leftChars="0" w:right="0" w:rightChars="0"/>
              <w:jc w:val="center"/>
              <w:rPr>
                <w:rFonts w:hint="eastAsia" w:ascii="仿宋_GB2312" w:hAnsi="仿宋_GB2312" w:eastAsia="仿宋_GB2312"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公交运营调度优化问题</w:t>
            </w:r>
          </w:p>
          <w:p>
            <w:pPr>
              <w:pStyle w:val="2"/>
              <w:spacing w:before="55"/>
              <w:ind w:left="0" w:leftChars="0" w:right="0" w:rightChars="0"/>
              <w:jc w:val="center"/>
              <w:rPr>
                <w:rFonts w:hint="eastAsia" w:ascii="仿宋_GB2312" w:hAnsi="仿宋_GB2312" w:eastAsia="仿宋_GB2312"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主责单位：区交通局</w:t>
            </w:r>
          </w:p>
        </w:tc>
        <w:tc>
          <w:tcPr>
            <w:tcW w:w="5635" w:type="dxa"/>
            <w:vAlign w:val="top"/>
          </w:tcPr>
          <w:p>
            <w:pPr>
              <w:pStyle w:val="2"/>
              <w:spacing w:before="55"/>
              <w:ind w:left="0" w:leftChars="0" w:right="0" w:rightChars="0"/>
              <w:jc w:val="both"/>
              <w:rPr>
                <w:rFonts w:hint="eastAsia" w:ascii="仿宋_GB2312" w:hAnsi="仿宋_GB2312" w:eastAsia="仿宋_GB2312"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为满足太师屯、高岭镇等地区市民的上下班通勤需求，组织客运企业开通了康居南区至高岭镇的定制公交线路，线路的开通极大的满足了站点沿线的市民通勤需要，下一步将协调客运企业综合12345等信访渠道，持续优化调整公交线路，满足市民的出行需求。</w:t>
            </w:r>
          </w:p>
        </w:tc>
        <w:tc>
          <w:tcPr>
            <w:tcW w:w="2782" w:type="dxa"/>
            <w:vAlign w:val="top"/>
          </w:tcPr>
          <w:p>
            <w:pPr>
              <w:pStyle w:val="2"/>
              <w:spacing w:before="55"/>
              <w:ind w:left="0" w:leftChars="0" w:right="0" w:rightChars="0"/>
              <w:jc w:val="both"/>
              <w:rPr>
                <w:rFonts w:hint="eastAsia"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问题</w:t>
            </w:r>
            <w:r>
              <w:rPr>
                <w:rFonts w:hint="eastAsia" w:cs="仿宋_GB2312"/>
                <w:sz w:val="20"/>
                <w:szCs w:val="20"/>
                <w:vertAlign w:val="baseline"/>
                <w:lang w:val="en-US" w:eastAsia="zh-CN"/>
              </w:rPr>
              <w:t>工单</w:t>
            </w:r>
            <w:r>
              <w:rPr>
                <w:rFonts w:hint="eastAsia" w:ascii="仿宋_GB2312" w:hAnsi="仿宋_GB2312" w:eastAsia="仿宋_GB2312" w:cs="仿宋_GB2312"/>
                <w:sz w:val="20"/>
                <w:szCs w:val="20"/>
                <w:vertAlign w:val="baseline"/>
                <w:lang w:val="en-US" w:eastAsia="zh-CN"/>
              </w:rPr>
              <w:t>6件</w:t>
            </w:r>
            <w:r>
              <w:rPr>
                <w:rFonts w:hint="eastAsia" w:cs="仿宋_GB2312"/>
                <w:sz w:val="20"/>
                <w:szCs w:val="20"/>
                <w:vertAlign w:val="baseline"/>
                <w:lang w:val="en-US" w:eastAsia="zh-CN"/>
              </w:rPr>
              <w:t>；</w:t>
            </w:r>
          </w:p>
          <w:p>
            <w:pPr>
              <w:pStyle w:val="2"/>
              <w:spacing w:before="55"/>
              <w:ind w:left="0" w:leftChars="0" w:right="0" w:rightChars="0"/>
              <w:jc w:val="both"/>
              <w:rPr>
                <w:rFonts w:hint="eastAsia" w:ascii="仿宋_GB2312" w:hAnsi="仿宋_GB2312" w:eastAsia="仿宋_GB2312"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涉及公交线路：郊80路、密38路、密5路、密6路。</w:t>
            </w:r>
          </w:p>
        </w:tc>
        <w:tc>
          <w:tcPr>
            <w:tcW w:w="2424" w:type="dxa"/>
            <w:vAlign w:val="top"/>
          </w:tcPr>
          <w:p>
            <w:pPr>
              <w:pStyle w:val="2"/>
              <w:spacing w:before="55"/>
              <w:ind w:left="0" w:leftChars="0" w:right="0" w:rightChars="0"/>
              <w:jc w:val="both"/>
              <w:rPr>
                <w:rFonts w:hint="eastAsia" w:ascii="仿宋_GB2312" w:hAnsi="仿宋_GB2312" w:eastAsia="仿宋_GB2312" w:cs="仿宋_GB2312"/>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48" w:hRule="atLeast"/>
          <w:jc w:val="center"/>
        </w:trPr>
        <w:tc>
          <w:tcPr>
            <w:tcW w:w="925" w:type="dxa"/>
            <w:vAlign w:val="center"/>
          </w:tcPr>
          <w:p>
            <w:pPr>
              <w:pStyle w:val="2"/>
              <w:spacing w:before="55"/>
              <w:ind w:left="0" w:leftChars="0" w:right="0" w:rightChars="0"/>
              <w:jc w:val="center"/>
              <w:rPr>
                <w:rFonts w:hint="default" w:cs="仿宋_GB2312"/>
                <w:b w:val="0"/>
                <w:bCs w:val="0"/>
                <w:sz w:val="20"/>
                <w:szCs w:val="20"/>
                <w:vertAlign w:val="baseline"/>
                <w:lang w:val="en-US" w:eastAsia="zh-CN"/>
              </w:rPr>
            </w:pPr>
            <w:r>
              <w:rPr>
                <w:rFonts w:hint="eastAsia" w:cs="仿宋_GB2312"/>
                <w:b w:val="0"/>
                <w:bCs w:val="0"/>
                <w:sz w:val="20"/>
                <w:szCs w:val="20"/>
                <w:vertAlign w:val="baseline"/>
                <w:lang w:val="en-US" w:eastAsia="zh-CN"/>
              </w:rPr>
              <w:t>18</w:t>
            </w:r>
          </w:p>
        </w:tc>
        <w:tc>
          <w:tcPr>
            <w:tcW w:w="1050" w:type="dxa"/>
            <w:vAlign w:val="center"/>
          </w:tcPr>
          <w:p>
            <w:pPr>
              <w:pStyle w:val="2"/>
              <w:spacing w:before="55"/>
              <w:ind w:left="0" w:leftChars="0" w:right="0" w:rightChars="0"/>
              <w:jc w:val="center"/>
              <w:rPr>
                <w:rFonts w:hint="default" w:cs="仿宋_GB2312"/>
                <w:b w:val="0"/>
                <w:bCs w:val="0"/>
                <w:sz w:val="20"/>
                <w:szCs w:val="20"/>
                <w:vertAlign w:val="baseline"/>
                <w:lang w:val="en-US" w:eastAsia="zh-CN"/>
              </w:rPr>
            </w:pPr>
            <w:r>
              <w:rPr>
                <w:rFonts w:hint="eastAsia" w:cs="仿宋_GB2312"/>
                <w:b w:val="0"/>
                <w:bCs w:val="0"/>
                <w:sz w:val="20"/>
                <w:szCs w:val="20"/>
                <w:vertAlign w:val="baseline"/>
                <w:lang w:val="en-US" w:eastAsia="zh-CN"/>
              </w:rPr>
              <w:t>九月</w:t>
            </w:r>
          </w:p>
        </w:tc>
        <w:tc>
          <w:tcPr>
            <w:tcW w:w="2800" w:type="dxa"/>
            <w:vAlign w:val="center"/>
          </w:tcPr>
          <w:p>
            <w:pPr>
              <w:pStyle w:val="2"/>
              <w:spacing w:before="55"/>
              <w:ind w:left="0" w:leftChars="0" w:right="0" w:rightChars="0"/>
              <w:jc w:val="center"/>
              <w:rPr>
                <w:rFonts w:hint="eastAsia" w:ascii="仿宋_GB2312" w:hAnsi="仿宋_GB2312" w:eastAsia="仿宋_GB2312"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信号灯问题</w:t>
            </w:r>
          </w:p>
          <w:p>
            <w:pPr>
              <w:pStyle w:val="2"/>
              <w:spacing w:before="55"/>
              <w:ind w:left="0" w:leftChars="0" w:right="0" w:rightChars="0"/>
              <w:jc w:val="center"/>
              <w:rPr>
                <w:rFonts w:hint="eastAsia" w:ascii="仿宋_GB2312" w:hAnsi="仿宋_GB2312" w:eastAsia="仿宋_GB2312"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主责单位：区交通支队</w:t>
            </w:r>
          </w:p>
        </w:tc>
        <w:tc>
          <w:tcPr>
            <w:tcW w:w="5635" w:type="dxa"/>
            <w:vAlign w:val="top"/>
          </w:tcPr>
          <w:p>
            <w:pPr>
              <w:pStyle w:val="2"/>
              <w:spacing w:before="55"/>
              <w:ind w:left="0" w:leftChars="0" w:right="0" w:rightChars="0"/>
              <w:jc w:val="both"/>
              <w:rPr>
                <w:rFonts w:hint="eastAsia" w:ascii="仿宋_GB2312" w:hAnsi="仿宋_GB2312" w:eastAsia="仿宋_GB2312"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1月份工作任务：完成辖区信号灯安全隐患排查和整治。</w:t>
            </w:r>
          </w:p>
          <w:p>
            <w:pPr>
              <w:pStyle w:val="2"/>
              <w:spacing w:before="55"/>
              <w:ind w:left="0" w:leftChars="0" w:right="0" w:rightChars="0"/>
              <w:jc w:val="both"/>
              <w:rPr>
                <w:rFonts w:hint="eastAsia" w:ascii="仿宋_GB2312" w:hAnsi="仿宋_GB2312" w:eastAsia="仿宋_GB2312"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1.箱体排查：撤除废弃、闲置、丧失功能的设备箱体；维修残损箱体；整饰脏乱箱体。</w:t>
            </w:r>
          </w:p>
          <w:p>
            <w:pPr>
              <w:pStyle w:val="2"/>
              <w:spacing w:before="55"/>
              <w:ind w:left="0" w:leftChars="0" w:right="0" w:rightChars="0"/>
              <w:jc w:val="both"/>
              <w:rPr>
                <w:rFonts w:hint="eastAsia" w:ascii="仿宋_GB2312" w:hAnsi="仿宋_GB2312" w:eastAsia="仿宋_GB2312"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2.杆具排查：修复老化、倾斜、基础腐蚀等明显问题。</w:t>
            </w:r>
          </w:p>
          <w:p>
            <w:pPr>
              <w:pStyle w:val="2"/>
              <w:spacing w:before="55"/>
              <w:ind w:left="0" w:leftChars="0" w:right="0" w:rightChars="0"/>
              <w:jc w:val="both"/>
              <w:rPr>
                <w:rFonts w:hint="eastAsia" w:ascii="仿宋_GB2312" w:hAnsi="仿宋_GB2312" w:eastAsia="仿宋_GB2312"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3.管井排查：处置发现的破损下沉、丢失、异响问题。</w:t>
            </w:r>
          </w:p>
          <w:p>
            <w:pPr>
              <w:pStyle w:val="2"/>
              <w:spacing w:before="55"/>
              <w:ind w:left="0" w:leftChars="0" w:right="0" w:rightChars="0"/>
              <w:jc w:val="both"/>
              <w:rPr>
                <w:rFonts w:hint="eastAsia" w:ascii="仿宋_GB2312" w:hAnsi="仿宋_GB2312" w:eastAsia="仿宋_GB2312"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4.管线排查：排查线缆外露、管井下沉私自穿接等问题。</w:t>
            </w:r>
          </w:p>
          <w:p>
            <w:pPr>
              <w:pStyle w:val="2"/>
              <w:spacing w:before="55"/>
              <w:ind w:left="0" w:leftChars="0" w:right="0" w:rightChars="0"/>
              <w:jc w:val="both"/>
              <w:rPr>
                <w:rFonts w:hint="eastAsia" w:ascii="仿宋_GB2312" w:hAnsi="仿宋_GB2312" w:eastAsia="仿宋_GB2312"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5.电源排查：由专业运维单位排查是否使用非证式电源、架空电缆、私自借电、违规使用备用线缆等情形。</w:t>
            </w:r>
          </w:p>
          <w:p>
            <w:pPr>
              <w:pStyle w:val="2"/>
              <w:spacing w:before="55"/>
              <w:ind w:left="0" w:leftChars="0" w:right="0" w:rightChars="0"/>
              <w:jc w:val="both"/>
              <w:rPr>
                <w:rFonts w:hint="eastAsia" w:ascii="仿宋_GB2312" w:hAnsi="仿宋_GB2312" w:eastAsia="仿宋_GB2312"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全区由公安分局运维的信号灯共有163处，已经排查130处，完成80%。</w:t>
            </w:r>
          </w:p>
        </w:tc>
        <w:tc>
          <w:tcPr>
            <w:tcW w:w="2782" w:type="dxa"/>
            <w:vAlign w:val="top"/>
          </w:tcPr>
          <w:p>
            <w:pPr>
              <w:pStyle w:val="2"/>
              <w:spacing w:before="55"/>
              <w:ind w:left="0" w:leftChars="0" w:right="0" w:rightChars="0"/>
              <w:jc w:val="both"/>
              <w:rPr>
                <w:rFonts w:hint="eastAsia"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问题</w:t>
            </w:r>
            <w:r>
              <w:rPr>
                <w:rFonts w:hint="eastAsia" w:cs="仿宋_GB2312"/>
                <w:sz w:val="20"/>
                <w:szCs w:val="20"/>
                <w:vertAlign w:val="baseline"/>
                <w:lang w:val="en-US" w:eastAsia="zh-CN"/>
              </w:rPr>
              <w:t>工单</w:t>
            </w:r>
            <w:r>
              <w:rPr>
                <w:rFonts w:hint="eastAsia" w:ascii="仿宋_GB2312" w:hAnsi="仿宋_GB2312" w:eastAsia="仿宋_GB2312" w:cs="仿宋_GB2312"/>
                <w:sz w:val="20"/>
                <w:szCs w:val="20"/>
                <w:vertAlign w:val="baseline"/>
                <w:lang w:val="en-US" w:eastAsia="zh-CN"/>
              </w:rPr>
              <w:t>1件</w:t>
            </w:r>
            <w:r>
              <w:rPr>
                <w:rFonts w:hint="eastAsia" w:cs="仿宋_GB2312"/>
                <w:sz w:val="20"/>
                <w:szCs w:val="20"/>
                <w:vertAlign w:val="baseline"/>
                <w:lang w:val="en-US" w:eastAsia="zh-CN"/>
              </w:rPr>
              <w:t>；</w:t>
            </w:r>
          </w:p>
          <w:p>
            <w:pPr>
              <w:pStyle w:val="2"/>
              <w:spacing w:before="55"/>
              <w:ind w:left="0" w:leftChars="0" w:right="0" w:rightChars="0"/>
              <w:jc w:val="both"/>
              <w:rPr>
                <w:rFonts w:hint="eastAsia" w:ascii="仿宋_GB2312" w:hAnsi="仿宋_GB2312" w:eastAsia="仿宋_GB2312"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问题点位：圣水泉路与水源东路交叉口。</w:t>
            </w:r>
          </w:p>
        </w:tc>
        <w:tc>
          <w:tcPr>
            <w:tcW w:w="2424" w:type="dxa"/>
            <w:vAlign w:val="top"/>
          </w:tcPr>
          <w:p>
            <w:pPr>
              <w:pStyle w:val="2"/>
              <w:spacing w:before="55"/>
              <w:ind w:left="0" w:leftChars="0" w:right="0" w:rightChars="0"/>
              <w:jc w:val="both"/>
              <w:rPr>
                <w:rFonts w:hint="eastAsia" w:ascii="仿宋_GB2312" w:hAnsi="仿宋_GB2312" w:eastAsia="仿宋_GB2312" w:cs="仿宋_GB2312"/>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71" w:hRule="atLeast"/>
          <w:jc w:val="center"/>
        </w:trPr>
        <w:tc>
          <w:tcPr>
            <w:tcW w:w="925" w:type="dxa"/>
            <w:vAlign w:val="center"/>
          </w:tcPr>
          <w:p>
            <w:pPr>
              <w:pStyle w:val="2"/>
              <w:spacing w:before="55"/>
              <w:ind w:left="0" w:leftChars="0" w:right="0" w:rightChars="0"/>
              <w:jc w:val="center"/>
              <w:rPr>
                <w:rFonts w:hint="default" w:cs="仿宋_GB2312"/>
                <w:b w:val="0"/>
                <w:bCs w:val="0"/>
                <w:sz w:val="20"/>
                <w:szCs w:val="20"/>
                <w:vertAlign w:val="baseline"/>
                <w:lang w:val="en-US" w:eastAsia="zh-CN"/>
              </w:rPr>
            </w:pPr>
            <w:r>
              <w:rPr>
                <w:rFonts w:hint="eastAsia" w:cs="仿宋_GB2312"/>
                <w:b w:val="0"/>
                <w:bCs w:val="0"/>
                <w:sz w:val="20"/>
                <w:szCs w:val="20"/>
                <w:vertAlign w:val="baseline"/>
                <w:lang w:val="en-US" w:eastAsia="zh-CN"/>
              </w:rPr>
              <w:t>19</w:t>
            </w:r>
          </w:p>
        </w:tc>
        <w:tc>
          <w:tcPr>
            <w:tcW w:w="1050" w:type="dxa"/>
            <w:vAlign w:val="center"/>
          </w:tcPr>
          <w:p>
            <w:pPr>
              <w:pStyle w:val="2"/>
              <w:spacing w:before="55"/>
              <w:ind w:left="0" w:leftChars="0" w:right="0" w:rightChars="0"/>
              <w:jc w:val="center"/>
              <w:rPr>
                <w:rFonts w:hint="default" w:cs="仿宋_GB2312"/>
                <w:b w:val="0"/>
                <w:bCs w:val="0"/>
                <w:sz w:val="20"/>
                <w:szCs w:val="20"/>
                <w:vertAlign w:val="baseline"/>
                <w:lang w:val="en-US" w:eastAsia="zh-CN"/>
              </w:rPr>
            </w:pPr>
            <w:r>
              <w:rPr>
                <w:rFonts w:hint="eastAsia" w:cs="仿宋_GB2312"/>
                <w:b w:val="0"/>
                <w:bCs w:val="0"/>
                <w:sz w:val="20"/>
                <w:szCs w:val="20"/>
                <w:vertAlign w:val="baseline"/>
                <w:lang w:val="en-US" w:eastAsia="zh-CN"/>
              </w:rPr>
              <w:t>十月</w:t>
            </w:r>
          </w:p>
        </w:tc>
        <w:tc>
          <w:tcPr>
            <w:tcW w:w="2800" w:type="dxa"/>
            <w:vAlign w:val="center"/>
          </w:tcPr>
          <w:p>
            <w:pPr>
              <w:pStyle w:val="2"/>
              <w:spacing w:before="55"/>
              <w:ind w:left="0" w:leftChars="0" w:right="0" w:rightChars="0"/>
              <w:jc w:val="center"/>
              <w:rPr>
                <w:rFonts w:hint="eastAsia" w:ascii="仿宋_GB2312" w:hAnsi="仿宋_GB2312" w:eastAsia="仿宋_GB2312"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餐饮行业食品安全问题</w:t>
            </w:r>
          </w:p>
          <w:p>
            <w:pPr>
              <w:pStyle w:val="2"/>
              <w:spacing w:before="55"/>
              <w:ind w:left="0" w:leftChars="0" w:right="0" w:rightChars="0"/>
              <w:jc w:val="center"/>
              <w:rPr>
                <w:rFonts w:hint="eastAsia" w:ascii="仿宋_GB2312" w:hAnsi="仿宋_GB2312" w:eastAsia="仿宋_GB2312"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主责单位：区市场监管局</w:t>
            </w:r>
          </w:p>
        </w:tc>
        <w:tc>
          <w:tcPr>
            <w:tcW w:w="5635" w:type="dxa"/>
            <w:vAlign w:val="top"/>
          </w:tcPr>
          <w:p>
            <w:pPr>
              <w:pStyle w:val="2"/>
              <w:spacing w:before="55"/>
              <w:ind w:left="0" w:leftChars="0" w:right="0" w:rightChars="0"/>
              <w:jc w:val="both"/>
              <w:rPr>
                <w:rFonts w:hint="eastAsia" w:ascii="仿宋_GB2312" w:hAnsi="仿宋_GB2312" w:eastAsia="仿宋_GB2312"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密云区市场监督管理局坚持“源头严防、过程严管、风险严控”的监管措施，制发《密云区市场监督管理局推动解决“餐饮行业食品安全问题”工作方案》，创新监管方式方法，强化监管能力建设，不断提升依法监管、科学监管的能力和水平，严厉打击食品安全违法行为，着力消除餐饮食品安全隐患，各项工作稳步推进。</w:t>
            </w:r>
          </w:p>
        </w:tc>
        <w:tc>
          <w:tcPr>
            <w:tcW w:w="2782" w:type="dxa"/>
            <w:vAlign w:val="top"/>
          </w:tcPr>
          <w:p>
            <w:pPr>
              <w:pStyle w:val="2"/>
              <w:spacing w:before="55"/>
              <w:ind w:left="0" w:leftChars="0" w:right="0" w:rightChars="0"/>
              <w:jc w:val="both"/>
              <w:rPr>
                <w:rFonts w:hint="eastAsia"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问题</w:t>
            </w:r>
            <w:r>
              <w:rPr>
                <w:rFonts w:hint="eastAsia" w:cs="仿宋_GB2312"/>
                <w:sz w:val="20"/>
                <w:szCs w:val="20"/>
                <w:vertAlign w:val="baseline"/>
                <w:lang w:val="en-US" w:eastAsia="zh-CN"/>
              </w:rPr>
              <w:t>工单</w:t>
            </w:r>
            <w:r>
              <w:rPr>
                <w:rFonts w:hint="eastAsia" w:ascii="仿宋_GB2312" w:hAnsi="仿宋_GB2312" w:eastAsia="仿宋_GB2312" w:cs="仿宋_GB2312"/>
                <w:sz w:val="20"/>
                <w:szCs w:val="20"/>
                <w:vertAlign w:val="baseline"/>
                <w:lang w:val="en-US" w:eastAsia="zh-CN"/>
              </w:rPr>
              <w:t>31件</w:t>
            </w:r>
            <w:r>
              <w:rPr>
                <w:rFonts w:hint="eastAsia" w:cs="仿宋_GB2312"/>
                <w:sz w:val="20"/>
                <w:szCs w:val="20"/>
                <w:vertAlign w:val="baseline"/>
                <w:lang w:val="en-US" w:eastAsia="zh-CN"/>
              </w:rPr>
              <w:t>；</w:t>
            </w:r>
          </w:p>
          <w:p>
            <w:pPr>
              <w:pStyle w:val="2"/>
              <w:spacing w:before="55"/>
              <w:ind w:left="0" w:leftChars="0" w:right="0" w:rightChars="0"/>
              <w:jc w:val="both"/>
              <w:rPr>
                <w:rFonts w:hint="eastAsia" w:ascii="仿宋_GB2312" w:hAnsi="仿宋_GB2312" w:eastAsia="仿宋_GB2312"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诉求分布在食品异物12件、食品变质变质15件，其他4件。</w:t>
            </w:r>
          </w:p>
        </w:tc>
        <w:tc>
          <w:tcPr>
            <w:tcW w:w="2424" w:type="dxa"/>
            <w:vAlign w:val="top"/>
          </w:tcPr>
          <w:p>
            <w:pPr>
              <w:pStyle w:val="2"/>
              <w:spacing w:before="55"/>
              <w:ind w:left="0" w:leftChars="0" w:right="0" w:rightChars="0"/>
              <w:jc w:val="both"/>
              <w:rPr>
                <w:rFonts w:hint="eastAsia" w:ascii="仿宋_GB2312" w:hAnsi="仿宋_GB2312" w:eastAsia="仿宋_GB2312"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健全工作机制，创新工作方法，进一步推进阳光餐饮建设，提升餐饮业品质。引导餐饮企业充分接受社会监督。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12" w:hRule="atLeast"/>
          <w:jc w:val="center"/>
        </w:trPr>
        <w:tc>
          <w:tcPr>
            <w:tcW w:w="925" w:type="dxa"/>
            <w:vAlign w:val="center"/>
          </w:tcPr>
          <w:p>
            <w:pPr>
              <w:pStyle w:val="2"/>
              <w:spacing w:before="55"/>
              <w:ind w:left="0" w:leftChars="0" w:right="0" w:rightChars="0"/>
              <w:jc w:val="center"/>
              <w:rPr>
                <w:rFonts w:hint="default" w:cs="仿宋_GB2312"/>
                <w:b w:val="0"/>
                <w:bCs w:val="0"/>
                <w:sz w:val="20"/>
                <w:szCs w:val="20"/>
                <w:vertAlign w:val="baseline"/>
                <w:lang w:val="en-US" w:eastAsia="zh-CN"/>
              </w:rPr>
            </w:pPr>
            <w:r>
              <w:rPr>
                <w:rFonts w:hint="eastAsia" w:cs="仿宋_GB2312"/>
                <w:b w:val="0"/>
                <w:bCs w:val="0"/>
                <w:sz w:val="20"/>
                <w:szCs w:val="20"/>
                <w:vertAlign w:val="baseline"/>
                <w:lang w:val="en-US" w:eastAsia="zh-CN"/>
              </w:rPr>
              <w:t>20</w:t>
            </w:r>
          </w:p>
        </w:tc>
        <w:tc>
          <w:tcPr>
            <w:tcW w:w="1050" w:type="dxa"/>
            <w:vAlign w:val="center"/>
          </w:tcPr>
          <w:p>
            <w:pPr>
              <w:pStyle w:val="2"/>
              <w:spacing w:before="55"/>
              <w:ind w:left="0" w:leftChars="0" w:right="0" w:rightChars="0"/>
              <w:jc w:val="center"/>
              <w:rPr>
                <w:rFonts w:hint="default" w:cs="仿宋_GB2312"/>
                <w:b w:val="0"/>
                <w:bCs w:val="0"/>
                <w:sz w:val="20"/>
                <w:szCs w:val="20"/>
                <w:vertAlign w:val="baseline"/>
                <w:lang w:val="en-US" w:eastAsia="zh-CN"/>
              </w:rPr>
            </w:pPr>
            <w:r>
              <w:rPr>
                <w:rFonts w:hint="eastAsia" w:cs="仿宋_GB2312"/>
                <w:b w:val="0"/>
                <w:bCs w:val="0"/>
                <w:sz w:val="20"/>
                <w:szCs w:val="20"/>
                <w:vertAlign w:val="baseline"/>
                <w:lang w:val="en-US" w:eastAsia="zh-CN"/>
              </w:rPr>
              <w:t>十一月</w:t>
            </w:r>
          </w:p>
        </w:tc>
        <w:tc>
          <w:tcPr>
            <w:tcW w:w="2800" w:type="dxa"/>
            <w:vAlign w:val="center"/>
          </w:tcPr>
          <w:p>
            <w:pPr>
              <w:pStyle w:val="2"/>
              <w:spacing w:before="55"/>
              <w:ind w:left="0" w:leftChars="0" w:right="0" w:rightChars="0"/>
              <w:jc w:val="center"/>
              <w:rPr>
                <w:rFonts w:hint="eastAsia" w:ascii="仿宋_GB2312" w:hAnsi="仿宋_GB2312" w:eastAsia="仿宋_GB2312"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噪声扰民问题</w:t>
            </w:r>
          </w:p>
          <w:p>
            <w:pPr>
              <w:pStyle w:val="2"/>
              <w:spacing w:before="55"/>
              <w:ind w:left="0" w:leftChars="0" w:right="0" w:rightChars="0"/>
              <w:jc w:val="center"/>
              <w:rPr>
                <w:rFonts w:hint="eastAsia" w:ascii="仿宋_GB2312" w:hAnsi="仿宋_GB2312" w:eastAsia="仿宋_GB2312"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主责单位：区生态环境局</w:t>
            </w:r>
          </w:p>
        </w:tc>
        <w:tc>
          <w:tcPr>
            <w:tcW w:w="5635" w:type="dxa"/>
            <w:vAlign w:val="top"/>
          </w:tcPr>
          <w:p>
            <w:pPr>
              <w:pStyle w:val="2"/>
              <w:spacing w:before="55"/>
              <w:ind w:left="0" w:leftChars="0" w:right="0" w:rightChars="0"/>
              <w:jc w:val="both"/>
              <w:rPr>
                <w:rFonts w:hint="eastAsia" w:ascii="仿宋_GB2312" w:hAnsi="仿宋_GB2312" w:eastAsia="仿宋_GB2312"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1.加大噪声防治执法力度，强化噪声扰民日常监管工作。区生态环境局对15家工业企业进行噪声执法检查。</w:t>
            </w:r>
          </w:p>
          <w:p>
            <w:pPr>
              <w:pStyle w:val="2"/>
              <w:spacing w:before="55"/>
              <w:ind w:left="0" w:leftChars="0" w:right="0" w:rightChars="0"/>
              <w:jc w:val="both"/>
              <w:rPr>
                <w:rFonts w:hint="eastAsia" w:ascii="仿宋_GB2312" w:hAnsi="仿宋_GB2312" w:eastAsia="仿宋_GB2312"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2.2022年1月18日以来区住建委夜施审批0件。</w:t>
            </w:r>
          </w:p>
          <w:p>
            <w:pPr>
              <w:pStyle w:val="2"/>
              <w:spacing w:before="55"/>
              <w:ind w:left="0" w:leftChars="0" w:right="0" w:rightChars="0"/>
              <w:jc w:val="both"/>
              <w:rPr>
                <w:rFonts w:hint="eastAsia" w:ascii="仿宋_GB2312" w:hAnsi="仿宋_GB2312" w:eastAsia="仿宋_GB2312"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3.全区共受理噪声扰民类信访73件，（其中施工扰民12件、交通噪声4件、公共活动场所噪声4件、鼓风机噪声4件、集体活动噪声13件、邻里噪声9件、商业经营设施噪声4件、其他噪声23件。66件双满，1件单满，6件双否）。6件双否工单主要反应问题为交通噪声3件，承办单位巨各庄镇政府；商业经营类噪声1件，承办单位区体育局；运输装卸噪声1件，承办单位檀州资源公司；空调室外机噪声，承办单位心连心城服公司。全区噪声投诉举报量最高的镇（街）为鼓楼街道噪声投诉举报23件。</w:t>
            </w:r>
          </w:p>
        </w:tc>
        <w:tc>
          <w:tcPr>
            <w:tcW w:w="2782" w:type="dxa"/>
            <w:vAlign w:val="top"/>
          </w:tcPr>
          <w:p>
            <w:pPr>
              <w:pStyle w:val="2"/>
              <w:spacing w:before="55"/>
              <w:ind w:left="0" w:leftChars="0" w:right="0" w:rightChars="0"/>
              <w:jc w:val="both"/>
              <w:rPr>
                <w:rFonts w:hint="eastAsia"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问题工单106件</w:t>
            </w:r>
            <w:r>
              <w:rPr>
                <w:rFonts w:hint="eastAsia" w:cs="仿宋_GB2312"/>
                <w:sz w:val="20"/>
                <w:szCs w:val="20"/>
                <w:vertAlign w:val="baseline"/>
                <w:lang w:val="en-US" w:eastAsia="zh-CN"/>
              </w:rPr>
              <w:t>；</w:t>
            </w:r>
          </w:p>
          <w:p>
            <w:pPr>
              <w:pStyle w:val="2"/>
              <w:spacing w:before="55"/>
              <w:ind w:left="0" w:leftChars="0" w:right="0" w:rightChars="0"/>
              <w:jc w:val="both"/>
              <w:rPr>
                <w:rFonts w:hint="eastAsia" w:ascii="仿宋_GB2312" w:hAnsi="仿宋_GB2312" w:eastAsia="仿宋_GB2312"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主要涉及点位：檀营地区檀营生态城北区、鼓楼街道华远市场、果园街道季庄小区、鼓楼街道沿湖小区、鼓楼街道檀城东区、河南寨镇金沟村、巨各庄镇塘峪村等。</w:t>
            </w:r>
          </w:p>
        </w:tc>
        <w:tc>
          <w:tcPr>
            <w:tcW w:w="2424" w:type="dxa"/>
            <w:vAlign w:val="top"/>
          </w:tcPr>
          <w:p>
            <w:pPr>
              <w:pStyle w:val="2"/>
              <w:spacing w:before="55"/>
              <w:ind w:left="0" w:leftChars="0" w:right="0" w:rightChars="0"/>
              <w:jc w:val="both"/>
              <w:rPr>
                <w:rFonts w:hint="eastAsia" w:ascii="仿宋_GB2312" w:hAnsi="仿宋_GB2312" w:eastAsia="仿宋_GB2312" w:cs="仿宋_GB2312"/>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21" w:hRule="atLeast"/>
          <w:jc w:val="center"/>
        </w:trPr>
        <w:tc>
          <w:tcPr>
            <w:tcW w:w="925" w:type="dxa"/>
            <w:vAlign w:val="center"/>
          </w:tcPr>
          <w:p>
            <w:pPr>
              <w:pStyle w:val="2"/>
              <w:spacing w:before="55"/>
              <w:ind w:left="0" w:leftChars="0" w:right="0" w:rightChars="0"/>
              <w:jc w:val="center"/>
              <w:rPr>
                <w:rFonts w:hint="default" w:cs="仿宋_GB2312"/>
                <w:b w:val="0"/>
                <w:bCs w:val="0"/>
                <w:sz w:val="20"/>
                <w:szCs w:val="20"/>
                <w:vertAlign w:val="baseline"/>
                <w:lang w:val="en-US" w:eastAsia="zh-CN"/>
              </w:rPr>
            </w:pPr>
            <w:r>
              <w:rPr>
                <w:rFonts w:hint="eastAsia" w:cs="仿宋_GB2312"/>
                <w:b w:val="0"/>
                <w:bCs w:val="0"/>
                <w:sz w:val="20"/>
                <w:szCs w:val="20"/>
                <w:vertAlign w:val="baseline"/>
                <w:lang w:val="en-US" w:eastAsia="zh-CN"/>
              </w:rPr>
              <w:t>21</w:t>
            </w:r>
          </w:p>
        </w:tc>
        <w:tc>
          <w:tcPr>
            <w:tcW w:w="1050" w:type="dxa"/>
            <w:vAlign w:val="center"/>
          </w:tcPr>
          <w:p>
            <w:pPr>
              <w:pStyle w:val="2"/>
              <w:spacing w:before="55"/>
              <w:ind w:left="0" w:leftChars="0" w:right="0" w:rightChars="0"/>
              <w:jc w:val="center"/>
              <w:rPr>
                <w:rFonts w:hint="default" w:cs="仿宋_GB2312"/>
                <w:b w:val="0"/>
                <w:bCs w:val="0"/>
                <w:sz w:val="20"/>
                <w:szCs w:val="20"/>
                <w:vertAlign w:val="baseline"/>
                <w:lang w:val="en-US" w:eastAsia="zh-CN"/>
              </w:rPr>
            </w:pPr>
            <w:r>
              <w:rPr>
                <w:rFonts w:hint="eastAsia" w:cs="仿宋_GB2312"/>
                <w:b w:val="0"/>
                <w:bCs w:val="0"/>
                <w:sz w:val="20"/>
                <w:szCs w:val="20"/>
                <w:vertAlign w:val="baseline"/>
                <w:lang w:val="en-US" w:eastAsia="zh-CN"/>
              </w:rPr>
              <w:t>十二月</w:t>
            </w:r>
          </w:p>
        </w:tc>
        <w:tc>
          <w:tcPr>
            <w:tcW w:w="2800" w:type="dxa"/>
            <w:vAlign w:val="center"/>
          </w:tcPr>
          <w:p>
            <w:pPr>
              <w:pStyle w:val="2"/>
              <w:spacing w:before="55"/>
              <w:ind w:left="0" w:leftChars="0" w:right="0" w:rightChars="0"/>
              <w:jc w:val="center"/>
              <w:rPr>
                <w:rFonts w:hint="eastAsia" w:ascii="仿宋_GB2312" w:hAnsi="仿宋_GB2312" w:eastAsia="仿宋_GB2312"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0-3岁婴幼儿普惠托育服务</w:t>
            </w:r>
          </w:p>
          <w:p>
            <w:pPr>
              <w:pStyle w:val="2"/>
              <w:spacing w:before="55"/>
              <w:ind w:left="0" w:leftChars="0" w:right="0" w:rightChars="0"/>
              <w:jc w:val="center"/>
              <w:rPr>
                <w:rFonts w:hint="eastAsia" w:ascii="仿宋_GB2312" w:hAnsi="仿宋_GB2312" w:eastAsia="仿宋_GB2312"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资源不足问题</w:t>
            </w:r>
          </w:p>
          <w:p>
            <w:pPr>
              <w:pStyle w:val="2"/>
              <w:spacing w:before="55"/>
              <w:ind w:left="0" w:leftChars="0" w:right="0" w:rightChars="0"/>
              <w:jc w:val="center"/>
              <w:rPr>
                <w:rFonts w:hint="eastAsia" w:ascii="仿宋_GB2312" w:hAnsi="仿宋_GB2312" w:eastAsia="仿宋_GB2312"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主责单位：区卫生健康委</w:t>
            </w:r>
          </w:p>
        </w:tc>
        <w:tc>
          <w:tcPr>
            <w:tcW w:w="5635" w:type="dxa"/>
            <w:vAlign w:val="top"/>
          </w:tcPr>
          <w:p>
            <w:pPr>
              <w:pStyle w:val="2"/>
              <w:spacing w:before="55"/>
              <w:ind w:left="0" w:leftChars="0" w:right="0" w:rightChars="0"/>
              <w:jc w:val="both"/>
              <w:rPr>
                <w:rFonts w:hint="eastAsia" w:ascii="仿宋_GB2312" w:hAnsi="仿宋_GB2312" w:eastAsia="仿宋_GB2312"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已开展托育服务资源供给摸底，建立托育服务台账。</w:t>
            </w:r>
          </w:p>
        </w:tc>
        <w:tc>
          <w:tcPr>
            <w:tcW w:w="2782" w:type="dxa"/>
            <w:vAlign w:val="top"/>
          </w:tcPr>
          <w:p>
            <w:pPr>
              <w:pStyle w:val="2"/>
              <w:spacing w:before="55"/>
              <w:ind w:left="0" w:leftChars="0" w:right="0" w:rightChars="0"/>
              <w:jc w:val="both"/>
              <w:rPr>
                <w:rFonts w:hint="eastAsia" w:ascii="仿宋_GB2312" w:hAnsi="仿宋_GB2312" w:eastAsia="仿宋_GB2312"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无</w:t>
            </w:r>
          </w:p>
        </w:tc>
        <w:tc>
          <w:tcPr>
            <w:tcW w:w="2424" w:type="dxa"/>
            <w:vAlign w:val="top"/>
          </w:tcPr>
          <w:p>
            <w:pPr>
              <w:pStyle w:val="2"/>
              <w:spacing w:before="55"/>
              <w:ind w:left="0" w:leftChars="0" w:right="0" w:rightChars="0"/>
              <w:jc w:val="both"/>
              <w:rPr>
                <w:rFonts w:hint="eastAsia" w:ascii="仿宋_GB2312" w:hAnsi="仿宋_GB2312" w:eastAsia="仿宋_GB2312" w:cs="仿宋_GB2312"/>
                <w:sz w:val="20"/>
                <w:szCs w:val="20"/>
                <w:vertAlign w:val="baseline"/>
                <w:lang w:val="en-US" w:eastAsia="zh-CN"/>
              </w:rPr>
            </w:pPr>
            <w:r>
              <w:rPr>
                <w:rFonts w:hint="eastAsia" w:ascii="仿宋_GB2312" w:hAnsi="仿宋_GB2312" w:eastAsia="仿宋_GB2312" w:cs="仿宋_GB2312"/>
                <w:sz w:val="20"/>
                <w:szCs w:val="20"/>
                <w:vertAlign w:val="baseline"/>
                <w:lang w:val="en-US" w:eastAsia="zh-CN"/>
              </w:rPr>
              <w:t>对已备案的5家托育机构建立托育服务台账。</w:t>
            </w:r>
          </w:p>
        </w:tc>
      </w:tr>
    </w:tbl>
    <w:p>
      <w:pPr>
        <w:rPr>
          <w:rFonts w:hint="eastAsia"/>
          <w:lang w:val="en-US" w:eastAsia="zh-CN"/>
        </w:rPr>
      </w:pPr>
    </w:p>
    <w:p>
      <w:pPr>
        <w:rPr>
          <w:rFonts w:hint="eastAsia"/>
          <w:lang w:val="en-US" w:eastAsia="zh-CN"/>
        </w:rPr>
      </w:pPr>
    </w:p>
    <w:p>
      <w:pPr>
        <w:pStyle w:val="11"/>
        <w:ind w:left="0" w:leftChars="0" w:firstLine="0" w:firstLineChars="0"/>
        <w:rPr>
          <w:rFonts w:hint="default"/>
          <w:lang w:val="en-US" w:eastAsia="zh-CN"/>
        </w:rPr>
      </w:pPr>
    </w:p>
    <w:sectPr>
      <w:pgSz w:w="16838" w:h="11906" w:orient="landscape"/>
      <w:pgMar w:top="283" w:right="720" w:bottom="283" w:left="720" w:header="851" w:footer="992" w:gutter="0"/>
      <w:pgBorders>
        <w:top w:val="none" w:sz="0" w:space="0"/>
        <w:left w:val="none" w:sz="0" w:space="0"/>
        <w:bottom w:val="none" w:sz="0" w:space="0"/>
        <w:right w:val="none" w:sz="0" w:space="0"/>
      </w:pgBorders>
      <w:pgNumType w:fmt="numberInDash"/>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F536F3F-B31D-4818-AAE4-0248F62EA577}"/>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48C562A6-8A29-4524-AC8C-B0A24812BA77}"/>
  </w:font>
  <w:font w:name="方正小标宋_GBK">
    <w:panose1 w:val="03000509000000000000"/>
    <w:charset w:val="86"/>
    <w:family w:val="auto"/>
    <w:pitch w:val="default"/>
    <w:sig w:usb0="00000000" w:usb1="00000000" w:usb2="00000000" w:usb3="00000000" w:csb0="00000000" w:csb1="00000000"/>
    <w:embedRegular r:id="rId3" w:fontKey="{1517103C-888E-493A-8A52-D8081832A71D}"/>
  </w:font>
  <w:font w:name="楷体_GB2312">
    <w:panose1 w:val="02010609030101010101"/>
    <w:charset w:val="86"/>
    <w:family w:val="auto"/>
    <w:pitch w:val="default"/>
    <w:sig w:usb0="00000001" w:usb1="080E0000" w:usb2="00000000" w:usb3="00000000" w:csb0="00040000" w:csb1="00000000"/>
    <w:embedRegular r:id="rId4" w:fontKey="{F6ECC8BF-509C-4582-A927-2194030BAB90}"/>
  </w:font>
  <w:font w:name="方正小标宋简体">
    <w:panose1 w:val="03000509000000000000"/>
    <w:charset w:val="86"/>
    <w:family w:val="auto"/>
    <w:pitch w:val="default"/>
    <w:sig w:usb0="00000001" w:usb1="080E0000" w:usb2="00000000" w:usb3="00000000" w:csb0="00040000" w:csb1="00000000"/>
    <w:embedRegular r:id="rId5" w:fontKey="{C7CBDFEB-79E3-449A-AED8-BA8C9D814D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k3ZmQzOTM5MzcxY2NhY2M3OGE1Nzc3Y2IwYmY5MjYifQ=="/>
  </w:docVars>
  <w:rsids>
    <w:rsidRoot w:val="00000000"/>
    <w:rsid w:val="00911EE1"/>
    <w:rsid w:val="0091378F"/>
    <w:rsid w:val="009721D3"/>
    <w:rsid w:val="009B1FB3"/>
    <w:rsid w:val="010E1FFB"/>
    <w:rsid w:val="01725658"/>
    <w:rsid w:val="01CB1192"/>
    <w:rsid w:val="01E511F3"/>
    <w:rsid w:val="024A64D6"/>
    <w:rsid w:val="03173A2C"/>
    <w:rsid w:val="038112E9"/>
    <w:rsid w:val="03F04426"/>
    <w:rsid w:val="04011FC1"/>
    <w:rsid w:val="044863B9"/>
    <w:rsid w:val="058E1745"/>
    <w:rsid w:val="063B5E82"/>
    <w:rsid w:val="065A7B9F"/>
    <w:rsid w:val="06731023"/>
    <w:rsid w:val="0706091E"/>
    <w:rsid w:val="075A1542"/>
    <w:rsid w:val="079E2883"/>
    <w:rsid w:val="07FF1D65"/>
    <w:rsid w:val="080E7116"/>
    <w:rsid w:val="085119DA"/>
    <w:rsid w:val="090D144D"/>
    <w:rsid w:val="09173C16"/>
    <w:rsid w:val="091E0660"/>
    <w:rsid w:val="094E261A"/>
    <w:rsid w:val="09785D09"/>
    <w:rsid w:val="09DF581B"/>
    <w:rsid w:val="09EC32C4"/>
    <w:rsid w:val="0AA74AF8"/>
    <w:rsid w:val="0ABC3FB7"/>
    <w:rsid w:val="0AD46DD3"/>
    <w:rsid w:val="0AF00D2D"/>
    <w:rsid w:val="0B434BFB"/>
    <w:rsid w:val="0B6B221F"/>
    <w:rsid w:val="0B8B6EA2"/>
    <w:rsid w:val="0BA57DE9"/>
    <w:rsid w:val="0C475403"/>
    <w:rsid w:val="0CD16EB6"/>
    <w:rsid w:val="0D323B7B"/>
    <w:rsid w:val="0E5532F6"/>
    <w:rsid w:val="0E6412C5"/>
    <w:rsid w:val="0E9B7E64"/>
    <w:rsid w:val="0ED31954"/>
    <w:rsid w:val="0F1D513F"/>
    <w:rsid w:val="0F707076"/>
    <w:rsid w:val="0FF25C71"/>
    <w:rsid w:val="10B75F76"/>
    <w:rsid w:val="10C33CAD"/>
    <w:rsid w:val="11A52E58"/>
    <w:rsid w:val="11C06567"/>
    <w:rsid w:val="11FB7BEA"/>
    <w:rsid w:val="12787B48"/>
    <w:rsid w:val="12B74EA4"/>
    <w:rsid w:val="12CA599D"/>
    <w:rsid w:val="13BF78B3"/>
    <w:rsid w:val="140506AF"/>
    <w:rsid w:val="147A2D89"/>
    <w:rsid w:val="15435FCB"/>
    <w:rsid w:val="15B5628A"/>
    <w:rsid w:val="15BA7441"/>
    <w:rsid w:val="163A31D4"/>
    <w:rsid w:val="173E7321"/>
    <w:rsid w:val="189775FC"/>
    <w:rsid w:val="18A963D9"/>
    <w:rsid w:val="194164C5"/>
    <w:rsid w:val="198D6D32"/>
    <w:rsid w:val="19A36D4C"/>
    <w:rsid w:val="19AB37CA"/>
    <w:rsid w:val="1A4464C1"/>
    <w:rsid w:val="1A680672"/>
    <w:rsid w:val="1A90159F"/>
    <w:rsid w:val="1A97570D"/>
    <w:rsid w:val="1B090D19"/>
    <w:rsid w:val="1B5E1E7E"/>
    <w:rsid w:val="1B82033A"/>
    <w:rsid w:val="1BAB3DA6"/>
    <w:rsid w:val="1BDF5788"/>
    <w:rsid w:val="1C1A387E"/>
    <w:rsid w:val="1C600BBE"/>
    <w:rsid w:val="1C764685"/>
    <w:rsid w:val="1C834F7C"/>
    <w:rsid w:val="1D6A35F5"/>
    <w:rsid w:val="1D721CAA"/>
    <w:rsid w:val="1D745321"/>
    <w:rsid w:val="1D777A68"/>
    <w:rsid w:val="1DA405C0"/>
    <w:rsid w:val="1DFB6432"/>
    <w:rsid w:val="1F137D18"/>
    <w:rsid w:val="1F7C73C5"/>
    <w:rsid w:val="204477A0"/>
    <w:rsid w:val="214D349D"/>
    <w:rsid w:val="230E685F"/>
    <w:rsid w:val="2325562D"/>
    <w:rsid w:val="23522413"/>
    <w:rsid w:val="23B24463"/>
    <w:rsid w:val="241A7AF3"/>
    <w:rsid w:val="257E7F49"/>
    <w:rsid w:val="25E3232D"/>
    <w:rsid w:val="27024FBF"/>
    <w:rsid w:val="272D3C76"/>
    <w:rsid w:val="27AA5BE2"/>
    <w:rsid w:val="29323C9D"/>
    <w:rsid w:val="29525874"/>
    <w:rsid w:val="29C46270"/>
    <w:rsid w:val="29D41089"/>
    <w:rsid w:val="2A335287"/>
    <w:rsid w:val="2A57117E"/>
    <w:rsid w:val="2AF43873"/>
    <w:rsid w:val="2B225018"/>
    <w:rsid w:val="2B46020C"/>
    <w:rsid w:val="2BCB0BEB"/>
    <w:rsid w:val="2BCD7F13"/>
    <w:rsid w:val="2C6D614E"/>
    <w:rsid w:val="2CFC1926"/>
    <w:rsid w:val="2CFC441B"/>
    <w:rsid w:val="2CFD3799"/>
    <w:rsid w:val="2D105E1F"/>
    <w:rsid w:val="2D5946D2"/>
    <w:rsid w:val="2D5B4E4C"/>
    <w:rsid w:val="2DE61E96"/>
    <w:rsid w:val="2F4B41B9"/>
    <w:rsid w:val="2FBB4E44"/>
    <w:rsid w:val="300D79C7"/>
    <w:rsid w:val="306F4BA2"/>
    <w:rsid w:val="31DF3842"/>
    <w:rsid w:val="322B52A6"/>
    <w:rsid w:val="327301A8"/>
    <w:rsid w:val="33441120"/>
    <w:rsid w:val="33684BE5"/>
    <w:rsid w:val="336942CD"/>
    <w:rsid w:val="33BD1099"/>
    <w:rsid w:val="33FC49DF"/>
    <w:rsid w:val="347B152B"/>
    <w:rsid w:val="347E1F44"/>
    <w:rsid w:val="34D42349"/>
    <w:rsid w:val="353848A8"/>
    <w:rsid w:val="354D1C91"/>
    <w:rsid w:val="35865788"/>
    <w:rsid w:val="35F535D9"/>
    <w:rsid w:val="37330284"/>
    <w:rsid w:val="37AF7979"/>
    <w:rsid w:val="380531F5"/>
    <w:rsid w:val="385F645E"/>
    <w:rsid w:val="38B407BA"/>
    <w:rsid w:val="394C2C99"/>
    <w:rsid w:val="39567873"/>
    <w:rsid w:val="3B4B1594"/>
    <w:rsid w:val="3BFA244D"/>
    <w:rsid w:val="3C474DB2"/>
    <w:rsid w:val="3C4F4D9C"/>
    <w:rsid w:val="3C584B8A"/>
    <w:rsid w:val="3DB304F2"/>
    <w:rsid w:val="3E384CBC"/>
    <w:rsid w:val="3E4E2471"/>
    <w:rsid w:val="3EC228A4"/>
    <w:rsid w:val="3F015DE4"/>
    <w:rsid w:val="3F5A282F"/>
    <w:rsid w:val="3FB96DE9"/>
    <w:rsid w:val="400E4ACB"/>
    <w:rsid w:val="402C319A"/>
    <w:rsid w:val="40D71F42"/>
    <w:rsid w:val="40E72D16"/>
    <w:rsid w:val="41117683"/>
    <w:rsid w:val="41A702B3"/>
    <w:rsid w:val="41F03643"/>
    <w:rsid w:val="42DA2295"/>
    <w:rsid w:val="435F5950"/>
    <w:rsid w:val="43996CCD"/>
    <w:rsid w:val="441D19BF"/>
    <w:rsid w:val="44AD579C"/>
    <w:rsid w:val="44BA36B9"/>
    <w:rsid w:val="44E61AA7"/>
    <w:rsid w:val="455A5D46"/>
    <w:rsid w:val="46824B39"/>
    <w:rsid w:val="468C557D"/>
    <w:rsid w:val="469876F4"/>
    <w:rsid w:val="46D82B43"/>
    <w:rsid w:val="470A316C"/>
    <w:rsid w:val="471F57BA"/>
    <w:rsid w:val="481E6CAD"/>
    <w:rsid w:val="48BA4EBC"/>
    <w:rsid w:val="49281DC3"/>
    <w:rsid w:val="49414D94"/>
    <w:rsid w:val="4973045E"/>
    <w:rsid w:val="498A5AC6"/>
    <w:rsid w:val="499257F9"/>
    <w:rsid w:val="49E52694"/>
    <w:rsid w:val="4ACB3A0B"/>
    <w:rsid w:val="4B312DBE"/>
    <w:rsid w:val="4B697022"/>
    <w:rsid w:val="4C24038E"/>
    <w:rsid w:val="4C2540DA"/>
    <w:rsid w:val="4C7F756D"/>
    <w:rsid w:val="4CC51B2D"/>
    <w:rsid w:val="4CD35DED"/>
    <w:rsid w:val="4D1B5C23"/>
    <w:rsid w:val="4EAD59C3"/>
    <w:rsid w:val="4EB32A0E"/>
    <w:rsid w:val="4F8C2542"/>
    <w:rsid w:val="4FB225D2"/>
    <w:rsid w:val="4FF93405"/>
    <w:rsid w:val="501B32F3"/>
    <w:rsid w:val="50341A97"/>
    <w:rsid w:val="506625F7"/>
    <w:rsid w:val="508A627E"/>
    <w:rsid w:val="509F7DF6"/>
    <w:rsid w:val="50FC28ED"/>
    <w:rsid w:val="512D6CB0"/>
    <w:rsid w:val="517E540A"/>
    <w:rsid w:val="519A53EE"/>
    <w:rsid w:val="51EC2948"/>
    <w:rsid w:val="522C3415"/>
    <w:rsid w:val="5299126C"/>
    <w:rsid w:val="52FA5D69"/>
    <w:rsid w:val="530D214B"/>
    <w:rsid w:val="53494F7F"/>
    <w:rsid w:val="53804E24"/>
    <w:rsid w:val="541C19EA"/>
    <w:rsid w:val="545531E9"/>
    <w:rsid w:val="54CE1176"/>
    <w:rsid w:val="558856D7"/>
    <w:rsid w:val="55A77E89"/>
    <w:rsid w:val="560A2043"/>
    <w:rsid w:val="56604C3D"/>
    <w:rsid w:val="567540C3"/>
    <w:rsid w:val="569978BD"/>
    <w:rsid w:val="57063200"/>
    <w:rsid w:val="570D6804"/>
    <w:rsid w:val="57BB3F1F"/>
    <w:rsid w:val="57C21ABF"/>
    <w:rsid w:val="581B5034"/>
    <w:rsid w:val="58CE3461"/>
    <w:rsid w:val="58F970F5"/>
    <w:rsid w:val="590A2719"/>
    <w:rsid w:val="590B2198"/>
    <w:rsid w:val="593277EB"/>
    <w:rsid w:val="5960657D"/>
    <w:rsid w:val="5A215B7C"/>
    <w:rsid w:val="5AE23BA6"/>
    <w:rsid w:val="5B1C6768"/>
    <w:rsid w:val="5B3D3675"/>
    <w:rsid w:val="5BC55A61"/>
    <w:rsid w:val="5C003AA1"/>
    <w:rsid w:val="5C8B324C"/>
    <w:rsid w:val="5D190F57"/>
    <w:rsid w:val="5F096C86"/>
    <w:rsid w:val="5F692F1A"/>
    <w:rsid w:val="5FB8578D"/>
    <w:rsid w:val="607737D3"/>
    <w:rsid w:val="60C51E93"/>
    <w:rsid w:val="618A365B"/>
    <w:rsid w:val="61D57581"/>
    <w:rsid w:val="62623731"/>
    <w:rsid w:val="628E3265"/>
    <w:rsid w:val="634D2E5C"/>
    <w:rsid w:val="63964E61"/>
    <w:rsid w:val="63A51F96"/>
    <w:rsid w:val="63DF56F0"/>
    <w:rsid w:val="644A4A97"/>
    <w:rsid w:val="64F24635"/>
    <w:rsid w:val="64F51FB7"/>
    <w:rsid w:val="654E5671"/>
    <w:rsid w:val="657011A9"/>
    <w:rsid w:val="657D7EDE"/>
    <w:rsid w:val="65882F94"/>
    <w:rsid w:val="65973DC0"/>
    <w:rsid w:val="65A24D91"/>
    <w:rsid w:val="66404416"/>
    <w:rsid w:val="670E2C61"/>
    <w:rsid w:val="671A29F5"/>
    <w:rsid w:val="677E5613"/>
    <w:rsid w:val="67F00B7B"/>
    <w:rsid w:val="67F52347"/>
    <w:rsid w:val="685510D5"/>
    <w:rsid w:val="689E7FE2"/>
    <w:rsid w:val="692A63D1"/>
    <w:rsid w:val="692F45B1"/>
    <w:rsid w:val="699661B1"/>
    <w:rsid w:val="69DB5E08"/>
    <w:rsid w:val="6A11213F"/>
    <w:rsid w:val="6A3F4EE6"/>
    <w:rsid w:val="6A426D56"/>
    <w:rsid w:val="6A556154"/>
    <w:rsid w:val="6AA3033C"/>
    <w:rsid w:val="6AA913FF"/>
    <w:rsid w:val="6ABC21C1"/>
    <w:rsid w:val="6ADC0AED"/>
    <w:rsid w:val="6BCB3352"/>
    <w:rsid w:val="6BE72AB5"/>
    <w:rsid w:val="6C645960"/>
    <w:rsid w:val="6CB053DF"/>
    <w:rsid w:val="6CC458CA"/>
    <w:rsid w:val="6D070E60"/>
    <w:rsid w:val="6D437EC6"/>
    <w:rsid w:val="6D4578FD"/>
    <w:rsid w:val="6DC924CB"/>
    <w:rsid w:val="6DE74460"/>
    <w:rsid w:val="6E261F3F"/>
    <w:rsid w:val="6E7C7E46"/>
    <w:rsid w:val="6E9831D9"/>
    <w:rsid w:val="6EF15B11"/>
    <w:rsid w:val="6EF977A4"/>
    <w:rsid w:val="6F0D6CDB"/>
    <w:rsid w:val="6F3A29C7"/>
    <w:rsid w:val="70054E3E"/>
    <w:rsid w:val="700E4B07"/>
    <w:rsid w:val="703E08FC"/>
    <w:rsid w:val="708D2743"/>
    <w:rsid w:val="708F4FAB"/>
    <w:rsid w:val="70B039FC"/>
    <w:rsid w:val="70CC1A58"/>
    <w:rsid w:val="70D16BD3"/>
    <w:rsid w:val="716E1573"/>
    <w:rsid w:val="71A928BA"/>
    <w:rsid w:val="720B0242"/>
    <w:rsid w:val="7234375A"/>
    <w:rsid w:val="72E43F9C"/>
    <w:rsid w:val="72FF7F5F"/>
    <w:rsid w:val="73330B8C"/>
    <w:rsid w:val="738F1A28"/>
    <w:rsid w:val="73B065DF"/>
    <w:rsid w:val="73B850F9"/>
    <w:rsid w:val="73E9288F"/>
    <w:rsid w:val="745030E5"/>
    <w:rsid w:val="74D93E1F"/>
    <w:rsid w:val="757F6C64"/>
    <w:rsid w:val="75A42B19"/>
    <w:rsid w:val="75A96964"/>
    <w:rsid w:val="76057D43"/>
    <w:rsid w:val="77A416A0"/>
    <w:rsid w:val="77B8425F"/>
    <w:rsid w:val="78053D81"/>
    <w:rsid w:val="78544592"/>
    <w:rsid w:val="79626336"/>
    <w:rsid w:val="7A64556D"/>
    <w:rsid w:val="7AA1164B"/>
    <w:rsid w:val="7AD1001B"/>
    <w:rsid w:val="7AE336A3"/>
    <w:rsid w:val="7B8D33E2"/>
    <w:rsid w:val="7BB222EA"/>
    <w:rsid w:val="7CBA42BA"/>
    <w:rsid w:val="7D165655"/>
    <w:rsid w:val="7D1744C8"/>
    <w:rsid w:val="7DF86B77"/>
    <w:rsid w:val="7E01556A"/>
    <w:rsid w:val="7E590BE8"/>
    <w:rsid w:val="7E8E2A59"/>
    <w:rsid w:val="7EC76E00"/>
    <w:rsid w:val="7EDE1D6A"/>
    <w:rsid w:val="7F134F65"/>
    <w:rsid w:val="7F556626"/>
    <w:rsid w:val="7F8715AE"/>
    <w:rsid w:val="7F9646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semiHidden/>
    <w:qFormat/>
    <w:uiPriority w:val="0"/>
  </w:style>
  <w:style w:type="table" w:default="1" w:styleId="9">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next w:val="3"/>
    <w:qFormat/>
    <w:uiPriority w:val="1"/>
    <w:rPr>
      <w:rFonts w:ascii="仿宋_GB2312" w:hAnsi="仿宋_GB2312" w:eastAsia="仿宋_GB2312" w:cs="仿宋_GB2312"/>
      <w:sz w:val="32"/>
      <w:szCs w:val="32"/>
      <w:lang w:val="zh-CN" w:eastAsia="zh-CN" w:bidi="zh-CN"/>
    </w:rPr>
  </w:style>
  <w:style w:type="paragraph" w:customStyle="1" w:styleId="3">
    <w:name w:val="toc 1_b958cacf-7e5f-454f-8c5b-6e15b77831f9"/>
    <w:next w:val="1"/>
    <w:qFormat/>
    <w:uiPriority w:val="0"/>
    <w:pPr>
      <w:wordWrap w:val="0"/>
      <w:jc w:val="both"/>
    </w:pPr>
    <w:rPr>
      <w:rFonts w:ascii="Times New Roman" w:hAnsi="Times New Roman" w:eastAsia="宋体" w:cs="Times New Roman"/>
      <w:sz w:val="21"/>
      <w:szCs w:val="22"/>
      <w:lang w:val="en-US" w:eastAsia="zh-CN" w:bidi="ar-SA"/>
    </w:rPr>
  </w:style>
  <w:style w:type="paragraph" w:styleId="4">
    <w:name w:val="Normal Indent"/>
    <w:basedOn w:val="1"/>
    <w:unhideWhenUsed/>
    <w:qFormat/>
    <w:uiPriority w:val="99"/>
    <w:pPr>
      <w:ind w:firstLine="420" w:firstLineChars="20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index 9"/>
    <w:basedOn w:val="1"/>
    <w:next w:val="1"/>
    <w:qFormat/>
    <w:uiPriority w:val="0"/>
    <w:pPr>
      <w:ind w:left="1600" w:leftChars="1600"/>
    </w:p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1">
    <w:name w:val="Index9"/>
    <w:basedOn w:val="1"/>
    <w:next w:val="1"/>
    <w:qFormat/>
    <w:uiPriority w:val="0"/>
    <w:pPr>
      <w:ind w:left="1600" w:leftChars="1600"/>
    </w:pPr>
    <w:rPr>
      <w:rFonts w:ascii="Calibri" w:hAnsi="Calibri" w:eastAsia="宋体"/>
    </w:rPr>
  </w:style>
  <w:style w:type="character" w:customStyle="1" w:styleId="12">
    <w:name w:val="font21"/>
    <w:basedOn w:val="8"/>
    <w:qFormat/>
    <w:uiPriority w:val="0"/>
    <w:rPr>
      <w:rFonts w:hint="eastAsia" w:ascii="仿宋_GB2312" w:eastAsia="仿宋_GB2312" w:cs="仿宋_GB2312"/>
      <w:b/>
      <w:color w:val="000000"/>
      <w:sz w:val="28"/>
      <w:szCs w:val="28"/>
      <w:u w:val="none"/>
    </w:rPr>
  </w:style>
  <w:style w:type="character" w:customStyle="1" w:styleId="13">
    <w:name w:val="font31"/>
    <w:basedOn w:val="8"/>
    <w:qFormat/>
    <w:uiPriority w:val="0"/>
    <w:rPr>
      <w:rFonts w:hint="eastAsia" w:ascii="仿宋_GB2312" w:eastAsia="仿宋_GB2312" w:cs="仿宋_GB2312"/>
      <w:color w:val="000000"/>
      <w:sz w:val="28"/>
      <w:szCs w:val="28"/>
      <w:u w:val="none"/>
    </w:rPr>
  </w:style>
  <w:style w:type="character" w:customStyle="1" w:styleId="14">
    <w:name w:val="font41"/>
    <w:basedOn w:val="8"/>
    <w:qFormat/>
    <w:uiPriority w:val="0"/>
    <w:rPr>
      <w:rFonts w:hint="eastAsia" w:ascii="宋体" w:hAnsi="宋体" w:eastAsia="宋体" w:cs="宋体"/>
      <w:color w:val="000000"/>
      <w:sz w:val="24"/>
      <w:szCs w:val="24"/>
      <w:u w:val="none"/>
    </w:rPr>
  </w:style>
  <w:style w:type="character" w:customStyle="1" w:styleId="15">
    <w:name w:val="font51"/>
    <w:basedOn w:val="8"/>
    <w:qFormat/>
    <w:uiPriority w:val="0"/>
    <w:rPr>
      <w:rFonts w:hint="eastAsia" w:ascii="黑体" w:hAnsi="宋体" w:eastAsia="黑体" w:cs="黑体"/>
      <w:color w:val="000000"/>
      <w:sz w:val="22"/>
      <w:szCs w:val="22"/>
      <w:u w:val="none"/>
    </w:rPr>
  </w:style>
  <w:style w:type="character" w:customStyle="1" w:styleId="16">
    <w:name w:val="font11"/>
    <w:basedOn w:val="8"/>
    <w:qFormat/>
    <w:uiPriority w:val="0"/>
    <w:rPr>
      <w:rFonts w:hint="eastAsia" w:ascii="宋体" w:hAnsi="宋体" w:eastAsia="宋体" w:cs="宋体"/>
      <w:color w:val="FF0000"/>
      <w:sz w:val="21"/>
      <w:szCs w:val="21"/>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8498</Words>
  <Characters>11179</Characters>
  <Lines>0</Lines>
  <Paragraphs>0</Paragraphs>
  <TotalTime>4</TotalTime>
  <ScaleCrop>false</ScaleCrop>
  <LinksUpToDate>false</LinksUpToDate>
  <CharactersWithSpaces>11367</CharactersWithSpaces>
  <Application>WPS Office_10.8.2.6784_F1E327BC-269C-435d-A152-05C5408002CA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2021-07-28T06:25:00Z</dcterms:created>
  <dc:creator>user</dc:creator>
  <cp:lastModifiedBy>admin</cp:lastModifiedBy>
  <cp:lastPrinted>2021-12-02T08:51:00Z</cp:lastPrinted>
  <dcterms:modified xsi:type="dcterms:W3CDTF">2022-07-07T08:30:21Z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2052-10.8.2.6784</vt:lpwstr>
  </property>
  <property fmtid="{D5CDD505-2E9C-101B-9397-08002B2CF9AE}" pid="3" name="KSOSaveFontToCloudKey">
    <vt:lpwstr>570703698_cloud</vt:lpwstr>
  </property>
  <property fmtid="{D5CDD505-2E9C-101B-9397-08002B2CF9AE}" pid="4" name="ICV">
    <vt:lpwstr>EFF45F09F61F44B1821310ADED71C7C5</vt:lpwstr>
  </property>
</Properties>
</file>