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napToGrid w:val="0"/>
        <w:spacing w:line="560" w:lineRule="exact"/>
        <w:ind w:right="316"/>
        <w:jc w:val="right"/>
        <w:textAlignment w:val="auto"/>
        <w:outlineLvl w:val="9"/>
        <w:rPr>
          <w:rFonts w:ascii="方正小标宋简体" w:hAnsi="仿宋" w:eastAsia="方正小标宋简体"/>
          <w:color w:val="FF0000"/>
          <w:sz w:val="44"/>
          <w:szCs w:val="44"/>
        </w:rPr>
      </w:pPr>
      <w:bookmarkStart w:id="0" w:name="_Hlk128470249"/>
      <w:bookmarkStart w:id="1" w:name="_Hlk166484553"/>
      <w:bookmarkStart w:id="2" w:name="_Hlk161666665"/>
      <w:bookmarkStart w:id="3" w:name="_Hlk165995638"/>
      <w:bookmarkStart w:id="4" w:name="_Hlk166075244"/>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673100</wp:posOffset>
                </wp:positionV>
                <wp:extent cx="5819775"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19050">
                          <a:noFill/>
                          <a:round/>
                        </a:ln>
                        <a:effectLst/>
                      </wps:spPr>
                      <wps:bodyPr/>
                    </wps:wsp>
                  </a:graphicData>
                </a:graphic>
              </wp:anchor>
            </w:drawing>
          </mc:Choice>
          <mc:Fallback>
            <w:pict>
              <v:shape id="_x0000_s1026" o:spid="_x0000_s1026" o:spt="32" type="#_x0000_t32" style="position:absolute;left:0pt;margin-left:0.85pt;margin-top:53pt;height:0pt;width:458.25pt;z-index:251662336;mso-width-relative:page;mso-height-relative:page;" filled="f" stroked="f" coordsize="21600,21600" o:gfxdata="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1Ats7UAAAACQEAAA8AAAAAAAAAAQAgAAAAIgAAAGRycy9kb3du&#10;cmV2LnhtbFBLAQIUABQAAAAIAIdO4kAjnd1PygEAAFYDAAAOAAAAAAAAAAEAIAAAACMBAABkcnMv&#10;ZTJvRG9jLnhtbFBLBQYAAAAABgAGAFkBAABfBQAAAAA=&#10;">
                <v:fill on="f" focussize="0,0"/>
                <v:stroke on="f" weight="1.5pt" joinstyle="round"/>
                <v:imagedata o:title=""/>
                <o:lock v:ext="edit" aspectratio="f"/>
              </v:shape>
            </w:pict>
          </mc:Fallback>
        </mc:AlternateContent>
      </w:r>
    </w:p>
    <w:p>
      <w:pPr>
        <w:keepNext w:val="0"/>
        <w:keepLines w:val="0"/>
        <w:pageBreakBefore w:val="0"/>
        <w:widowControl/>
        <w:shd w:val="clear" w:color="auto" w:fill="FFFFFF"/>
        <w:kinsoku/>
        <w:wordWrap/>
        <w:overflowPunct/>
        <w:topLinePunct w:val="0"/>
        <w:autoSpaceDE/>
        <w:autoSpaceDN/>
        <w:bidi w:val="0"/>
        <w:snapToGrid w:val="0"/>
        <w:spacing w:line="560" w:lineRule="exact"/>
        <w:ind w:right="316"/>
        <w:jc w:val="right"/>
        <w:textAlignment w:val="auto"/>
        <w:outlineLvl w:val="9"/>
        <w:rPr>
          <w:rFonts w:ascii="方正小标宋简体" w:hAnsi="仿宋" w:eastAsia="方正小标宋简体"/>
          <w:color w:val="FF0000"/>
          <w:sz w:val="44"/>
          <w:szCs w:val="44"/>
        </w:rPr>
      </w:pPr>
      <w:r>
        <w:rPr>
          <w:rFonts w:ascii="方正小标宋简体" w:hAnsi="仿宋" w:eastAsia="方正小标宋简体"/>
          <w:color w:val="FF0000"/>
          <w:sz w:val="44"/>
          <w:szCs w:val="44"/>
        </w:rPr>
        <mc:AlternateContent>
          <mc:Choice Requires="wps">
            <w:drawing>
              <wp:inline distT="0" distB="0" distL="114300" distR="114300">
                <wp:extent cx="5767070" cy="684530"/>
                <wp:effectExtent l="0" t="0" r="0" b="0"/>
                <wp:docPr id="3" name="文本框 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7387" cy="684530"/>
                        </a:xfrm>
                        <a:prstGeom prst="rect">
                          <a:avLst/>
                        </a:prstGeom>
                        <a:noFill/>
                        <a:ln w="9525">
                          <a:noFill/>
                        </a:ln>
                        <a:effectLst/>
                      </wps:spPr>
                      <wps:txbx>
                        <w:txbxContent>
                          <w:p/>
                        </w:txbxContent>
                      </wps:txbx>
                      <wps:bodyPr wrap="square" numCol="1" fromWordArt="1">
                        <a:prstTxWarp prst="textPlain">
                          <a:avLst>
                            <a:gd name="adj" fmla="val 50000"/>
                          </a:avLst>
                        </a:prstTxWarp>
                        <a:spAutoFit/>
                      </wps:bodyPr>
                    </wps:wsp>
                  </a:graphicData>
                </a:graphic>
              </wp:inline>
            </w:drawing>
          </mc:Choice>
          <mc:Fallback>
            <w:pict>
              <v:shape id="_x0000_s1026" o:spid="_x0000_s1026" o:spt="202" type="#_x0000_t202" style="height:53.9pt;width:454.1pt;" filled="f" stroked="f" coordsize="21600,21600" o:gfxdata="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9&#10;mnE21AAAAAUBAAAPAAAAAAAAAAEAIAAAACIAAABkcnMvZG93bnJldi54bWxQSwECFAAUAAAACACH&#10;TuJAEZOhHigCAAAVBAAADgAAAAAAAAABACAAAAAjAQAAZHJzL2Uyb0RvYy54bWxQSwUGAAAAAAYA&#10;BgBZAQAAvQUAAAAA&#10;" adj="10800">
                <v:fill on="f" focussize="0,0"/>
                <v:stroke on="f"/>
                <v:imagedata o:title=""/>
                <o:lock v:ext="edit" text="t" aspectratio="f"/>
                <v:textbox style="mso-fit-shape-to-text:t;">
                  <w:txbxContent>
                    <w:p/>
                  </w:txbxContent>
                </v:textbox>
                <w10:wrap type="none"/>
                <w10:anchorlock/>
              </v:shape>
            </w:pict>
          </mc:Fallback>
        </mc:AlternateContent>
      </w:r>
    </w:p>
    <w:p>
      <w:pPr>
        <w:keepNext w:val="0"/>
        <w:keepLines w:val="0"/>
        <w:pageBreakBefore w:val="0"/>
        <w:widowControl/>
        <w:shd w:val="clear" w:color="auto" w:fill="FFFFFF"/>
        <w:kinsoku/>
        <w:wordWrap/>
        <w:overflowPunct/>
        <w:topLinePunct w:val="0"/>
        <w:autoSpaceDE/>
        <w:autoSpaceDN/>
        <w:bidi w:val="0"/>
        <w:snapToGrid w:val="0"/>
        <w:spacing w:line="560" w:lineRule="exact"/>
        <w:ind w:right="316"/>
        <w:jc w:val="right"/>
        <w:textAlignment w:val="auto"/>
        <w:outlineLvl w:val="9"/>
        <w:rPr>
          <w:rFonts w:hint="eastAsia" w:ascii="仿宋_GB2312" w:hAnsi="方正小标宋_GBK" w:eastAsia="仿宋_GB2312" w:cs="方正小标宋_GBK"/>
          <w:color w:val="000000"/>
          <w:spacing w:val="-2"/>
          <w:kern w:val="0"/>
          <w:sz w:val="32"/>
          <w:szCs w:val="32"/>
        </w:rPr>
      </w:pPr>
      <w:r>
        <w:rPr>
          <w:rFonts w:hint="eastAsia" w:ascii="仿宋_GB2312" w:hAnsi="方正小标宋_GBK" w:eastAsia="仿宋_GB2312" w:cs="方正小标宋_GBK"/>
          <w:color w:val="000000"/>
          <w:spacing w:val="-2"/>
          <w:kern w:val="0"/>
          <w:sz w:val="32"/>
          <w:szCs w:val="32"/>
        </w:rPr>
        <w:t>密政征告字〔2</w:t>
      </w:r>
      <w:r>
        <w:rPr>
          <w:rFonts w:ascii="仿宋_GB2312" w:hAnsi="方正小标宋_GBK" w:eastAsia="仿宋_GB2312" w:cs="方正小标宋_GBK"/>
          <w:color w:val="000000"/>
          <w:spacing w:val="-2"/>
          <w:kern w:val="0"/>
          <w:sz w:val="32"/>
          <w:szCs w:val="32"/>
        </w:rPr>
        <w:t>02</w:t>
      </w:r>
      <w:r>
        <w:rPr>
          <w:rFonts w:hint="eastAsia" w:ascii="仿宋_GB2312" w:hAnsi="方正小标宋_GBK" w:eastAsia="仿宋_GB2312" w:cs="方正小标宋_GBK"/>
          <w:color w:val="000000"/>
          <w:spacing w:val="-2"/>
          <w:kern w:val="0"/>
          <w:sz w:val="32"/>
          <w:szCs w:val="32"/>
          <w:lang w:val="en-US" w:eastAsia="zh-CN"/>
        </w:rPr>
        <w:t>4</w:t>
      </w:r>
      <w:r>
        <w:rPr>
          <w:rFonts w:hint="eastAsia" w:ascii="仿宋_GB2312" w:hAnsi="方正小标宋_GBK" w:eastAsia="仿宋_GB2312" w:cs="方正小标宋_GBK"/>
          <w:color w:val="000000"/>
          <w:spacing w:val="-2"/>
          <w:kern w:val="0"/>
          <w:sz w:val="32"/>
          <w:szCs w:val="32"/>
        </w:rPr>
        <w:t>〕</w:t>
      </w:r>
      <w:r>
        <w:rPr>
          <w:rFonts w:hint="eastAsia" w:ascii="仿宋_GB2312" w:hAnsi="方正小标宋_GBK" w:eastAsia="仿宋_GB2312" w:cs="方正小标宋_GBK"/>
          <w:color w:val="000000"/>
          <w:spacing w:val="-2"/>
          <w:kern w:val="0"/>
          <w:sz w:val="32"/>
          <w:szCs w:val="32"/>
          <w:lang w:val="en-US" w:eastAsia="zh-CN"/>
        </w:rPr>
        <w:t>9</w:t>
      </w:r>
      <w:r>
        <w:rPr>
          <w:rFonts w:hint="eastAsia" w:ascii="仿宋_GB2312" w:hAnsi="方正小标宋_GBK" w:eastAsia="仿宋_GB2312" w:cs="方正小标宋_GBK"/>
          <w:color w:val="000000"/>
          <w:spacing w:val="-2"/>
          <w:kern w:val="0"/>
          <w:sz w:val="32"/>
          <w:szCs w:val="32"/>
        </w:rPr>
        <w:t>号</w:t>
      </w:r>
    </w:p>
    <w:p>
      <w:pPr>
        <w:keepNext w:val="0"/>
        <w:keepLines w:val="0"/>
        <w:pageBreakBefore w:val="0"/>
        <w:widowControl/>
        <w:shd w:val="clear" w:color="auto" w:fill="FFFFFF"/>
        <w:kinsoku/>
        <w:wordWrap/>
        <w:overflowPunct/>
        <w:topLinePunct w:val="0"/>
        <w:autoSpaceDE/>
        <w:autoSpaceDN/>
        <w:bidi w:val="0"/>
        <w:snapToGrid w:val="0"/>
        <w:spacing w:line="560" w:lineRule="exact"/>
        <w:ind w:right="316"/>
        <w:jc w:val="right"/>
        <w:textAlignment w:val="auto"/>
        <w:outlineLvl w:val="9"/>
        <w:rPr>
          <w:rFonts w:hint="eastAsia" w:ascii="仿宋_GB2312" w:hAnsi="方正小标宋_GBK" w:eastAsia="仿宋_GB2312" w:cs="方正小标宋_GBK"/>
          <w:color w:val="000000"/>
          <w:spacing w:val="-2"/>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outlineLvl w:val="9"/>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北京市密云区人民政府房屋征收办公室</w:t>
      </w:r>
    </w:p>
    <w:p>
      <w:pPr>
        <w:keepNext w:val="0"/>
        <w:keepLines w:val="0"/>
        <w:pageBreakBefore w:val="0"/>
        <w:widowControl/>
        <w:shd w:val="clear" w:color="auto" w:fill="FFFFFF"/>
        <w:kinsoku/>
        <w:wordWrap/>
        <w:topLinePunct w:val="0"/>
        <w:autoSpaceDE/>
        <w:autoSpaceDN/>
        <w:bidi w:val="0"/>
        <w:spacing w:after="0" w:line="560" w:lineRule="exact"/>
        <w:contextualSpacing/>
        <w:jc w:val="center"/>
        <w:rPr>
          <w:rFonts w:hint="eastAsia"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lang w:eastAsia="zh-CN"/>
        </w:rPr>
        <w:t>关于</w:t>
      </w:r>
      <w:r>
        <w:rPr>
          <w:rFonts w:hint="eastAsia" w:ascii="方正小标宋简体" w:hAnsi="微软雅黑" w:eastAsia="方正小标宋简体" w:cs="宋体"/>
          <w:kern w:val="0"/>
          <w:sz w:val="44"/>
          <w:szCs w:val="44"/>
        </w:rPr>
        <w:t>密云区水源路南侧</w:t>
      </w:r>
      <w:r>
        <w:rPr>
          <w:rFonts w:ascii="方正小标宋简体" w:hAnsi="微软雅黑" w:eastAsia="方正小标宋简体" w:cs="宋体"/>
          <w:kern w:val="0"/>
          <w:sz w:val="44"/>
          <w:szCs w:val="44"/>
        </w:rPr>
        <w:t>C-2地块</w:t>
      </w:r>
      <w:bookmarkEnd w:id="0"/>
      <w:r>
        <w:rPr>
          <w:rFonts w:ascii="方正小标宋简体" w:hAnsi="微软雅黑" w:eastAsia="方正小标宋简体" w:cs="宋体"/>
          <w:kern w:val="0"/>
          <w:sz w:val="44"/>
          <w:szCs w:val="44"/>
        </w:rPr>
        <w:t>土地一级</w:t>
      </w:r>
    </w:p>
    <w:p>
      <w:pPr>
        <w:keepNext w:val="0"/>
        <w:keepLines w:val="0"/>
        <w:pageBreakBefore w:val="0"/>
        <w:widowControl/>
        <w:shd w:val="clear" w:color="auto" w:fill="FFFFFF"/>
        <w:kinsoku/>
        <w:wordWrap/>
        <w:topLinePunct w:val="0"/>
        <w:autoSpaceDE/>
        <w:autoSpaceDN/>
        <w:bidi w:val="0"/>
        <w:spacing w:after="0" w:line="560" w:lineRule="exact"/>
        <w:contextualSpacing/>
        <w:jc w:val="center"/>
        <w:rPr>
          <w:rFonts w:hint="eastAsia" w:ascii="方正小标宋简体" w:hAnsi="微软雅黑" w:eastAsia="方正小标宋简体" w:cs="宋体"/>
          <w:kern w:val="0"/>
          <w:sz w:val="44"/>
          <w:szCs w:val="44"/>
        </w:rPr>
      </w:pPr>
      <w:r>
        <w:rPr>
          <w:rFonts w:ascii="方正小标宋简体" w:hAnsi="微软雅黑" w:eastAsia="方正小标宋简体" w:cs="宋体"/>
          <w:kern w:val="0"/>
          <w:sz w:val="44"/>
          <w:szCs w:val="44"/>
        </w:rPr>
        <w:t>开发项目</w:t>
      </w:r>
      <w:bookmarkEnd w:id="1"/>
      <w:r>
        <w:rPr>
          <w:rFonts w:hint="eastAsia" w:ascii="方正小标宋简体" w:hAnsi="微软雅黑" w:eastAsia="方正小标宋简体" w:cs="宋体"/>
          <w:kern w:val="0"/>
          <w:sz w:val="44"/>
          <w:szCs w:val="44"/>
        </w:rPr>
        <w:t>非住宅房屋征收补偿安置方案</w:t>
      </w:r>
      <w:bookmarkEnd w:id="2"/>
    </w:p>
    <w:bookmarkEnd w:id="3"/>
    <w:p>
      <w:pPr>
        <w:keepNext w:val="0"/>
        <w:keepLines w:val="0"/>
        <w:pageBreakBefore w:val="0"/>
        <w:widowControl/>
        <w:shd w:val="clear" w:color="auto" w:fill="FFFFFF"/>
        <w:kinsoku/>
        <w:wordWrap/>
        <w:topLinePunct w:val="0"/>
        <w:autoSpaceDE/>
        <w:autoSpaceDN/>
        <w:bidi w:val="0"/>
        <w:spacing w:after="0" w:line="560" w:lineRule="exact"/>
        <w:contextualSpacing/>
        <w:jc w:val="center"/>
        <w:rPr>
          <w:rFonts w:hint="eastAsia"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征求公众意见及修改情况的通告</w:t>
      </w:r>
      <w:bookmarkEnd w:id="4"/>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jc w:val="left"/>
        <w:rPr>
          <w:rFonts w:hint="eastAsia" w:ascii="仿宋_GB2312" w:hAnsi="仿宋_GB2312" w:eastAsia="仿宋_GB2312" w:cs="仿宋_GB2312"/>
          <w:sz w:val="32"/>
          <w:szCs w:val="32"/>
        </w:rPr>
      </w:pPr>
    </w:p>
    <w:p>
      <w:pPr>
        <w:keepNext w:val="0"/>
        <w:keepLines w:val="0"/>
        <w:pageBreakBefore w:val="0"/>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有土地上房屋征收与补偿条例》（国务院令第590号）第十条、第十一条和《北京市旧城区改建房屋征收实施意见》（京建发〔2013〕450号）第四条第七款的规定，北京市密云区人民政府房屋征收办公室（以下简称区征收办）于2024年3月28日在征收范围内公布了《关于密云区水源路南侧C-2地块土地一级开发项目非住宅房屋征收补偿安置方案（征求意见稿）征求意见的公告》（以下简称《补偿安置方案》），征求公众意见。征求意见期限自2024年3月28日至2024年4月27日。在征求意见期间，共收到3位被征收人对《补偿安置方案》提出8条书面意见。</w:t>
      </w:r>
      <w:r>
        <w:rPr>
          <w:rFonts w:hint="eastAsia" w:ascii="仿宋_GB2312" w:hAnsi="仿宋" w:eastAsia="仿宋_GB2312"/>
          <w:sz w:val="32"/>
          <w:szCs w:val="32"/>
        </w:rPr>
        <w:t>区征收办对被征收人提出的书面意见进行汇总，并组织相关部门认真分析研究，其中采纳意见3条，未采纳意见5条。</w:t>
      </w:r>
    </w:p>
    <w:p>
      <w:pPr>
        <w:keepNext w:val="0"/>
        <w:keepLines w:val="0"/>
        <w:pageBreakBefore w:val="0"/>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现将修改情况说明如下：</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黑体" w:hAnsi="黑体" w:eastAsia="黑体" w:cs="仿宋_GB2312"/>
          <w:sz w:val="32"/>
          <w:szCs w:val="32"/>
        </w:rPr>
      </w:pPr>
      <w:r>
        <w:rPr>
          <w:rFonts w:hint="eastAsia" w:ascii="黑体" w:hAnsi="黑体" w:eastAsia="黑体" w:cs="仿宋_GB2312"/>
          <w:sz w:val="32"/>
          <w:szCs w:val="32"/>
        </w:rPr>
        <w:t>一、采纳的意见</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1.被征收人提出的“关于被征收房屋用途的认定建议按照2022年《土地权属审查告知书》中的土地用途进行认定及评估”。</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2.被征收人提出的“建议按照《土地划转情况说明》进行补偿”。</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以上2条意见已采纳。</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原《补偿安置方案》中第二章第一条：</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w:t>
      </w:r>
      <w:r>
        <w:rPr>
          <w:rFonts w:hint="eastAsia" w:ascii="仿宋_GB2312" w:hAnsi="黑体" w:eastAsia="仿宋_GB2312" w:cs="宋体"/>
          <w:kern w:val="0"/>
          <w:sz w:val="32"/>
          <w:szCs w:val="32"/>
        </w:rPr>
        <w:t>取得</w:t>
      </w:r>
      <w:r>
        <w:rPr>
          <w:rFonts w:hint="eastAsia" w:ascii="仿宋_GB2312" w:hAnsi="仿宋_GB2312" w:eastAsia="仿宋_GB2312" w:cs="仿宋_GB2312"/>
          <w:kern w:val="0"/>
          <w:sz w:val="32"/>
          <w:szCs w:val="32"/>
        </w:rPr>
        <w:t>《国有土地使用证》《房屋所有权证》《不动产权证书》</w:t>
      </w:r>
      <w:r>
        <w:rPr>
          <w:rFonts w:hint="eastAsia" w:ascii="仿宋_GB2312" w:hAnsi="黑体" w:eastAsia="仿宋_GB2312" w:cs="宋体"/>
          <w:kern w:val="0"/>
          <w:sz w:val="32"/>
          <w:szCs w:val="32"/>
        </w:rPr>
        <w:t>等</w:t>
      </w:r>
      <w:r>
        <w:rPr>
          <w:rFonts w:hint="eastAsia" w:ascii="仿宋_GB2312" w:hAnsi="仿宋_GB2312" w:eastAsia="仿宋_GB2312" w:cs="仿宋_GB2312"/>
          <w:kern w:val="0"/>
          <w:sz w:val="32"/>
          <w:szCs w:val="32"/>
        </w:rPr>
        <w:t>其他合法有效批准文件的，按照批准文件载明的权利人、用途、土地使用权类型等事项进行认定。</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无上述文件的，由认定工作组结合实际情况进行认定。</w:t>
      </w:r>
      <w:r>
        <w:rPr>
          <w:rFonts w:hint="eastAsia" w:ascii="仿宋_GB2312" w:hAnsi="仿宋_GB2312" w:eastAsia="仿宋_GB2312" w:cs="仿宋_GB2312"/>
          <w:sz w:val="32"/>
          <w:szCs w:val="32"/>
        </w:rPr>
        <w:t>”</w:t>
      </w:r>
    </w:p>
    <w:p>
      <w:pPr>
        <w:keepNext w:val="0"/>
        <w:keepLines w:val="0"/>
        <w:pageBreakBefore w:val="0"/>
        <w:widowControl/>
        <w:kinsoku/>
        <w:wordWrap/>
        <w:topLinePunct w:val="0"/>
        <w:autoSpaceDE/>
        <w:autoSpaceDN/>
        <w:bidi w:val="0"/>
        <w:adjustRightInd w:val="0"/>
        <w:spacing w:after="0" w:line="560" w:lineRule="exact"/>
        <w:ind w:firstLine="643" w:firstLineChars="200"/>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修改为：</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_GB2312" w:eastAsia="仿宋_GB2312" w:cs="仿宋_GB2312"/>
          <w:kern w:val="0"/>
          <w:sz w:val="32"/>
          <w:szCs w:val="32"/>
        </w:rPr>
      </w:pPr>
      <w:r>
        <w:rPr>
          <w:rFonts w:hint="eastAsia" w:ascii="仿宋_GB2312" w:hAnsi="黑体" w:eastAsia="仿宋_GB2312" w:cs="宋体"/>
          <w:kern w:val="0"/>
          <w:sz w:val="32"/>
          <w:szCs w:val="32"/>
        </w:rPr>
        <w:t>取得</w:t>
      </w:r>
      <w:r>
        <w:rPr>
          <w:rFonts w:hint="eastAsia" w:ascii="仿宋_GB2312" w:hAnsi="仿宋_GB2312" w:eastAsia="仿宋_GB2312" w:cs="仿宋_GB2312"/>
          <w:kern w:val="0"/>
          <w:sz w:val="32"/>
          <w:szCs w:val="32"/>
        </w:rPr>
        <w:t>《国有土地使用证》《房屋所有权证》《不动产权证书》</w:t>
      </w:r>
      <w:r>
        <w:rPr>
          <w:rFonts w:hint="eastAsia" w:ascii="仿宋_GB2312" w:hAnsi="黑体" w:eastAsia="仿宋_GB2312" w:cs="宋体"/>
          <w:kern w:val="0"/>
          <w:sz w:val="32"/>
          <w:szCs w:val="32"/>
        </w:rPr>
        <w:t>等</w:t>
      </w:r>
      <w:r>
        <w:rPr>
          <w:rFonts w:hint="eastAsia" w:ascii="仿宋_GB2312" w:hAnsi="仿宋_GB2312" w:eastAsia="仿宋_GB2312" w:cs="仿宋_GB2312"/>
          <w:kern w:val="0"/>
          <w:sz w:val="32"/>
          <w:szCs w:val="32"/>
        </w:rPr>
        <w:t>其他合法有效批准文件的，按照批准文件载明的权利人、用途、土地使用权类型等事项进行认定。</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无上述文件的，认定工作组依据已取得的《土地权属审查告知书》等相关文件并结合实际情况进行认定。</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3.被征收人提出的“关于停产停业损失补偿的意见”已采纳。</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原《补偿安置方案》中第三章第三条：</w:t>
      </w:r>
    </w:p>
    <w:p>
      <w:pPr>
        <w:keepNext w:val="0"/>
        <w:keepLines w:val="0"/>
        <w:pageBreakBefore w:val="0"/>
        <w:kinsoku/>
        <w:wordWrap/>
        <w:topLinePunct w:val="0"/>
        <w:autoSpaceDE/>
        <w:autoSpaceDN/>
        <w:bidi w:val="0"/>
        <w:spacing w:line="560" w:lineRule="exact"/>
        <w:ind w:firstLine="640" w:firstLineChars="200"/>
        <w:contextualSpacing/>
        <w:rPr>
          <w:rFonts w:hint="eastAsia" w:ascii="楷体_GB2312" w:hAnsi="楷体" w:eastAsia="楷体_GB2312"/>
          <w:sz w:val="32"/>
          <w:szCs w:val="32"/>
        </w:rPr>
      </w:pPr>
      <w:r>
        <w:rPr>
          <w:rFonts w:hint="eastAsia" w:ascii="楷体_GB2312" w:hAnsi="楷体" w:eastAsia="楷体_GB2312"/>
          <w:sz w:val="32"/>
          <w:szCs w:val="32"/>
        </w:rPr>
        <w:t>（一）被征收房屋停产停业损失补偿及标准</w:t>
      </w:r>
    </w:p>
    <w:p>
      <w:pPr>
        <w:keepNext w:val="0"/>
        <w:keepLines w:val="0"/>
        <w:pageBreakBefore w:val="0"/>
        <w:kinsoku/>
        <w:wordWrap/>
        <w:topLinePunct w:val="0"/>
        <w:autoSpaceDE/>
        <w:autoSpaceDN/>
        <w:bidi w:val="0"/>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被征收人利用房屋进行实际生产经营且符合下列条件的，按照认定的经营建筑面积，给予每平方米1000元的一次性停产停业损失补偿：</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具有房屋权属证明或经认定为合法房屋；</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具有合法有效的营业执照、税务登记证等相关材料；</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存在实际经营行为，且实际经营地点与被征收房屋地址一致，并提交租赁合同等相关证明材料；</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4</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提交相关纳税凭证，如被征收房屋已拆除，需提交拆除前纳税凭证。</w:t>
      </w:r>
    </w:p>
    <w:p>
      <w:pPr>
        <w:keepNext w:val="0"/>
        <w:keepLines w:val="0"/>
        <w:pageBreakBefore w:val="0"/>
        <w:kinsoku/>
        <w:wordWrap/>
        <w:topLinePunct w:val="0"/>
        <w:autoSpaceDE/>
        <w:autoSpaceDN/>
        <w:bidi w:val="0"/>
        <w:spacing w:line="560" w:lineRule="exact"/>
        <w:ind w:firstLine="640" w:firstLineChars="200"/>
        <w:contextualSpacing/>
        <w:rPr>
          <w:rFonts w:hint="eastAsia" w:ascii="楷体_GB2312" w:hAnsi="楷体" w:eastAsia="楷体_GB2312"/>
          <w:sz w:val="32"/>
          <w:szCs w:val="32"/>
        </w:rPr>
      </w:pPr>
      <w:r>
        <w:rPr>
          <w:rFonts w:hint="eastAsia" w:ascii="楷体_GB2312" w:hAnsi="楷体" w:eastAsia="楷体_GB2312"/>
          <w:sz w:val="32"/>
          <w:szCs w:val="32"/>
        </w:rPr>
        <w:t>（二）利用场地经营的停产停业损失补偿及标准</w:t>
      </w:r>
    </w:p>
    <w:p>
      <w:pPr>
        <w:keepNext w:val="0"/>
        <w:keepLines w:val="0"/>
        <w:pageBreakBefore w:val="0"/>
        <w:widowControl/>
        <w:shd w:val="clear" w:color="auto" w:fill="FFFFFF"/>
        <w:kinsoku/>
        <w:wordWrap/>
        <w:topLinePunct w:val="0"/>
        <w:autoSpaceDE/>
        <w:autoSpaceDN/>
        <w:bidi w:val="0"/>
        <w:spacing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被征收人利用场地经营的且符合下列条件的，按照认定的场地经营面积，给予每平方米</w:t>
      </w:r>
      <w:r>
        <w:rPr>
          <w:rFonts w:ascii="仿宋_GB2312" w:hAnsi="宋体" w:eastAsia="仿宋_GB2312"/>
          <w:sz w:val="32"/>
          <w:szCs w:val="32"/>
        </w:rPr>
        <w:t>200元</w:t>
      </w:r>
      <w:r>
        <w:rPr>
          <w:rFonts w:hint="eastAsia" w:ascii="仿宋_GB2312" w:hAnsi="宋体" w:eastAsia="仿宋_GB2312"/>
          <w:sz w:val="32"/>
          <w:szCs w:val="32"/>
        </w:rPr>
        <w:t>一次性占地经营停产停业损失补偿。</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具有土地权属证明等合法有效批准文件或经认定为合法使用的土地；</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具有合法有效的营业执照、税务登记证等相关材料；</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存在实际经营行为，且实际经营地点位于征收范围内；</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4</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提交相关纳税凭证。</w:t>
      </w:r>
      <w:r>
        <w:rPr>
          <w:rFonts w:hint="eastAsia" w:ascii="楷体_GB2312" w:hAnsi="楷体" w:eastAsia="楷体_GB2312"/>
          <w:sz w:val="32"/>
          <w:szCs w:val="32"/>
        </w:rPr>
        <w:t>”</w:t>
      </w:r>
    </w:p>
    <w:p>
      <w:pPr>
        <w:keepNext w:val="0"/>
        <w:keepLines w:val="0"/>
        <w:pageBreakBefore w:val="0"/>
        <w:widowControl/>
        <w:kinsoku/>
        <w:wordWrap/>
        <w:topLinePunct w:val="0"/>
        <w:autoSpaceDE/>
        <w:autoSpaceDN/>
        <w:bidi w:val="0"/>
        <w:adjustRightInd w:val="0"/>
        <w:spacing w:after="0" w:line="560" w:lineRule="exact"/>
        <w:ind w:firstLine="643" w:firstLineChars="200"/>
        <w:contextualSpacing/>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修改为：</w:t>
      </w:r>
    </w:p>
    <w:p>
      <w:pPr>
        <w:keepNext w:val="0"/>
        <w:keepLines w:val="0"/>
        <w:pageBreakBefore w:val="0"/>
        <w:kinsoku/>
        <w:wordWrap/>
        <w:topLinePunct w:val="0"/>
        <w:autoSpaceDE/>
        <w:autoSpaceDN/>
        <w:bidi w:val="0"/>
        <w:spacing w:line="560" w:lineRule="exact"/>
        <w:ind w:firstLine="640" w:firstLineChars="200"/>
        <w:contextualSpacing/>
        <w:rPr>
          <w:rFonts w:hint="eastAsia" w:ascii="楷体_GB2312" w:hAnsi="楷体" w:eastAsia="楷体_GB2312"/>
          <w:sz w:val="32"/>
          <w:szCs w:val="32"/>
        </w:rPr>
      </w:pPr>
      <w:r>
        <w:rPr>
          <w:rFonts w:hint="eastAsia" w:ascii="楷体_GB2312" w:hAnsi="楷体" w:eastAsia="楷体_GB2312"/>
          <w:sz w:val="32"/>
          <w:szCs w:val="32"/>
        </w:rPr>
        <w:t>（一）被征收房屋停产停业损失补偿及标准</w:t>
      </w:r>
    </w:p>
    <w:p>
      <w:pPr>
        <w:keepNext w:val="0"/>
        <w:keepLines w:val="0"/>
        <w:pageBreakBefore w:val="0"/>
        <w:kinsoku/>
        <w:wordWrap/>
        <w:topLinePunct w:val="0"/>
        <w:autoSpaceDE/>
        <w:autoSpaceDN/>
        <w:bidi w:val="0"/>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符合下列条件的，按照认定的经营建筑面积，给予每平方米1000元的一次性停产停业损失补偿：</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具有房屋权属证明或经认定为合法房屋；</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具有合法有效的营业执照、税务登记证等相关材料；</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提交相关纳税凭证。</w:t>
      </w:r>
    </w:p>
    <w:p>
      <w:pPr>
        <w:keepNext w:val="0"/>
        <w:keepLines w:val="0"/>
        <w:pageBreakBefore w:val="0"/>
        <w:kinsoku/>
        <w:wordWrap/>
        <w:topLinePunct w:val="0"/>
        <w:autoSpaceDE/>
        <w:autoSpaceDN/>
        <w:bidi w:val="0"/>
        <w:spacing w:line="560" w:lineRule="exact"/>
        <w:ind w:firstLine="640" w:firstLineChars="200"/>
        <w:contextualSpacing/>
        <w:rPr>
          <w:rFonts w:hint="eastAsia" w:ascii="楷体_GB2312" w:hAnsi="楷体" w:eastAsia="楷体_GB2312"/>
          <w:sz w:val="32"/>
          <w:szCs w:val="32"/>
        </w:rPr>
      </w:pPr>
      <w:r>
        <w:rPr>
          <w:rFonts w:hint="eastAsia" w:ascii="楷体_GB2312" w:hAnsi="楷体" w:eastAsia="楷体_GB2312"/>
          <w:sz w:val="32"/>
          <w:szCs w:val="32"/>
        </w:rPr>
        <w:t>（二）利用场地经营的停产停业损失补偿及标准</w:t>
      </w:r>
    </w:p>
    <w:p>
      <w:pPr>
        <w:keepNext w:val="0"/>
        <w:keepLines w:val="0"/>
        <w:pageBreakBefore w:val="0"/>
        <w:widowControl/>
        <w:shd w:val="clear" w:color="auto" w:fill="FFFFFF"/>
        <w:kinsoku/>
        <w:wordWrap/>
        <w:topLinePunct w:val="0"/>
        <w:autoSpaceDE/>
        <w:autoSpaceDN/>
        <w:bidi w:val="0"/>
        <w:spacing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符合下列条件的，按照认定的场地经营面积，给予每平方米</w:t>
      </w:r>
      <w:r>
        <w:rPr>
          <w:rFonts w:ascii="仿宋_GB2312" w:hAnsi="宋体" w:eastAsia="仿宋_GB2312"/>
          <w:sz w:val="32"/>
          <w:szCs w:val="32"/>
        </w:rPr>
        <w:t>200元</w:t>
      </w:r>
      <w:r>
        <w:rPr>
          <w:rFonts w:hint="eastAsia" w:ascii="仿宋_GB2312" w:hAnsi="宋体" w:eastAsia="仿宋_GB2312"/>
          <w:sz w:val="32"/>
          <w:szCs w:val="32"/>
        </w:rPr>
        <w:t>一次性占地经营停产停业损失补偿。</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具有土地权属证明等合法有效批准文件或经认定为合法使用的土地；</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具有合法有效的营业执照、税务登记证等相关材料；</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提交相关纳税凭证。</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黑体" w:hAnsi="黑体" w:eastAsia="黑体" w:cs="仿宋_GB2312"/>
          <w:sz w:val="32"/>
          <w:szCs w:val="32"/>
        </w:rPr>
      </w:pPr>
      <w:r>
        <w:rPr>
          <w:rFonts w:hint="eastAsia" w:ascii="黑体" w:hAnsi="黑体" w:eastAsia="黑体" w:cs="仿宋_GB2312"/>
          <w:sz w:val="32"/>
          <w:szCs w:val="32"/>
        </w:rPr>
        <w:t>二、未采纳的意见</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1.被征收人提出的“区征收办推翻《北京市密云区人民政府关于水源路南侧C-2地块收储事宜的批复》（密政函〔2016〕37号）”。</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征收人提出的“区征收办不仅违反了《国有土地上房屋征收与补偿条例》、《国有土地上房屋征收评估办法》、《中华人民共和国资产评估法》等很多法律法规，而且还在实际工作操作中弄虚作假、刁难我们并强行让我们接受其违法操作所产生的一切结果”。</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3.被征收人提出的“区征收办是不是撤销了市发改委〔2023〕241号的批复和否定了住总以4.9亿购买土地的事实”。</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4.被征收人提出的“如果区征收办非要坚持二次征收，那就拿出具有法律效力的法律依据”。</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被征收人提出的“根据国土资源部第53号令第21条规定，项目开工的前提条件之一就是土地没有经济纠纷，我单位东侧公共道路已被住总招拍挂竞得，影响我单位消防通道及大型车辆进出，双方存在纠纷。只要项目存在纠纷，任何项目都不允许启动施工”。</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此次征求公众意见主要针对本项目《补偿安置方案》相关内容，以上5条意见所反映情况不在此次征求意见范围内，故不予采纳。</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下一步，区征收办将坚持依法依规、实事求是、尊重历史、合情合理的原则开展后续房屋征收与补偿的相关工作。</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wordWrap/>
        <w:topLinePunct w:val="0"/>
        <w:autoSpaceDE/>
        <w:autoSpaceDN/>
        <w:bidi w:val="0"/>
        <w:adjustRightInd w:val="0"/>
        <w:spacing w:after="0" w:line="560" w:lineRule="exact"/>
        <w:ind w:left="1695" w:leftChars="303" w:hanging="1059" w:hangingChars="331"/>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w:t>
      </w:r>
      <w:r>
        <w:rPr>
          <w:rFonts w:hint="eastAsia" w:ascii="仿宋_GB2312" w:hAnsi="仿宋" w:eastAsia="仿宋_GB2312"/>
          <w:sz w:val="32"/>
          <w:szCs w:val="32"/>
        </w:rPr>
        <w:t>密云区水源路南侧C-2地块土地一级开发项目非住宅房屋征收补偿安置方案</w:t>
      </w:r>
    </w:p>
    <w:p>
      <w:pPr>
        <w:keepNext w:val="0"/>
        <w:keepLines w:val="0"/>
        <w:pageBreakBefore w:val="0"/>
        <w:widowControl/>
        <w:kinsoku/>
        <w:wordWrap/>
        <w:topLinePunct w:val="0"/>
        <w:autoSpaceDE/>
        <w:autoSpaceDN/>
        <w:bidi w:val="0"/>
        <w:adjustRightInd w:val="0"/>
        <w:spacing w:after="0" w:line="560" w:lineRule="exact"/>
        <w:ind w:right="640" w:firstLine="640" w:firstLineChars="200"/>
        <w:contextualSpacing/>
        <w:jc w:val="righ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tabs>
          <w:tab w:val="left" w:pos="4200"/>
          <w:tab w:val="left" w:pos="4620"/>
          <w:tab w:val="left" w:pos="5050"/>
        </w:tabs>
        <w:ind w:left="4847" w:leftChars="1368" w:hanging="1974" w:hangingChars="617"/>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北京市密云区人民政府房屋征收办公室2024年11月15日</w:t>
      </w:r>
    </w:p>
    <w:p>
      <w:pPr>
        <w:keepNext w:val="0"/>
        <w:keepLines w:val="0"/>
        <w:pageBreakBefore w:val="0"/>
        <w:widowControl/>
        <w:kinsoku/>
        <w:wordWrap/>
        <w:topLinePunct w:val="0"/>
        <w:autoSpaceDE/>
        <w:autoSpaceDN/>
        <w:bidi w:val="0"/>
        <w:spacing w:after="0" w:line="560" w:lineRule="exact"/>
        <w:contextualSpacing/>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topLinePunct w:val="0"/>
        <w:autoSpaceDE/>
        <w:autoSpaceDN/>
        <w:bidi w:val="0"/>
        <w:adjustRightInd w:val="0"/>
        <w:spacing w:after="0" w:line="560" w:lineRule="exact"/>
        <w:ind w:right="1280"/>
        <w:contextualSpacing/>
        <w:rPr>
          <w:rFonts w:hint="eastAsia" w:ascii="黑体" w:hAnsi="黑体" w:eastAsia="黑体" w:cs="仿宋_GB2312"/>
          <w:kern w:val="0"/>
          <w:sz w:val="32"/>
          <w:szCs w:val="32"/>
        </w:rPr>
      </w:pPr>
      <w:bookmarkStart w:id="5" w:name="_Hlk89085735"/>
      <w:r>
        <w:rPr>
          <w:rFonts w:hint="eastAsia" w:ascii="黑体" w:hAnsi="黑体" w:eastAsia="黑体" w:cs="仿宋_GB2312"/>
          <w:kern w:val="0"/>
          <w:sz w:val="32"/>
          <w:szCs w:val="32"/>
        </w:rPr>
        <w:t>附件</w:t>
      </w:r>
    </w:p>
    <w:p>
      <w:pPr>
        <w:pStyle w:val="2"/>
        <w:rPr>
          <w:rFonts w:hint="eastAsia"/>
        </w:rPr>
      </w:pPr>
    </w:p>
    <w:bookmarkEnd w:id="5"/>
    <w:p>
      <w:pPr>
        <w:keepNext w:val="0"/>
        <w:keepLines w:val="0"/>
        <w:pageBreakBefore w:val="0"/>
        <w:widowControl/>
        <w:shd w:val="clear" w:color="auto" w:fill="FFFFFF"/>
        <w:kinsoku/>
        <w:wordWrap/>
        <w:topLinePunct w:val="0"/>
        <w:autoSpaceDE/>
        <w:autoSpaceDN/>
        <w:bidi w:val="0"/>
        <w:spacing w:after="0" w:line="560" w:lineRule="exact"/>
        <w:contextualSpacing/>
        <w:jc w:val="center"/>
        <w:rPr>
          <w:rFonts w:hint="eastAsia" w:ascii="方正小标宋简体" w:hAnsi="微软雅黑" w:eastAsia="方正小标宋简体" w:cs="宋体"/>
          <w:kern w:val="0"/>
          <w:sz w:val="44"/>
          <w:szCs w:val="44"/>
        </w:rPr>
      </w:pPr>
      <w:bookmarkStart w:id="6" w:name="_Hlk127970414"/>
      <w:r>
        <w:rPr>
          <w:rFonts w:hint="eastAsia" w:ascii="方正小标宋简体" w:hAnsi="微软雅黑" w:eastAsia="方正小标宋简体" w:cs="宋体"/>
          <w:kern w:val="0"/>
          <w:sz w:val="44"/>
          <w:szCs w:val="44"/>
        </w:rPr>
        <w:t>密云区水源路南侧</w:t>
      </w:r>
      <w:r>
        <w:rPr>
          <w:rFonts w:ascii="方正小标宋简体" w:hAnsi="微软雅黑" w:eastAsia="方正小标宋简体" w:cs="宋体"/>
          <w:kern w:val="0"/>
          <w:sz w:val="44"/>
          <w:szCs w:val="44"/>
        </w:rPr>
        <w:t>C-2地块土地一级开发</w:t>
      </w:r>
    </w:p>
    <w:p>
      <w:pPr>
        <w:keepNext w:val="0"/>
        <w:keepLines w:val="0"/>
        <w:pageBreakBefore w:val="0"/>
        <w:widowControl/>
        <w:shd w:val="clear" w:color="auto" w:fill="FFFFFF"/>
        <w:kinsoku/>
        <w:wordWrap/>
        <w:topLinePunct w:val="0"/>
        <w:autoSpaceDE/>
        <w:autoSpaceDN/>
        <w:bidi w:val="0"/>
        <w:spacing w:after="0" w:line="560" w:lineRule="exact"/>
        <w:contextualSpacing/>
        <w:jc w:val="center"/>
        <w:rPr>
          <w:rFonts w:hint="eastAsia" w:ascii="方正小标宋简体" w:hAnsi="微软雅黑" w:eastAsia="方正小标宋简体" w:cs="宋体"/>
          <w:kern w:val="0"/>
          <w:sz w:val="44"/>
          <w:szCs w:val="44"/>
        </w:rPr>
      </w:pPr>
      <w:r>
        <w:rPr>
          <w:rFonts w:ascii="方正小标宋简体" w:hAnsi="微软雅黑" w:eastAsia="方正小标宋简体" w:cs="宋体"/>
          <w:kern w:val="0"/>
          <w:sz w:val="44"/>
          <w:szCs w:val="44"/>
        </w:rPr>
        <w:t>项目</w:t>
      </w:r>
      <w:bookmarkEnd w:id="6"/>
      <w:r>
        <w:rPr>
          <w:rFonts w:hint="eastAsia" w:ascii="方正小标宋简体" w:hAnsi="微软雅黑" w:eastAsia="方正小标宋简体" w:cs="宋体"/>
          <w:kern w:val="0"/>
          <w:sz w:val="44"/>
          <w:szCs w:val="44"/>
        </w:rPr>
        <w:t>非住宅房屋征收补偿安置方案</w:t>
      </w:r>
    </w:p>
    <w:p>
      <w:pPr>
        <w:keepNext w:val="0"/>
        <w:keepLines w:val="0"/>
        <w:pageBreakBefore w:val="0"/>
        <w:kinsoku/>
        <w:wordWrap/>
        <w:topLinePunct w:val="0"/>
        <w:autoSpaceDE/>
        <w:autoSpaceDN/>
        <w:bidi w:val="0"/>
        <w:spacing w:after="0" w:line="560" w:lineRule="exact"/>
        <w:ind w:firstLine="3648" w:firstLineChars="1140"/>
        <w:contextualSpacing/>
        <w:rPr>
          <w:rFonts w:hint="eastAsia" w:ascii="黑体" w:hAnsi="黑体" w:eastAsia="黑体"/>
          <w:bCs/>
          <w:sz w:val="32"/>
          <w:szCs w:val="32"/>
        </w:rPr>
      </w:pPr>
      <w:bookmarkStart w:id="17" w:name="_GoBack"/>
      <w:bookmarkEnd w:id="17"/>
      <w:bookmarkStart w:id="7" w:name="_Hlk159874858"/>
    </w:p>
    <w:p>
      <w:pPr>
        <w:keepNext w:val="0"/>
        <w:keepLines w:val="0"/>
        <w:pageBreakBefore w:val="0"/>
        <w:kinsoku/>
        <w:wordWrap/>
        <w:topLinePunct w:val="0"/>
        <w:autoSpaceDE/>
        <w:autoSpaceDN/>
        <w:bidi w:val="0"/>
        <w:spacing w:after="0" w:line="560" w:lineRule="exact"/>
        <w:ind w:firstLine="3648" w:firstLineChars="1140"/>
        <w:contextualSpacing/>
        <w:rPr>
          <w:rFonts w:hint="eastAsia" w:ascii="黑体" w:hAnsi="黑体" w:eastAsia="黑体"/>
          <w:bCs/>
          <w:sz w:val="32"/>
          <w:szCs w:val="32"/>
        </w:rPr>
      </w:pPr>
      <w:r>
        <w:rPr>
          <w:rFonts w:hint="eastAsia" w:ascii="黑体" w:hAnsi="黑体" w:eastAsia="黑体"/>
          <w:bCs/>
          <w:sz w:val="32"/>
          <w:szCs w:val="32"/>
        </w:rPr>
        <w:t>第一章  总则</w:t>
      </w:r>
    </w:p>
    <w:p>
      <w:pPr>
        <w:keepNext w:val="0"/>
        <w:keepLines w:val="0"/>
        <w:pageBreakBefore w:val="0"/>
        <w:kinsoku/>
        <w:wordWrap/>
        <w:topLinePunct w:val="0"/>
        <w:autoSpaceDE/>
        <w:autoSpaceDN/>
        <w:bidi w:val="0"/>
        <w:spacing w:after="0" w:line="560" w:lineRule="exact"/>
        <w:ind w:firstLine="3648" w:firstLineChars="1140"/>
        <w:contextualSpacing/>
        <w:rPr>
          <w:rFonts w:hint="eastAsia" w:ascii="仿宋_GB2312" w:hAnsi="仿宋" w:eastAsia="仿宋_GB2312" w:cs="宋体"/>
          <w:kern w:val="0"/>
          <w:sz w:val="32"/>
          <w:szCs w:val="32"/>
        </w:rPr>
      </w:pPr>
    </w:p>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sz w:val="32"/>
          <w:szCs w:val="32"/>
        </w:rPr>
      </w:pPr>
      <w:r>
        <w:rPr>
          <w:rFonts w:hint="eastAsia" w:ascii="仿宋_GB2312" w:hAnsi="仿宋" w:eastAsia="仿宋_GB2312" w:cs="宋体"/>
          <w:kern w:val="0"/>
          <w:sz w:val="32"/>
          <w:szCs w:val="32"/>
        </w:rPr>
        <w:t>为加快推进水源路南侧C-2地块土地一级开发工作，完善区域城市功能，改变地区风貌，提升区域整体形象，经密云区人民政府研究批准，拟对密云区水源路南侧</w:t>
      </w:r>
      <w:r>
        <w:rPr>
          <w:rFonts w:ascii="仿宋_GB2312" w:hAnsi="仿宋" w:eastAsia="仿宋_GB2312" w:cs="宋体"/>
          <w:kern w:val="0"/>
          <w:sz w:val="32"/>
          <w:szCs w:val="32"/>
        </w:rPr>
        <w:t>C-2地块</w:t>
      </w:r>
      <w:r>
        <w:rPr>
          <w:rFonts w:hint="eastAsia" w:ascii="仿宋_GB2312" w:hAnsi="仿宋" w:eastAsia="仿宋_GB2312" w:cs="宋体"/>
          <w:kern w:val="0"/>
          <w:sz w:val="32"/>
          <w:szCs w:val="32"/>
        </w:rPr>
        <w:t>土地一级开发项目（以下简称本项目）范围内国有土地上非住宅房屋实施征收。</w:t>
      </w:r>
    </w:p>
    <w:bookmarkEnd w:id="7"/>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sz w:val="32"/>
          <w:szCs w:val="32"/>
        </w:rPr>
      </w:pPr>
      <w:r>
        <w:rPr>
          <w:rFonts w:hint="eastAsia" w:ascii="仿宋_GB2312" w:hAnsi="仿宋" w:eastAsia="仿宋_GB2312" w:cs="宋体"/>
          <w:kern w:val="0"/>
          <w:sz w:val="32"/>
          <w:szCs w:val="32"/>
        </w:rPr>
        <w:t>依据《国有土地上房屋征收与补偿条例》（国务院令590号）《北京市国有土地上房屋征收与补偿实施意见》（京政发〔2011〕27号）《北京市旧城区改建房屋征收实施意见》(京建发〔2013〕450号）《关于进一步规范国有土地上非住宅房屋征收评估与补偿工作的通知》（京建法〔20</w:t>
      </w:r>
      <w:r>
        <w:rPr>
          <w:rFonts w:ascii="仿宋_GB2312" w:hAnsi="仿宋" w:eastAsia="仿宋_GB2312" w:cs="宋体"/>
          <w:kern w:val="0"/>
          <w:sz w:val="32"/>
          <w:szCs w:val="32"/>
        </w:rPr>
        <w:t>2</w:t>
      </w:r>
      <w:r>
        <w:rPr>
          <w:rFonts w:hint="eastAsia" w:ascii="仿宋_GB2312" w:hAnsi="仿宋" w:eastAsia="仿宋_GB2312" w:cs="宋体"/>
          <w:kern w:val="0"/>
          <w:sz w:val="32"/>
          <w:szCs w:val="32"/>
        </w:rPr>
        <w:t>3〕4号）等相关法规规定，坚持依法依规、尊重历史、实事求是、合情合理的原则，并结合我区已实施项目及本项目实际情况，制定本项目非住宅房屋征收补偿安置方案。</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一、征收范围及项目基本情况</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 w:eastAsia="仿宋_GB2312" w:cs="宋体"/>
          <w:kern w:val="0"/>
          <w:sz w:val="32"/>
          <w:szCs w:val="32"/>
        </w:rPr>
      </w:pPr>
      <w:bookmarkStart w:id="8" w:name="_Hlk159874819"/>
      <w:r>
        <w:rPr>
          <w:rFonts w:hint="eastAsia" w:ascii="仿宋_GB2312" w:hAnsi="仿宋" w:eastAsia="仿宋_GB2312" w:cs="宋体"/>
          <w:kern w:val="0"/>
          <w:sz w:val="32"/>
          <w:szCs w:val="32"/>
        </w:rPr>
        <w:t>密云区水源路南侧C-2地块土地一级开发项目位于密云区水源东路南侧。项目具体四至为：东至规划新东路，南至现状马拉松围挡</w:t>
      </w:r>
      <w:bookmarkStart w:id="9" w:name="_Hlk159938682"/>
      <w:r>
        <w:rPr>
          <w:rFonts w:hint="eastAsia" w:ascii="仿宋_GB2312" w:hAnsi="仿宋" w:eastAsia="仿宋_GB2312" w:cs="宋体"/>
          <w:kern w:val="0"/>
          <w:sz w:val="32"/>
          <w:szCs w:val="32"/>
        </w:rPr>
        <w:t>（区水务局用地）</w:t>
      </w:r>
      <w:bookmarkEnd w:id="9"/>
      <w:r>
        <w:rPr>
          <w:rFonts w:hint="eastAsia" w:ascii="仿宋_GB2312" w:hAnsi="仿宋" w:eastAsia="仿宋_GB2312" w:cs="宋体"/>
          <w:kern w:val="0"/>
          <w:sz w:val="32"/>
          <w:szCs w:val="32"/>
        </w:rPr>
        <w:t>，西至规划新中街，北至水源东路。</w:t>
      </w:r>
    </w:p>
    <w:bookmarkEnd w:id="8"/>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本项目</w:t>
      </w:r>
      <w:bookmarkStart w:id="10" w:name="_Hlk159874902"/>
      <w:r>
        <w:rPr>
          <w:rFonts w:hint="eastAsia" w:ascii="仿宋_GB2312" w:hAnsi="仿宋" w:eastAsia="仿宋_GB2312" w:cs="宋体"/>
          <w:kern w:val="0"/>
          <w:sz w:val="32"/>
          <w:szCs w:val="32"/>
        </w:rPr>
        <w:t>总占地面积约</w:t>
      </w:r>
      <w:r>
        <w:rPr>
          <w:rFonts w:ascii="仿宋_GB2312" w:hAnsi="仿宋" w:eastAsia="仿宋_GB2312" w:cs="宋体"/>
          <w:kern w:val="0"/>
          <w:sz w:val="32"/>
          <w:szCs w:val="32"/>
        </w:rPr>
        <w:t>26.12</w:t>
      </w:r>
      <w:r>
        <w:rPr>
          <w:rFonts w:hint="eastAsia" w:ascii="仿宋_GB2312" w:hAnsi="仿宋" w:eastAsia="仿宋_GB2312" w:cs="宋体"/>
          <w:kern w:val="0"/>
          <w:sz w:val="32"/>
          <w:szCs w:val="32"/>
        </w:rPr>
        <w:t>公顷，总建筑面积约</w:t>
      </w:r>
      <w:r>
        <w:rPr>
          <w:rFonts w:ascii="仿宋_GB2312" w:hAnsi="仿宋" w:eastAsia="仿宋_GB2312" w:cs="宋体"/>
          <w:kern w:val="0"/>
          <w:sz w:val="32"/>
          <w:szCs w:val="32"/>
        </w:rPr>
        <w:t>2.24</w:t>
      </w:r>
      <w:r>
        <w:rPr>
          <w:rFonts w:hint="eastAsia" w:ascii="仿宋_GB2312" w:hAnsi="仿宋" w:eastAsia="仿宋_GB2312" w:cs="宋体"/>
          <w:kern w:val="0"/>
          <w:sz w:val="32"/>
          <w:szCs w:val="32"/>
        </w:rPr>
        <w:t>万平方米（含已拆除房屋）。</w:t>
      </w:r>
      <w:bookmarkEnd w:id="10"/>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 w:eastAsia="仿宋_GB2312" w:cs="宋体"/>
          <w:kern w:val="0"/>
          <w:sz w:val="32"/>
          <w:szCs w:val="32"/>
        </w:rPr>
      </w:pPr>
      <w:r>
        <w:rPr>
          <w:rFonts w:hint="eastAsia" w:ascii="黑体" w:hAnsi="黑体" w:eastAsia="黑体"/>
          <w:sz w:val="32"/>
          <w:szCs w:val="32"/>
        </w:rPr>
        <w:t>二、房屋征收主体及实施单位</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 w:eastAsia="仿宋_GB2312" w:cs="宋体"/>
          <w:kern w:val="0"/>
          <w:sz w:val="32"/>
          <w:szCs w:val="32"/>
        </w:rPr>
      </w:pPr>
      <w:bookmarkStart w:id="11" w:name="_Hlk159850506"/>
      <w:r>
        <w:rPr>
          <w:rFonts w:hint="eastAsia" w:ascii="仿宋_GB2312" w:hAnsi="仿宋" w:eastAsia="仿宋_GB2312" w:cs="宋体"/>
          <w:kern w:val="0"/>
          <w:sz w:val="32"/>
          <w:szCs w:val="32"/>
        </w:rPr>
        <w:t>房屋征收主体为北京市密云区人民政府（以下简称区政府）。</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 w:eastAsia="仿宋_GB2312" w:cs="宋体"/>
          <w:kern w:val="0"/>
          <w:sz w:val="32"/>
          <w:szCs w:val="32"/>
        </w:rPr>
      </w:pPr>
      <w:r>
        <w:rPr>
          <w:rFonts w:hint="eastAsia" w:ascii="仿宋_GB2312" w:hAnsi="仿宋_GB2312" w:eastAsia="仿宋_GB2312" w:cs="仿宋_GB2312"/>
          <w:kern w:val="0"/>
          <w:sz w:val="32"/>
          <w:szCs w:val="32"/>
        </w:rPr>
        <w:t>房屋征收部门为北京市密云区人民政府房屋征收办公室</w:t>
      </w:r>
      <w:r>
        <w:rPr>
          <w:rFonts w:hint="eastAsia" w:ascii="仿宋_GB2312" w:hAnsi="仿宋" w:eastAsia="仿宋_GB2312" w:cs="宋体"/>
          <w:kern w:val="0"/>
          <w:sz w:val="32"/>
          <w:szCs w:val="32"/>
        </w:rPr>
        <w:t>（以下简称区征收办），负责组织实施本项目房屋征收与补偿工作。</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北京市密云区房屋征收事务中心（以下简称征收事务中心）受区征收办委托，作为房屋征收实施单位承担本项目房屋征收与补偿的具体实施工作。</w:t>
      </w:r>
    </w:p>
    <w:bookmarkEnd w:id="11"/>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三、</w:t>
      </w:r>
      <w:bookmarkStart w:id="12" w:name="_Hlk159852727"/>
      <w:r>
        <w:rPr>
          <w:rFonts w:hint="eastAsia" w:ascii="黑体" w:hAnsi="黑体" w:eastAsia="黑体" w:cs="宋体"/>
          <w:kern w:val="0"/>
          <w:sz w:val="32"/>
          <w:szCs w:val="32"/>
        </w:rPr>
        <w:t>认定机构及职责</w:t>
      </w:r>
      <w:bookmarkEnd w:id="12"/>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宋体" w:eastAsia="仿宋_GB2312"/>
          <w:sz w:val="32"/>
          <w:szCs w:val="32"/>
        </w:rPr>
      </w:pPr>
      <w:bookmarkStart w:id="13" w:name="_Hlk159852718"/>
      <w:r>
        <w:rPr>
          <w:rFonts w:hint="eastAsia" w:ascii="仿宋_GB2312" w:hAnsi="宋体" w:eastAsia="仿宋_GB2312"/>
          <w:sz w:val="32"/>
          <w:szCs w:val="32"/>
        </w:rPr>
        <w:t>本项目非住宅相关认定工作由区征收办牵头组织成立认定工作组，依法开展认定工作。认定工作组成员由区征收办、区住建委、区规自分局、区司法局、区城管执法监察局、区市场监管局、区国资委、密云镇政府等单位组成。</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认定工作组按照国有土地上房屋征收的相关法律、法规和规范性文件，遵循“依法依规、实事求是、尊重历史、合情合理”的原则，依据</w:t>
      </w:r>
      <w:r>
        <w:rPr>
          <w:rFonts w:hint="eastAsia" w:ascii="仿宋_GB2312" w:hAnsi="仿宋_GB2312" w:eastAsia="仿宋_GB2312" w:cs="仿宋_GB2312"/>
          <w:kern w:val="0"/>
          <w:sz w:val="32"/>
          <w:szCs w:val="32"/>
        </w:rPr>
        <w:t>《国有土地使用证》</w:t>
      </w:r>
      <w:r>
        <w:rPr>
          <w:rFonts w:hint="eastAsia" w:ascii="仿宋_GB2312" w:hAnsi="黑体" w:eastAsia="仿宋_GB2312" w:cs="宋体"/>
          <w:kern w:val="0"/>
          <w:sz w:val="32"/>
          <w:szCs w:val="32"/>
        </w:rPr>
        <w:t>《房屋所有权证》</w:t>
      </w:r>
      <w:r>
        <w:rPr>
          <w:rFonts w:hint="eastAsia" w:ascii="仿宋_GB2312" w:hAnsi="仿宋_GB2312" w:eastAsia="仿宋_GB2312" w:cs="仿宋_GB2312"/>
          <w:kern w:val="0"/>
          <w:sz w:val="32"/>
          <w:szCs w:val="32"/>
        </w:rPr>
        <w:t>《不动产权证书》</w:t>
      </w:r>
      <w:r>
        <w:rPr>
          <w:rFonts w:hint="eastAsia" w:ascii="仿宋_GB2312" w:hAnsi="黑体" w:eastAsia="仿宋_GB2312" w:cs="宋体"/>
          <w:kern w:val="0"/>
          <w:sz w:val="32"/>
          <w:szCs w:val="32"/>
        </w:rPr>
        <w:t>等合法有效批准文件，</w:t>
      </w:r>
      <w:r>
        <w:rPr>
          <w:rFonts w:hint="eastAsia" w:ascii="仿宋_GB2312" w:hAnsi="宋体" w:eastAsia="仿宋_GB2312"/>
          <w:sz w:val="32"/>
          <w:szCs w:val="32"/>
        </w:rPr>
        <w:t>对</w:t>
      </w:r>
      <w:r>
        <w:rPr>
          <w:rFonts w:hint="eastAsia" w:ascii="仿宋_GB2312" w:hAnsi="黑体" w:eastAsia="仿宋_GB2312" w:cs="宋体"/>
          <w:snapToGrid w:val="0"/>
          <w:kern w:val="0"/>
          <w:sz w:val="32"/>
          <w:szCs w:val="32"/>
        </w:rPr>
        <w:t>被征收人、用途、土地使用权类型、面积等事项进行认定。</w:t>
      </w:r>
    </w:p>
    <w:bookmarkEnd w:id="13"/>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cs="宋体"/>
          <w:kern w:val="0"/>
          <w:sz w:val="32"/>
          <w:szCs w:val="32"/>
        </w:rPr>
        <w:t>征收评估机构</w:t>
      </w:r>
    </w:p>
    <w:p>
      <w:pPr>
        <w:keepNext w:val="0"/>
        <w:keepLines w:val="0"/>
        <w:pageBreakBefore w:val="0"/>
        <w:widowControl/>
        <w:kinsoku/>
        <w:wordWrap/>
        <w:overflowPunct w:val="0"/>
        <w:topLinePunct w:val="0"/>
        <w:autoSpaceDE/>
        <w:autoSpaceDN/>
        <w:bidi w:val="0"/>
        <w:adjustRightInd w:val="0"/>
        <w:spacing w:after="0" w:line="560" w:lineRule="exact"/>
        <w:ind w:firstLine="643"/>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规定程序，区征收办组织被征收人通过协商投票的方式选定了北京大地盛业房地产土地评估有限公司为本项目房地产价格评估机构（以下简称房地产评估机构）。房地产评估机构根据相关法律、法规，负责对土地使用权价值、被征收房屋重置成新价和装修、设备及附属物等价值进行评估。本项目大型设备迁移及补偿费由资产评估机构负责评估。</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cs="宋体"/>
          <w:kern w:val="0"/>
          <w:sz w:val="32"/>
          <w:szCs w:val="32"/>
        </w:rPr>
      </w:pPr>
      <w:r>
        <w:rPr>
          <w:rFonts w:hint="eastAsia" w:ascii="黑体" w:hAnsi="黑体" w:eastAsia="黑体" w:cs="宋体"/>
          <w:kern w:val="0"/>
          <w:sz w:val="32"/>
          <w:szCs w:val="32"/>
        </w:rPr>
        <w:t>五、预签征收补偿安置协议</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 w:eastAsia="仿宋_GB2312" w:cs="宋体"/>
          <w:kern w:val="0"/>
          <w:sz w:val="32"/>
          <w:szCs w:val="32"/>
        </w:rPr>
        <w:t>本项目采用预签约方式进行，</w:t>
      </w:r>
      <w:r>
        <w:rPr>
          <w:rFonts w:hint="eastAsia" w:ascii="仿宋_GB2312" w:hAnsi="仿宋_GB2312" w:eastAsia="仿宋_GB2312" w:cs="仿宋_GB2312"/>
          <w:kern w:val="0"/>
          <w:sz w:val="32"/>
          <w:szCs w:val="32"/>
        </w:rPr>
        <w:t>预签约期限及生效比例由区征收办在征收范围内公布</w:t>
      </w:r>
      <w:r>
        <w:rPr>
          <w:rFonts w:hint="eastAsia" w:ascii="仿宋_GB2312" w:hAnsi="仿宋" w:eastAsia="仿宋_GB2312" w:cs="宋体"/>
          <w:kern w:val="0"/>
          <w:sz w:val="32"/>
          <w:szCs w:val="32"/>
        </w:rPr>
        <w:t>。在预签约期限内，</w:t>
      </w:r>
      <w:r>
        <w:rPr>
          <w:rFonts w:hint="eastAsia" w:ascii="仿宋_GB2312" w:hAnsi="仿宋_GB2312" w:eastAsia="仿宋_GB2312" w:cs="仿宋_GB2312"/>
          <w:sz w:val="32"/>
          <w:szCs w:val="32"/>
        </w:rPr>
        <w:t>预签征收补偿安置协议达到生效比例的，由区征收办报请区政府依法作出房屋征收决定。在预签征收补偿安置协议期限内未达到生效比例的，征收工作终止。征收补偿安置协议生效前不实际支付补偿款和提供房源。</w:t>
      </w:r>
    </w:p>
    <w:p>
      <w:pPr>
        <w:keepNext w:val="0"/>
        <w:keepLines w:val="0"/>
        <w:pageBreakBefore w:val="0"/>
        <w:widowControl/>
        <w:kinsoku/>
        <w:wordWrap/>
        <w:topLinePunct w:val="0"/>
        <w:autoSpaceDE/>
        <w:autoSpaceDN/>
        <w:bidi w:val="0"/>
        <w:spacing w:after="0" w:line="560" w:lineRule="exact"/>
        <w:ind w:firstLine="643"/>
        <w:contextualSpacing/>
        <w:rPr>
          <w:rFonts w:hint="eastAsia" w:ascii="黑体" w:hAnsi="黑体" w:eastAsia="黑体" w:cs="宋体"/>
          <w:kern w:val="0"/>
          <w:sz w:val="32"/>
          <w:szCs w:val="32"/>
        </w:rPr>
      </w:pPr>
      <w:r>
        <w:rPr>
          <w:rFonts w:hint="eastAsia" w:ascii="黑体" w:hAnsi="黑体" w:eastAsia="黑体" w:cs="宋体"/>
          <w:kern w:val="0"/>
          <w:sz w:val="32"/>
          <w:szCs w:val="32"/>
        </w:rPr>
        <w:t>六、征收决定</w:t>
      </w:r>
    </w:p>
    <w:p>
      <w:pPr>
        <w:keepNext w:val="0"/>
        <w:keepLines w:val="0"/>
        <w:pageBreakBefore w:val="0"/>
        <w:widowControl/>
        <w:kinsoku/>
        <w:wordWrap/>
        <w:topLinePunct w:val="0"/>
        <w:autoSpaceDE/>
        <w:autoSpaceDN/>
        <w:bidi w:val="0"/>
        <w:spacing w:after="0" w:line="560" w:lineRule="exact"/>
        <w:ind w:firstLine="643"/>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预签约期限内，签订预签征收补偿安置协议达到生效比例后，区征收办报请区政府依法作出征收决定并发布公告。在预签约期限内未签约的被征收人，可在征收决定公告规定的期限内直接签订正式征收补偿安置协议。预签征收补偿安置协议与正式征收补偿安置协议具有同等效力。</w:t>
      </w:r>
    </w:p>
    <w:p>
      <w:pPr>
        <w:keepNext w:val="0"/>
        <w:keepLines w:val="0"/>
        <w:pageBreakBefore w:val="0"/>
        <w:widowControl/>
        <w:kinsoku/>
        <w:wordWrap/>
        <w:topLinePunct w:val="0"/>
        <w:autoSpaceDE/>
        <w:autoSpaceDN/>
        <w:bidi w:val="0"/>
        <w:spacing w:after="0" w:line="560" w:lineRule="exact"/>
        <w:ind w:firstLine="643"/>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征收决定发布之日的征收评估价格与预签约公告发布之日的征收评估价格出现差异的，按照“就高不就低”的原则处理。</w:t>
      </w:r>
    </w:p>
    <w:p>
      <w:pPr>
        <w:keepNext w:val="0"/>
        <w:keepLines w:val="0"/>
        <w:pageBreakBefore w:val="0"/>
        <w:widowControl/>
        <w:kinsoku/>
        <w:wordWrap/>
        <w:topLinePunct w:val="0"/>
        <w:autoSpaceDE/>
        <w:autoSpaceDN/>
        <w:bidi w:val="0"/>
        <w:spacing w:after="0" w:line="560" w:lineRule="exact"/>
        <w:ind w:firstLine="640" w:firstLineChars="200"/>
        <w:contextualSpacing/>
        <w:rPr>
          <w:rFonts w:hint="eastAsia" w:ascii="黑体" w:hAnsi="黑体" w:eastAsia="黑体" w:cs="宋体"/>
          <w:kern w:val="0"/>
          <w:sz w:val="32"/>
          <w:szCs w:val="32"/>
        </w:rPr>
      </w:pPr>
      <w:r>
        <w:rPr>
          <w:rFonts w:hint="eastAsia" w:ascii="黑体" w:hAnsi="黑体" w:eastAsia="黑体" w:cs="宋体"/>
          <w:kern w:val="0"/>
          <w:sz w:val="32"/>
          <w:szCs w:val="32"/>
        </w:rPr>
        <w:t>七、补偿决定</w:t>
      </w:r>
    </w:p>
    <w:p>
      <w:pPr>
        <w:keepNext w:val="0"/>
        <w:keepLines w:val="0"/>
        <w:pageBreakBefore w:val="0"/>
        <w:widowControl/>
        <w:kinsoku/>
        <w:wordWrap/>
        <w:topLinePunct w:val="0"/>
        <w:autoSpaceDE/>
        <w:autoSpaceDN/>
        <w:bidi w:val="0"/>
        <w:spacing w:after="0" w:line="560" w:lineRule="exact"/>
        <w:ind w:firstLine="640" w:firstLineChars="20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被征收人在房屋征收决定公告的签约期内达不成征收补偿安置协议、被征收房屋所有权人不明确或者下落不明的，由区征收办报请区政府做出征收补偿决定，并在房屋征收范围内予以公告。</w:t>
      </w:r>
    </w:p>
    <w:p>
      <w:pPr>
        <w:keepNext w:val="0"/>
        <w:keepLines w:val="0"/>
        <w:pageBreakBefore w:val="0"/>
        <w:widowControl/>
        <w:kinsoku/>
        <w:wordWrap/>
        <w:topLinePunct w:val="0"/>
        <w:autoSpaceDE/>
        <w:autoSpaceDN/>
        <w:bidi w:val="0"/>
        <w:spacing w:after="0" w:line="560" w:lineRule="exact"/>
        <w:ind w:firstLine="640" w:firstLineChars="20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被征收人对征收补偿决定不服的，可以在法定期限内申请行政复议或提起行政诉讼。</w:t>
      </w:r>
    </w:p>
    <w:p>
      <w:pPr>
        <w:keepNext w:val="0"/>
        <w:keepLines w:val="0"/>
        <w:pageBreakBefore w:val="0"/>
        <w:widowControl/>
        <w:kinsoku/>
        <w:wordWrap/>
        <w:topLinePunct w:val="0"/>
        <w:autoSpaceDE/>
        <w:autoSpaceDN/>
        <w:bidi w:val="0"/>
        <w:spacing w:after="0" w:line="560" w:lineRule="exact"/>
        <w:ind w:firstLine="640" w:firstLineChars="200"/>
        <w:contextualSpacing/>
        <w:rPr>
          <w:rFonts w:hint="eastAsia" w:ascii="黑体" w:hAnsi="黑体" w:eastAsia="黑体" w:cs="宋体"/>
          <w:kern w:val="0"/>
          <w:sz w:val="32"/>
          <w:szCs w:val="32"/>
        </w:rPr>
      </w:pPr>
      <w:r>
        <w:rPr>
          <w:rFonts w:hint="eastAsia" w:ascii="黑体" w:hAnsi="黑体" w:eastAsia="黑体" w:cs="宋体"/>
          <w:kern w:val="0"/>
          <w:sz w:val="32"/>
          <w:szCs w:val="32"/>
        </w:rPr>
        <w:t>八、强制执行</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被征收人在法定期限内不申请行政复议或者不提起行政诉讼，在征收补偿决定规定的期限内又不搬迁的，由区政府依法申请人民法院强制执行。</w:t>
      </w:r>
    </w:p>
    <w:p>
      <w:pPr>
        <w:keepNext w:val="0"/>
        <w:keepLines w:val="0"/>
        <w:pageBreakBefore w:val="0"/>
        <w:kinsoku/>
        <w:wordWrap/>
        <w:topLinePunct w:val="0"/>
        <w:autoSpaceDE/>
        <w:autoSpaceDN/>
        <w:bidi w:val="0"/>
        <w:spacing w:after="0" w:line="560" w:lineRule="exact"/>
        <w:contextualSpacing/>
        <w:jc w:val="center"/>
        <w:rPr>
          <w:rFonts w:hint="eastAsia" w:ascii="黑体" w:hAnsi="黑体" w:eastAsia="黑体"/>
          <w:sz w:val="32"/>
          <w:szCs w:val="32"/>
        </w:rPr>
      </w:pPr>
    </w:p>
    <w:p>
      <w:pPr>
        <w:keepNext w:val="0"/>
        <w:keepLines w:val="0"/>
        <w:pageBreakBefore w:val="0"/>
        <w:kinsoku/>
        <w:wordWrap/>
        <w:topLinePunct w:val="0"/>
        <w:autoSpaceDE/>
        <w:autoSpaceDN/>
        <w:bidi w:val="0"/>
        <w:spacing w:after="0" w:line="560" w:lineRule="exact"/>
        <w:contextualSpacing/>
        <w:jc w:val="center"/>
        <w:rPr>
          <w:rFonts w:hint="eastAsia" w:ascii="黑体" w:hAnsi="黑体" w:eastAsia="黑体"/>
          <w:sz w:val="32"/>
          <w:szCs w:val="32"/>
        </w:rPr>
      </w:pPr>
      <w:r>
        <w:rPr>
          <w:rFonts w:hint="eastAsia" w:ascii="黑体" w:hAnsi="黑体" w:eastAsia="黑体"/>
          <w:sz w:val="32"/>
          <w:szCs w:val="32"/>
        </w:rPr>
        <w:t>第二章  被征收房屋的相关认定</w:t>
      </w:r>
    </w:p>
    <w:p>
      <w:pPr>
        <w:keepNext w:val="0"/>
        <w:keepLines w:val="0"/>
        <w:pageBreakBefore w:val="0"/>
        <w:kinsoku/>
        <w:wordWrap/>
        <w:topLinePunct w:val="0"/>
        <w:autoSpaceDE/>
        <w:autoSpaceDN/>
        <w:bidi w:val="0"/>
        <w:spacing w:after="0" w:line="560" w:lineRule="exact"/>
        <w:contextualSpacing/>
        <w:jc w:val="center"/>
        <w:rPr>
          <w:rFonts w:hint="eastAsia" w:ascii="黑体" w:hAnsi="黑体" w:eastAsia="黑体"/>
          <w:sz w:val="32"/>
          <w:szCs w:val="32"/>
        </w:rPr>
      </w:pPr>
    </w:p>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一、被征收人、用途、土地使用权类型的认定</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_GB2312" w:eastAsia="仿宋_GB2312" w:cs="仿宋_GB2312"/>
          <w:kern w:val="0"/>
          <w:sz w:val="32"/>
          <w:szCs w:val="32"/>
        </w:rPr>
      </w:pPr>
      <w:r>
        <w:rPr>
          <w:rFonts w:hint="eastAsia" w:ascii="仿宋_GB2312" w:hAnsi="黑体" w:eastAsia="仿宋_GB2312" w:cs="宋体"/>
          <w:kern w:val="0"/>
          <w:sz w:val="32"/>
          <w:szCs w:val="32"/>
        </w:rPr>
        <w:t>取得</w:t>
      </w:r>
      <w:r>
        <w:rPr>
          <w:rFonts w:hint="eastAsia" w:ascii="仿宋_GB2312" w:hAnsi="仿宋_GB2312" w:eastAsia="仿宋_GB2312" w:cs="仿宋_GB2312"/>
          <w:kern w:val="0"/>
          <w:sz w:val="32"/>
          <w:szCs w:val="32"/>
        </w:rPr>
        <w:t>《国有土地使用证》《房屋所有权证》《不动产权证书》</w:t>
      </w:r>
      <w:r>
        <w:rPr>
          <w:rFonts w:hint="eastAsia" w:ascii="仿宋_GB2312" w:hAnsi="黑体" w:eastAsia="仿宋_GB2312" w:cs="宋体"/>
          <w:kern w:val="0"/>
          <w:sz w:val="32"/>
          <w:szCs w:val="32"/>
        </w:rPr>
        <w:t>等</w:t>
      </w:r>
      <w:r>
        <w:rPr>
          <w:rFonts w:hint="eastAsia" w:ascii="仿宋_GB2312" w:hAnsi="仿宋_GB2312" w:eastAsia="仿宋_GB2312" w:cs="仿宋_GB2312"/>
          <w:kern w:val="0"/>
          <w:sz w:val="32"/>
          <w:szCs w:val="32"/>
        </w:rPr>
        <w:t>其他合法有效批准文件的，按照批准文件载明的权利人、用途、土地使用权类型等事项进行认定。</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无上述文件的，认定工作组依据已取得的《土地权属审查告知书》等相关文件并结合实际情况进行认定。</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二、占地面积的认定</w:t>
      </w:r>
    </w:p>
    <w:p>
      <w:pPr>
        <w:keepNext w:val="0"/>
        <w:keepLines w:val="0"/>
        <w:pageBreakBefore w:val="0"/>
        <w:widowControl/>
        <w:kinsoku/>
        <w:wordWrap/>
        <w:overflowPunct w:val="0"/>
        <w:topLinePunct w:val="0"/>
        <w:autoSpaceDE/>
        <w:autoSpaceDN/>
        <w:bidi w:val="0"/>
        <w:adjustRightInd w:val="0"/>
        <w:spacing w:after="0" w:line="560" w:lineRule="exact"/>
        <w:ind w:firstLine="660"/>
        <w:contextualSpacing/>
        <w:rPr>
          <w:rFonts w:hint="eastAsia" w:ascii="仿宋_GB2312" w:hAnsi="仿宋_GB2312" w:eastAsia="仿宋_GB2312" w:cs="仿宋_GB2312"/>
          <w:kern w:val="0"/>
          <w:sz w:val="32"/>
          <w:szCs w:val="32"/>
        </w:rPr>
      </w:pPr>
      <w:bookmarkStart w:id="14" w:name="_Hlk159515404"/>
      <w:r>
        <w:rPr>
          <w:rFonts w:hint="eastAsia" w:ascii="仿宋_GB2312" w:hAnsi="黑体" w:eastAsia="仿宋_GB2312" w:cs="宋体"/>
          <w:kern w:val="0"/>
          <w:sz w:val="32"/>
          <w:szCs w:val="32"/>
        </w:rPr>
        <w:t>取得</w:t>
      </w:r>
      <w:r>
        <w:rPr>
          <w:rFonts w:hint="eastAsia" w:ascii="仿宋_GB2312" w:hAnsi="仿宋_GB2312" w:eastAsia="仿宋_GB2312" w:cs="仿宋_GB2312"/>
          <w:kern w:val="0"/>
          <w:sz w:val="32"/>
          <w:szCs w:val="32"/>
        </w:rPr>
        <w:t>《国有土地使用证》《不动产权证书》</w:t>
      </w:r>
      <w:r>
        <w:rPr>
          <w:rFonts w:hint="eastAsia" w:ascii="仿宋_GB2312" w:hAnsi="黑体" w:eastAsia="仿宋_GB2312" w:cs="宋体"/>
          <w:kern w:val="0"/>
          <w:sz w:val="32"/>
          <w:szCs w:val="32"/>
        </w:rPr>
        <w:t>等</w:t>
      </w:r>
      <w:r>
        <w:rPr>
          <w:rFonts w:hint="eastAsia" w:ascii="仿宋_GB2312" w:hAnsi="仿宋_GB2312" w:eastAsia="仿宋_GB2312" w:cs="仿宋_GB2312"/>
          <w:kern w:val="0"/>
          <w:sz w:val="32"/>
          <w:szCs w:val="32"/>
        </w:rPr>
        <w:t>其他合法有效批准文件的，按照批准文件载明的占地面积进行认定。</w:t>
      </w:r>
    </w:p>
    <w:p>
      <w:pPr>
        <w:keepNext w:val="0"/>
        <w:keepLines w:val="0"/>
        <w:pageBreakBefore w:val="0"/>
        <w:widowControl/>
        <w:kinsoku/>
        <w:wordWrap/>
        <w:overflowPunct w:val="0"/>
        <w:topLinePunct w:val="0"/>
        <w:autoSpaceDE/>
        <w:autoSpaceDN/>
        <w:bidi w:val="0"/>
        <w:adjustRightInd w:val="0"/>
        <w:spacing w:after="0" w:line="560" w:lineRule="exact"/>
        <w:ind w:firstLine="66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无上述文件的，由认定工作组结合实际情况进行认定。</w:t>
      </w:r>
    </w:p>
    <w:bookmarkEnd w:id="14"/>
    <w:p>
      <w:pPr>
        <w:keepNext w:val="0"/>
        <w:keepLines w:val="0"/>
        <w:pageBreakBefore w:val="0"/>
        <w:widowControl/>
        <w:kinsoku/>
        <w:wordWrap/>
        <w:overflowPunct w:val="0"/>
        <w:topLinePunct w:val="0"/>
        <w:autoSpaceDE/>
        <w:autoSpaceDN/>
        <w:bidi w:val="0"/>
        <w:adjustRightInd w:val="0"/>
        <w:spacing w:after="0" w:line="560" w:lineRule="exact"/>
        <w:ind w:firstLine="660"/>
        <w:contextualSpacing/>
        <w:rPr>
          <w:rFonts w:hint="eastAsia" w:ascii="黑体" w:hAnsi="黑体" w:eastAsia="黑体"/>
          <w:sz w:val="32"/>
          <w:szCs w:val="32"/>
        </w:rPr>
      </w:pPr>
      <w:r>
        <w:rPr>
          <w:rFonts w:hint="eastAsia" w:ascii="黑体" w:hAnsi="黑体" w:eastAsia="黑体"/>
          <w:sz w:val="32"/>
          <w:szCs w:val="32"/>
        </w:rPr>
        <w:t>三、建筑面积的认定</w:t>
      </w:r>
    </w:p>
    <w:p>
      <w:pPr>
        <w:keepNext w:val="0"/>
        <w:keepLines w:val="0"/>
        <w:pageBreakBefore w:val="0"/>
        <w:widowControl/>
        <w:kinsoku/>
        <w:wordWrap/>
        <w:overflowPunct w:val="0"/>
        <w:topLinePunct w:val="0"/>
        <w:autoSpaceDE/>
        <w:autoSpaceDN/>
        <w:bidi w:val="0"/>
        <w:adjustRightInd w:val="0"/>
        <w:spacing w:after="0" w:line="560" w:lineRule="exact"/>
        <w:ind w:firstLine="660"/>
        <w:contextualSpacing/>
        <w:rPr>
          <w:rFonts w:hint="eastAsia" w:ascii="楷体_GB2312" w:hAnsi="黑体" w:eastAsia="楷体_GB2312" w:cs="宋体"/>
          <w:kern w:val="0"/>
          <w:sz w:val="32"/>
          <w:szCs w:val="32"/>
        </w:rPr>
      </w:pPr>
      <w:bookmarkStart w:id="15" w:name="_Hlk159515427"/>
      <w:r>
        <w:rPr>
          <w:rFonts w:hint="eastAsia" w:ascii="楷体_GB2312" w:hAnsi="黑体" w:eastAsia="楷体_GB2312" w:cs="宋体"/>
          <w:kern w:val="0"/>
          <w:sz w:val="32"/>
          <w:szCs w:val="32"/>
        </w:rPr>
        <w:t>（一）现有房屋建筑面积的认定</w:t>
      </w:r>
    </w:p>
    <w:p>
      <w:pPr>
        <w:keepNext w:val="0"/>
        <w:keepLines w:val="0"/>
        <w:pageBreakBefore w:val="0"/>
        <w:widowControl/>
        <w:kinsoku/>
        <w:wordWrap/>
        <w:overflowPunct w:val="0"/>
        <w:topLinePunct w:val="0"/>
        <w:autoSpaceDE/>
        <w:autoSpaceDN/>
        <w:bidi w:val="0"/>
        <w:adjustRightInd w:val="0"/>
        <w:spacing w:after="0" w:line="560" w:lineRule="exact"/>
        <w:ind w:firstLine="660"/>
        <w:contextualSpacing/>
        <w:rPr>
          <w:rFonts w:hint="eastAsia" w:ascii="仿宋_GB2312" w:hAnsi="黑体" w:eastAsia="仿宋_GB2312" w:cs="宋体"/>
          <w:kern w:val="0"/>
          <w:sz w:val="32"/>
          <w:szCs w:val="32"/>
        </w:rPr>
      </w:pPr>
      <w:r>
        <w:rPr>
          <w:rFonts w:hint="eastAsia" w:ascii="仿宋_GB2312" w:hAnsi="黑体" w:eastAsia="仿宋_GB2312" w:cs="宋体"/>
          <w:kern w:val="0"/>
          <w:sz w:val="32"/>
          <w:szCs w:val="32"/>
        </w:rPr>
        <w:t>取得《房屋所有权证》</w:t>
      </w:r>
      <w:r>
        <w:rPr>
          <w:rFonts w:hint="eastAsia" w:ascii="仿宋_GB2312" w:hAnsi="仿宋_GB2312" w:eastAsia="仿宋_GB2312" w:cs="仿宋_GB2312"/>
          <w:kern w:val="0"/>
          <w:sz w:val="32"/>
          <w:szCs w:val="32"/>
        </w:rPr>
        <w:t>《不动产权证书》等合法有效批准文件的</w:t>
      </w:r>
      <w:r>
        <w:rPr>
          <w:rFonts w:hint="eastAsia" w:ascii="仿宋_GB2312" w:hAnsi="黑体" w:eastAsia="仿宋_GB2312" w:cs="宋体"/>
          <w:kern w:val="0"/>
          <w:sz w:val="32"/>
          <w:szCs w:val="32"/>
        </w:rPr>
        <w:t>，按照</w:t>
      </w:r>
      <w:r>
        <w:rPr>
          <w:rFonts w:hint="eastAsia" w:ascii="仿宋_GB2312" w:hAnsi="仿宋_GB2312" w:eastAsia="仿宋_GB2312" w:cs="仿宋_GB2312"/>
          <w:kern w:val="0"/>
          <w:sz w:val="32"/>
          <w:szCs w:val="32"/>
        </w:rPr>
        <w:t>批准文件载明的建筑面积</w:t>
      </w:r>
      <w:r>
        <w:rPr>
          <w:rFonts w:hint="eastAsia" w:ascii="仿宋_GB2312" w:hAnsi="黑体" w:eastAsia="仿宋_GB2312" w:cs="宋体"/>
          <w:kern w:val="0"/>
          <w:sz w:val="32"/>
          <w:szCs w:val="32"/>
        </w:rPr>
        <w:t>进行认定。</w:t>
      </w:r>
      <w:r>
        <w:rPr>
          <w:rFonts w:hint="eastAsia" w:ascii="仿宋_GB2312" w:hAnsi="仿宋_GB2312" w:eastAsia="仿宋_GB2312" w:cs="仿宋_GB2312"/>
          <w:kern w:val="0"/>
          <w:sz w:val="32"/>
          <w:szCs w:val="32"/>
        </w:rPr>
        <w:t>未取得</w:t>
      </w:r>
      <w:r>
        <w:rPr>
          <w:rFonts w:hint="eastAsia" w:ascii="仿宋_GB2312" w:hAnsi="黑体" w:eastAsia="仿宋_GB2312" w:cs="宋体"/>
          <w:kern w:val="0"/>
          <w:sz w:val="32"/>
          <w:szCs w:val="32"/>
        </w:rPr>
        <w:t>《房屋所有权证》</w:t>
      </w:r>
      <w:r>
        <w:rPr>
          <w:rFonts w:hint="eastAsia" w:ascii="仿宋_GB2312" w:hAnsi="仿宋_GB2312" w:eastAsia="仿宋_GB2312" w:cs="仿宋_GB2312"/>
          <w:kern w:val="0"/>
          <w:sz w:val="32"/>
          <w:szCs w:val="32"/>
        </w:rPr>
        <w:t>《不动产权证书》，但取得发改、规划等部门批准文件的，按照批准文件载明的建筑面积进行认定。</w:t>
      </w:r>
    </w:p>
    <w:p>
      <w:pPr>
        <w:keepNext w:val="0"/>
        <w:keepLines w:val="0"/>
        <w:pageBreakBefore w:val="0"/>
        <w:widowControl/>
        <w:kinsoku/>
        <w:wordWrap/>
        <w:overflowPunct w:val="0"/>
        <w:topLinePunct w:val="0"/>
        <w:autoSpaceDE/>
        <w:autoSpaceDN/>
        <w:bidi w:val="0"/>
        <w:adjustRightInd w:val="0"/>
        <w:spacing w:after="0" w:line="560" w:lineRule="exact"/>
        <w:ind w:firstLine="660"/>
        <w:contextualSpacing/>
        <w:rPr>
          <w:rFonts w:hint="eastAsia" w:ascii="仿宋_GB2312" w:hAnsi="仿宋_GB2312" w:eastAsia="仿宋_GB2312" w:cs="仿宋_GB2312"/>
          <w:kern w:val="0"/>
          <w:sz w:val="32"/>
          <w:szCs w:val="32"/>
        </w:rPr>
      </w:pPr>
      <w:r>
        <w:rPr>
          <w:rFonts w:hint="eastAsia" w:ascii="仿宋_GB2312" w:hAnsi="黑体" w:eastAsia="仿宋_GB2312" w:cs="宋体"/>
          <w:kern w:val="0"/>
          <w:sz w:val="32"/>
          <w:szCs w:val="32"/>
        </w:rPr>
        <w:t>未取得《房屋所有权证》</w:t>
      </w:r>
      <w:r>
        <w:rPr>
          <w:rFonts w:hint="eastAsia" w:ascii="仿宋_GB2312" w:hAnsi="仿宋_GB2312" w:eastAsia="仿宋_GB2312" w:cs="仿宋_GB2312"/>
          <w:kern w:val="0"/>
          <w:sz w:val="32"/>
          <w:szCs w:val="32"/>
        </w:rPr>
        <w:t>《不动产权证书》，也未取得发改、规划等部门批准文件的，且未被相关部门认定为违法建设的房屋和未</w:t>
      </w:r>
      <w:r>
        <w:rPr>
          <w:rFonts w:hint="eastAsia" w:ascii="仿宋_GB2312" w:eastAsia="仿宋_GB2312"/>
          <w:sz w:val="32"/>
          <w:szCs w:val="32"/>
          <w:shd w:val="clear" w:color="auto" w:fill="FFFFFF"/>
        </w:rPr>
        <w:t>超过批准期限的临时建筑</w:t>
      </w:r>
      <w:r>
        <w:rPr>
          <w:rFonts w:hint="eastAsia" w:ascii="仿宋_GB2312" w:hAnsi="仿宋_GB2312" w:eastAsia="仿宋_GB2312" w:cs="仿宋_GB2312"/>
          <w:kern w:val="0"/>
          <w:sz w:val="32"/>
          <w:szCs w:val="32"/>
        </w:rPr>
        <w:t>，由认定工作组结合实际情况进行认定。</w:t>
      </w:r>
    </w:p>
    <w:p>
      <w:pPr>
        <w:keepNext w:val="0"/>
        <w:keepLines w:val="0"/>
        <w:pageBreakBefore w:val="0"/>
        <w:widowControl/>
        <w:kinsoku/>
        <w:wordWrap/>
        <w:overflowPunct w:val="0"/>
        <w:topLinePunct w:val="0"/>
        <w:autoSpaceDE/>
        <w:autoSpaceDN/>
        <w:bidi w:val="0"/>
        <w:adjustRightInd w:val="0"/>
        <w:spacing w:after="0" w:line="560" w:lineRule="exact"/>
        <w:ind w:firstLine="66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被相关部门认定为违法建设的房屋和</w:t>
      </w:r>
      <w:r>
        <w:rPr>
          <w:rFonts w:hint="eastAsia" w:ascii="仿宋_GB2312" w:eastAsia="仿宋_GB2312"/>
          <w:sz w:val="32"/>
          <w:szCs w:val="32"/>
          <w:shd w:val="clear" w:color="auto" w:fill="FFFFFF"/>
        </w:rPr>
        <w:t>超过批准期限的临时建筑不予认定。</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楷体_GB2312" w:hAnsi="仿宋" w:eastAsia="楷体_GB2312" w:cs="宋体"/>
          <w:kern w:val="0"/>
          <w:sz w:val="32"/>
          <w:szCs w:val="32"/>
        </w:rPr>
      </w:pPr>
      <w:r>
        <w:rPr>
          <w:rFonts w:hint="eastAsia" w:ascii="楷体_GB2312" w:hAnsi="仿宋" w:eastAsia="楷体_GB2312" w:cs="宋体"/>
          <w:kern w:val="0"/>
          <w:sz w:val="32"/>
          <w:szCs w:val="32"/>
        </w:rPr>
        <w:t>（二）已拆除未补偿房屋建筑面积的认定</w:t>
      </w:r>
    </w:p>
    <w:bookmarkEnd w:id="15"/>
    <w:p>
      <w:pPr>
        <w:keepNext w:val="0"/>
        <w:keepLines w:val="0"/>
        <w:pageBreakBefore w:val="0"/>
        <w:widowControl/>
        <w:kinsoku/>
        <w:wordWrap/>
        <w:overflowPunct w:val="0"/>
        <w:topLinePunct w:val="0"/>
        <w:autoSpaceDE/>
        <w:autoSpaceDN/>
        <w:bidi w:val="0"/>
        <w:adjustRightInd w:val="0"/>
        <w:spacing w:after="0" w:line="560" w:lineRule="exact"/>
        <w:ind w:firstLine="660"/>
        <w:contextualSpacing/>
        <w:rPr>
          <w:rFonts w:hint="eastAsia" w:ascii="仿宋_GB2312" w:hAnsi="仿宋" w:eastAsia="仿宋_GB2312" w:cs="宋体"/>
          <w:sz w:val="32"/>
          <w:szCs w:val="32"/>
        </w:rPr>
      </w:pPr>
      <w:r>
        <w:rPr>
          <w:rFonts w:hint="eastAsia" w:ascii="仿宋_GB2312" w:hAnsi="仿宋" w:eastAsia="仿宋_GB2312" w:cs="宋体"/>
          <w:sz w:val="32"/>
          <w:szCs w:val="32"/>
        </w:rPr>
        <w:t>本项目暂停公告发布之日前，已拆除且未取得补偿的房屋产权单位或当时作出先行拆除决定的部门需出具《拆除情况说明》。《拆除情况说明》需明确拆除时间、拆除建筑面积，并承诺该部分房屋未取得补偿。在满足前述条件下，认定工作组结合《拆除情况说明》对已拆除未补偿房屋的建筑面积进行认定。</w:t>
      </w:r>
    </w:p>
    <w:p>
      <w:pPr>
        <w:keepNext w:val="0"/>
        <w:keepLines w:val="0"/>
        <w:pageBreakBefore w:val="0"/>
        <w:widowControl/>
        <w:kinsoku/>
        <w:wordWrap/>
        <w:overflowPunct w:val="0"/>
        <w:topLinePunct w:val="0"/>
        <w:autoSpaceDE/>
        <w:autoSpaceDN/>
        <w:bidi w:val="0"/>
        <w:adjustRightInd w:val="0"/>
        <w:spacing w:after="0" w:line="560" w:lineRule="exact"/>
        <w:ind w:firstLine="66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被相关部门认定为违法建设的房屋和</w:t>
      </w:r>
      <w:r>
        <w:rPr>
          <w:rFonts w:hint="eastAsia" w:ascii="仿宋_GB2312" w:eastAsia="仿宋_GB2312"/>
          <w:sz w:val="32"/>
          <w:szCs w:val="32"/>
          <w:shd w:val="clear" w:color="auto" w:fill="FFFFFF"/>
        </w:rPr>
        <w:t>超过批准期限的临时建筑不予认定。</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cs="宋体"/>
          <w:snapToGrid w:val="0"/>
          <w:kern w:val="0"/>
          <w:sz w:val="32"/>
          <w:szCs w:val="32"/>
        </w:rPr>
      </w:pPr>
      <w:r>
        <w:rPr>
          <w:rFonts w:hint="eastAsia" w:ascii="黑体" w:hAnsi="黑体" w:eastAsia="黑体" w:cs="宋体"/>
          <w:snapToGrid w:val="0"/>
          <w:kern w:val="0"/>
          <w:sz w:val="32"/>
          <w:szCs w:val="32"/>
        </w:rPr>
        <w:t>四、经营面积的认定</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黑体" w:eastAsia="仿宋_GB2312" w:cs="宋体"/>
          <w:snapToGrid w:val="0"/>
          <w:kern w:val="0"/>
          <w:sz w:val="32"/>
          <w:szCs w:val="32"/>
        </w:rPr>
      </w:pPr>
      <w:r>
        <w:rPr>
          <w:rFonts w:hint="eastAsia" w:ascii="仿宋_GB2312" w:hAnsi="黑体" w:eastAsia="仿宋_GB2312" w:cs="宋体"/>
          <w:snapToGrid w:val="0"/>
          <w:kern w:val="0"/>
          <w:sz w:val="32"/>
          <w:szCs w:val="32"/>
        </w:rPr>
        <w:t>利用房屋或场地进行实际生产经营，经认定工作组认定可认定为经营面积。利用房屋进行经营的认定经营面积最大不超过认定的建筑面积，利用场地进行经营的认定经营面积最大不超过认定的占地面积。</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cs="宋体"/>
          <w:snapToGrid w:val="0"/>
          <w:kern w:val="0"/>
          <w:sz w:val="32"/>
          <w:szCs w:val="32"/>
        </w:rPr>
      </w:pPr>
      <w:r>
        <w:rPr>
          <w:rFonts w:hint="eastAsia" w:ascii="黑体" w:hAnsi="黑体" w:eastAsia="黑体" w:cs="宋体"/>
          <w:snapToGrid w:val="0"/>
          <w:kern w:val="0"/>
          <w:sz w:val="32"/>
          <w:szCs w:val="32"/>
        </w:rPr>
        <w:t>五、认定结果公示</w:t>
      </w:r>
    </w:p>
    <w:p>
      <w:pPr>
        <w:keepNext w:val="0"/>
        <w:keepLines w:val="0"/>
        <w:pageBreakBefore w:val="0"/>
        <w:widowControl/>
        <w:kinsoku/>
        <w:wordWrap/>
        <w:topLinePunct w:val="0"/>
        <w:autoSpaceDE/>
        <w:autoSpaceDN/>
        <w:bidi w:val="0"/>
        <w:spacing w:after="0" w:line="560" w:lineRule="exact"/>
        <w:ind w:firstLine="640"/>
        <w:contextualSpacing/>
        <w:rPr>
          <w:rFonts w:hint="eastAsia" w:ascii="仿宋_GB2312" w:hAnsi="黑体" w:eastAsia="仿宋_GB2312" w:cs="宋体"/>
          <w:snapToGrid w:val="0"/>
          <w:kern w:val="0"/>
          <w:sz w:val="32"/>
          <w:szCs w:val="32"/>
        </w:rPr>
      </w:pPr>
      <w:r>
        <w:rPr>
          <w:rFonts w:hint="eastAsia" w:ascii="仿宋_GB2312" w:hAnsi="黑体" w:eastAsia="仿宋_GB2312" w:cs="宋体"/>
          <w:snapToGrid w:val="0"/>
          <w:kern w:val="0"/>
          <w:sz w:val="32"/>
          <w:szCs w:val="32"/>
        </w:rPr>
        <w:t>经认定工作组认定的结果，在本项目征收范围内进行公示。在公示期内，被征收人或相关权利人未对认定结果提出异议的，公示期届满后，认定结果生效并作为补偿依据。</w:t>
      </w:r>
    </w:p>
    <w:p>
      <w:pPr>
        <w:keepNext w:val="0"/>
        <w:keepLines w:val="0"/>
        <w:pageBreakBefore w:val="0"/>
        <w:widowControl/>
        <w:kinsoku/>
        <w:wordWrap/>
        <w:topLinePunct w:val="0"/>
        <w:autoSpaceDE/>
        <w:autoSpaceDN/>
        <w:bidi w:val="0"/>
        <w:spacing w:after="0" w:line="560" w:lineRule="exact"/>
        <w:ind w:firstLine="640"/>
        <w:contextualSpacing/>
        <w:rPr>
          <w:rFonts w:hint="eastAsia" w:ascii="仿宋_GB2312" w:hAnsi="黑体" w:eastAsia="仿宋_GB2312" w:cs="宋体"/>
          <w:snapToGrid w:val="0"/>
          <w:kern w:val="0"/>
          <w:sz w:val="32"/>
          <w:szCs w:val="32"/>
        </w:rPr>
      </w:pPr>
      <w:r>
        <w:rPr>
          <w:rFonts w:hint="eastAsia" w:ascii="仿宋_GB2312" w:hAnsi="黑体" w:eastAsia="仿宋_GB2312" w:cs="宋体"/>
          <w:snapToGrid w:val="0"/>
          <w:kern w:val="0"/>
          <w:sz w:val="32"/>
          <w:szCs w:val="32"/>
        </w:rPr>
        <w:t>对认定结果有异议的，被征收人或相关权利人应在公示期内向认定工作组提出书面意见并提供相关证明材料，经认定工作组核实后改变原认定结果的，作为最终认定结果进行再次公示。最终认定结果作为补偿依据。</w:t>
      </w:r>
    </w:p>
    <w:p>
      <w:pPr>
        <w:keepNext w:val="0"/>
        <w:keepLines w:val="0"/>
        <w:pageBreakBefore w:val="0"/>
        <w:kinsoku/>
        <w:wordWrap/>
        <w:topLinePunct w:val="0"/>
        <w:autoSpaceDE/>
        <w:autoSpaceDN/>
        <w:bidi w:val="0"/>
        <w:spacing w:after="0" w:line="560" w:lineRule="exact"/>
        <w:contextualSpacing/>
        <w:jc w:val="center"/>
        <w:rPr>
          <w:rFonts w:hint="eastAsia" w:ascii="黑体" w:hAnsi="黑体" w:eastAsia="黑体"/>
          <w:sz w:val="32"/>
          <w:szCs w:val="32"/>
        </w:rPr>
      </w:pPr>
    </w:p>
    <w:p>
      <w:pPr>
        <w:keepNext w:val="0"/>
        <w:keepLines w:val="0"/>
        <w:pageBreakBefore w:val="0"/>
        <w:kinsoku/>
        <w:wordWrap/>
        <w:topLinePunct w:val="0"/>
        <w:autoSpaceDE/>
        <w:autoSpaceDN/>
        <w:bidi w:val="0"/>
        <w:spacing w:after="0" w:line="560" w:lineRule="exact"/>
        <w:contextualSpacing/>
        <w:jc w:val="center"/>
        <w:rPr>
          <w:rFonts w:hint="eastAsia" w:ascii="黑体" w:hAnsi="黑体" w:eastAsia="黑体"/>
          <w:sz w:val="32"/>
          <w:szCs w:val="32"/>
        </w:rPr>
      </w:pPr>
      <w:r>
        <w:rPr>
          <w:rFonts w:hint="eastAsia" w:ascii="黑体" w:hAnsi="黑体" w:eastAsia="黑体"/>
          <w:sz w:val="32"/>
          <w:szCs w:val="32"/>
        </w:rPr>
        <w:t>第三章  被征收房屋的补偿</w:t>
      </w:r>
    </w:p>
    <w:p>
      <w:pPr>
        <w:keepNext w:val="0"/>
        <w:keepLines w:val="0"/>
        <w:pageBreakBefore w:val="0"/>
        <w:kinsoku/>
        <w:wordWrap/>
        <w:topLinePunct w:val="0"/>
        <w:autoSpaceDE/>
        <w:autoSpaceDN/>
        <w:bidi w:val="0"/>
        <w:spacing w:after="0" w:line="560" w:lineRule="exact"/>
        <w:contextualSpacing/>
        <w:jc w:val="center"/>
        <w:rPr>
          <w:rFonts w:hint="eastAsia" w:ascii="黑体" w:hAnsi="黑体" w:eastAsia="黑体"/>
          <w:sz w:val="32"/>
          <w:szCs w:val="32"/>
        </w:rPr>
      </w:pPr>
    </w:p>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一、补偿方式及内容</w:t>
      </w:r>
    </w:p>
    <w:p>
      <w:pPr>
        <w:pStyle w:val="5"/>
        <w:keepNext w:val="0"/>
        <w:keepLines w:val="0"/>
        <w:pageBreakBefore w:val="0"/>
        <w:kinsoku/>
        <w:wordWrap/>
        <w:topLinePunct w:val="0"/>
        <w:autoSpaceDE/>
        <w:autoSpaceDN/>
        <w:bidi w:val="0"/>
        <w:spacing w:after="0" w:line="560" w:lineRule="exact"/>
        <w:ind w:firstLine="640" w:firstLineChars="200"/>
        <w:contextualSpacing/>
        <w:jc w:val="both"/>
        <w:textAlignment w:val="baseline"/>
        <w:rPr>
          <w:rFonts w:hint="eastAsia" w:ascii="仿宋_GB2312" w:hAnsi="仿宋_GB2312" w:eastAsia="仿宋_GB2312" w:cs="仿宋_GB2312"/>
          <w:sz w:val="32"/>
          <w:szCs w:val="32"/>
        </w:rPr>
      </w:pPr>
      <w:r>
        <w:rPr>
          <w:rFonts w:hint="eastAsia" w:ascii="仿宋_GB2312" w:hAnsi="仿宋" w:eastAsia="仿宋_GB2312"/>
          <w:sz w:val="32"/>
          <w:szCs w:val="32"/>
        </w:rPr>
        <w:t>本项目补偿方式分为货币补偿、产权调换两种。</w:t>
      </w:r>
      <w:r>
        <w:rPr>
          <w:rFonts w:hint="eastAsia" w:ascii="仿宋_GB2312" w:hAnsi="仿宋_GB2312" w:eastAsia="仿宋_GB2312" w:cs="仿宋_GB2312"/>
          <w:sz w:val="32"/>
          <w:szCs w:val="32"/>
        </w:rPr>
        <w:t>被征收人在</w:t>
      </w:r>
      <w:r>
        <w:rPr>
          <w:rFonts w:hint="eastAsia" w:ascii="仿宋_GB2312" w:eastAsia="仿宋_GB2312" w:cs="仿宋_GB2312"/>
          <w:sz w:val="32"/>
          <w:szCs w:val="32"/>
        </w:rPr>
        <w:t>规定的预签约期限及房屋征收决定规定的签约期限内</w:t>
      </w:r>
      <w:r>
        <w:rPr>
          <w:rFonts w:hint="eastAsia" w:ascii="仿宋_GB2312" w:hAnsi="仿宋_GB2312" w:eastAsia="仿宋_GB2312" w:cs="仿宋_GB2312"/>
          <w:sz w:val="32"/>
          <w:szCs w:val="32"/>
        </w:rPr>
        <w:t>签约的，可选择货币补偿或产权调换两种方式中的一种。</w:t>
      </w:r>
    </w:p>
    <w:p>
      <w:pPr>
        <w:pStyle w:val="5"/>
        <w:keepNext w:val="0"/>
        <w:keepLines w:val="0"/>
        <w:pageBreakBefore w:val="0"/>
        <w:kinsoku/>
        <w:wordWrap/>
        <w:topLinePunct w:val="0"/>
        <w:autoSpaceDE/>
        <w:autoSpaceDN/>
        <w:bidi w:val="0"/>
        <w:spacing w:after="0" w:line="560" w:lineRule="exact"/>
        <w:ind w:firstLine="640" w:firstLineChars="200"/>
        <w:contextualSpacing/>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被征收人未在</w:t>
      </w:r>
      <w:r>
        <w:rPr>
          <w:rFonts w:hint="eastAsia" w:ascii="仿宋_GB2312" w:eastAsia="仿宋_GB2312" w:cs="仿宋_GB2312"/>
          <w:sz w:val="32"/>
          <w:szCs w:val="32"/>
        </w:rPr>
        <w:t>规定的预签约期限及房屋征收决定规定的签约期限内</w:t>
      </w:r>
      <w:r>
        <w:rPr>
          <w:rFonts w:hint="eastAsia" w:ascii="仿宋_GB2312" w:hAnsi="仿宋_GB2312" w:eastAsia="仿宋_GB2312" w:cs="仿宋_GB2312"/>
          <w:sz w:val="32"/>
          <w:szCs w:val="32"/>
        </w:rPr>
        <w:t>签约的，按照货币补偿方式进行补偿。</w:t>
      </w:r>
    </w:p>
    <w:p>
      <w:pPr>
        <w:pStyle w:val="9"/>
        <w:keepNext w:val="0"/>
        <w:keepLines w:val="0"/>
        <w:pageBreakBefore w:val="0"/>
        <w:kinsoku/>
        <w:wordWrap/>
        <w:topLinePunct w:val="0"/>
        <w:autoSpaceDE/>
        <w:autoSpaceDN/>
        <w:bidi w:val="0"/>
        <w:spacing w:after="0" w:line="560" w:lineRule="exact"/>
        <w:contextualSpacing/>
        <w:rPr>
          <w:rFonts w:hint="eastAsia" w:ascii="楷体_GB2312" w:hAnsi="宋体" w:eastAsia="楷体_GB2312" w:cs="宋体"/>
          <w:sz w:val="32"/>
          <w:szCs w:val="32"/>
        </w:rPr>
      </w:pPr>
      <w:r>
        <w:rPr>
          <w:rFonts w:hint="eastAsia" w:ascii="楷体_GB2312" w:hAnsi="宋体" w:eastAsia="楷体_GB2312" w:cs="宋体"/>
          <w:sz w:val="32"/>
          <w:szCs w:val="32"/>
        </w:rPr>
        <w:t>（一）</w:t>
      </w:r>
      <w:bookmarkStart w:id="16" w:name="_Hlk157679572"/>
      <w:r>
        <w:rPr>
          <w:rFonts w:hint="eastAsia" w:ascii="楷体_GB2312" w:hAnsi="宋体" w:eastAsia="楷体_GB2312" w:cs="宋体"/>
          <w:sz w:val="32"/>
          <w:szCs w:val="32"/>
        </w:rPr>
        <w:t>货币补偿方式</w:t>
      </w:r>
      <w:bookmarkEnd w:id="16"/>
    </w:p>
    <w:p>
      <w:pPr>
        <w:keepNext w:val="0"/>
        <w:keepLines w:val="0"/>
        <w:pageBreakBefore w:val="0"/>
        <w:widowControl/>
        <w:kinsoku/>
        <w:wordWrap/>
        <w:topLinePunct w:val="0"/>
        <w:autoSpaceDE/>
        <w:autoSpaceDN/>
        <w:bidi w:val="0"/>
        <w:spacing w:after="0" w:line="560" w:lineRule="exact"/>
        <w:ind w:firstLine="640"/>
        <w:contextualSpacing/>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货币补偿计算公式如下：</w:t>
      </w:r>
    </w:p>
    <w:p>
      <w:pPr>
        <w:pStyle w:val="5"/>
        <w:keepNext w:val="0"/>
        <w:keepLines w:val="0"/>
        <w:pageBreakBefore w:val="0"/>
        <w:kinsoku/>
        <w:wordWrap/>
        <w:topLinePunct w:val="0"/>
        <w:autoSpaceDE/>
        <w:autoSpaceDN/>
        <w:bidi w:val="0"/>
        <w:spacing w:after="0" w:line="560" w:lineRule="exact"/>
        <w:ind w:firstLine="640" w:firstLineChars="200"/>
        <w:contextualSpacing/>
        <w:jc w:val="both"/>
        <w:textAlignment w:val="baseline"/>
        <w:rPr>
          <w:rFonts w:hint="eastAsia" w:ascii="仿宋_GB2312" w:eastAsia="仿宋_GB2312"/>
          <w:sz w:val="32"/>
          <w:szCs w:val="32"/>
        </w:rPr>
      </w:pPr>
      <w:r>
        <w:rPr>
          <w:rFonts w:hint="eastAsia" w:ascii="仿宋_GB2312" w:hAnsi="仿宋" w:eastAsia="仿宋_GB2312"/>
          <w:sz w:val="32"/>
          <w:szCs w:val="32"/>
        </w:rPr>
        <w:t>货币补偿总额=被征收房屋价值补偿+停产停业损失补偿+搬迁补助费+各项移机、移装费+</w:t>
      </w:r>
      <w:r>
        <w:rPr>
          <w:rFonts w:hint="eastAsia" w:ascii="仿宋_GB2312" w:eastAsia="仿宋_GB2312"/>
          <w:sz w:val="32"/>
          <w:szCs w:val="32"/>
        </w:rPr>
        <w:t>签约配合奖励</w:t>
      </w:r>
      <w:r>
        <w:rPr>
          <w:rFonts w:hint="eastAsia" w:ascii="仿宋_GB2312" w:hAnsi="仿宋" w:eastAsia="仿宋_GB2312"/>
          <w:sz w:val="32"/>
          <w:szCs w:val="32"/>
        </w:rPr>
        <w:t>+</w:t>
      </w:r>
      <w:r>
        <w:rPr>
          <w:rFonts w:hint="eastAsia" w:ascii="仿宋_GB2312" w:eastAsia="仿宋_GB2312"/>
          <w:sz w:val="32"/>
          <w:szCs w:val="32"/>
        </w:rPr>
        <w:t>提前搬迁奖励</w:t>
      </w:r>
    </w:p>
    <w:p>
      <w:pPr>
        <w:pStyle w:val="5"/>
        <w:keepNext w:val="0"/>
        <w:keepLines w:val="0"/>
        <w:pageBreakBefore w:val="0"/>
        <w:kinsoku/>
        <w:wordWrap/>
        <w:topLinePunct w:val="0"/>
        <w:autoSpaceDE/>
        <w:autoSpaceDN/>
        <w:bidi w:val="0"/>
        <w:spacing w:after="0" w:line="560" w:lineRule="exact"/>
        <w:ind w:firstLine="640" w:firstLineChars="200"/>
        <w:contextualSpacing/>
        <w:jc w:val="both"/>
        <w:textAlignment w:val="baseline"/>
        <w:rPr>
          <w:rFonts w:hint="eastAsia" w:ascii="楷体_GB2312" w:eastAsia="楷体_GB2312"/>
          <w:sz w:val="32"/>
          <w:szCs w:val="32"/>
        </w:rPr>
      </w:pPr>
      <w:r>
        <w:rPr>
          <w:rFonts w:hint="eastAsia" w:ascii="楷体_GB2312" w:eastAsia="楷体_GB2312"/>
          <w:sz w:val="32"/>
          <w:szCs w:val="32"/>
        </w:rPr>
        <w:t>（二）产权调换补偿方式</w:t>
      </w:r>
    </w:p>
    <w:p>
      <w:pPr>
        <w:pStyle w:val="5"/>
        <w:keepNext w:val="0"/>
        <w:keepLines w:val="0"/>
        <w:pageBreakBefore w:val="0"/>
        <w:kinsoku/>
        <w:wordWrap/>
        <w:topLinePunct w:val="0"/>
        <w:autoSpaceDE/>
        <w:autoSpaceDN/>
        <w:bidi w:val="0"/>
        <w:spacing w:after="0" w:line="560" w:lineRule="exact"/>
        <w:ind w:firstLine="640" w:firstLineChars="200"/>
        <w:contextualSpacing/>
        <w:jc w:val="both"/>
        <w:textAlignment w:val="baseline"/>
        <w:rPr>
          <w:rFonts w:hint="eastAsia" w:ascii="仿宋_GB2312" w:hAnsi="仿宋" w:eastAsia="仿宋_GB2312"/>
          <w:sz w:val="32"/>
          <w:szCs w:val="32"/>
        </w:rPr>
      </w:pPr>
      <w:r>
        <w:rPr>
          <w:rFonts w:hint="eastAsia" w:ascii="仿宋_GB2312" w:hAnsi="仿宋" w:eastAsia="仿宋_GB2312"/>
          <w:sz w:val="32"/>
          <w:szCs w:val="32"/>
        </w:rPr>
        <w:t>选择产权调换的被征收人可获得商品房，产权调换补偿计算公示如下：</w:t>
      </w:r>
      <w:r>
        <w:rPr>
          <w:rFonts w:ascii="仿宋_GB2312" w:hAnsi="仿宋" w:eastAsia="仿宋_GB2312"/>
          <w:sz w:val="32"/>
          <w:szCs w:val="32"/>
        </w:rPr>
        <w:t xml:space="preserve"> </w:t>
      </w:r>
    </w:p>
    <w:p>
      <w:pPr>
        <w:pStyle w:val="5"/>
        <w:keepNext w:val="0"/>
        <w:keepLines w:val="0"/>
        <w:pageBreakBefore w:val="0"/>
        <w:kinsoku/>
        <w:wordWrap/>
        <w:topLinePunct w:val="0"/>
        <w:autoSpaceDE/>
        <w:autoSpaceDN/>
        <w:bidi w:val="0"/>
        <w:spacing w:after="0" w:line="560" w:lineRule="exact"/>
        <w:ind w:firstLine="640" w:firstLineChars="200"/>
        <w:contextualSpacing/>
        <w:jc w:val="both"/>
        <w:textAlignment w:val="baseline"/>
        <w:rPr>
          <w:rFonts w:hint="eastAsia" w:ascii="仿宋_GB2312" w:eastAsia="仿宋_GB2312"/>
          <w:sz w:val="32"/>
          <w:szCs w:val="32"/>
        </w:rPr>
      </w:pPr>
      <w:r>
        <w:rPr>
          <w:rFonts w:hint="eastAsia" w:ascii="仿宋_GB2312" w:hAnsi="仿宋" w:eastAsia="仿宋_GB2312"/>
          <w:sz w:val="32"/>
          <w:szCs w:val="32"/>
        </w:rPr>
        <w:t>被征收房屋价值补偿</w:t>
      </w:r>
      <w:r>
        <w:rPr>
          <w:rFonts w:hint="eastAsia" w:ascii="仿宋_GB2312" w:eastAsia="仿宋_GB2312"/>
          <w:sz w:val="32"/>
          <w:szCs w:val="32"/>
        </w:rPr>
        <w:t>-商品房购房款</w:t>
      </w:r>
      <w:r>
        <w:rPr>
          <w:rFonts w:hint="eastAsia" w:ascii="仿宋_GB2312" w:hAnsi="仿宋" w:eastAsia="仿宋_GB2312"/>
          <w:sz w:val="32"/>
          <w:szCs w:val="32"/>
        </w:rPr>
        <w:t>+停产停业损失补偿+搬迁补助费+各项移机、移装费+</w:t>
      </w:r>
      <w:r>
        <w:rPr>
          <w:rFonts w:hint="eastAsia" w:ascii="仿宋_GB2312" w:eastAsia="仿宋_GB2312"/>
          <w:sz w:val="32"/>
          <w:szCs w:val="32"/>
        </w:rPr>
        <w:t>签约配合奖励</w:t>
      </w:r>
      <w:r>
        <w:rPr>
          <w:rFonts w:hint="eastAsia" w:ascii="仿宋_GB2312" w:hAnsi="仿宋" w:eastAsia="仿宋_GB2312"/>
          <w:sz w:val="32"/>
          <w:szCs w:val="32"/>
        </w:rPr>
        <w:t>+</w:t>
      </w:r>
      <w:r>
        <w:rPr>
          <w:rFonts w:hint="eastAsia" w:ascii="仿宋_GB2312" w:eastAsia="仿宋_GB2312"/>
          <w:sz w:val="32"/>
          <w:szCs w:val="32"/>
        </w:rPr>
        <w:t>提前搬迁奖励</w:t>
      </w:r>
    </w:p>
    <w:p>
      <w:pPr>
        <w:pStyle w:val="5"/>
        <w:keepNext w:val="0"/>
        <w:keepLines w:val="0"/>
        <w:pageBreakBefore w:val="0"/>
        <w:kinsoku/>
        <w:wordWrap/>
        <w:topLinePunct w:val="0"/>
        <w:autoSpaceDE/>
        <w:autoSpaceDN/>
        <w:bidi w:val="0"/>
        <w:spacing w:after="0" w:line="560" w:lineRule="exact"/>
        <w:ind w:firstLine="640" w:firstLineChars="200"/>
        <w:contextualSpacing/>
        <w:jc w:val="both"/>
        <w:textAlignment w:val="baseline"/>
        <w:rPr>
          <w:rFonts w:hint="eastAsia" w:ascii="仿宋_GB2312" w:eastAsia="仿宋_GB2312"/>
          <w:sz w:val="32"/>
          <w:szCs w:val="32"/>
        </w:rPr>
      </w:pPr>
      <w:r>
        <w:rPr>
          <w:rFonts w:hint="eastAsia" w:ascii="仿宋_GB2312" w:eastAsia="仿宋_GB2312"/>
          <w:sz w:val="32"/>
          <w:szCs w:val="32"/>
        </w:rPr>
        <w:t>产权调换方式说明：</w:t>
      </w:r>
    </w:p>
    <w:p>
      <w:pPr>
        <w:pStyle w:val="5"/>
        <w:keepNext w:val="0"/>
        <w:keepLines w:val="0"/>
        <w:pageBreakBefore w:val="0"/>
        <w:kinsoku/>
        <w:wordWrap/>
        <w:topLinePunct w:val="0"/>
        <w:autoSpaceDE/>
        <w:autoSpaceDN/>
        <w:bidi w:val="0"/>
        <w:spacing w:after="0" w:line="560" w:lineRule="exact"/>
        <w:ind w:firstLine="640" w:firstLineChars="200"/>
        <w:contextualSpacing/>
        <w:jc w:val="both"/>
        <w:textAlignment w:val="baseline"/>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产权调换的房源为新建商品房（现房），位于密云区彩澄路6号院、碧澄环路5号院内，房屋用途为商业。</w:t>
      </w:r>
    </w:p>
    <w:p>
      <w:pPr>
        <w:pStyle w:val="5"/>
        <w:keepNext w:val="0"/>
        <w:keepLines w:val="0"/>
        <w:pageBreakBefore w:val="0"/>
        <w:kinsoku/>
        <w:wordWrap/>
        <w:topLinePunct w:val="0"/>
        <w:autoSpaceDE/>
        <w:autoSpaceDN/>
        <w:bidi w:val="0"/>
        <w:spacing w:after="0" w:line="560" w:lineRule="exact"/>
        <w:ind w:left="630" w:leftChars="300"/>
        <w:contextualSpacing/>
        <w:jc w:val="both"/>
        <w:textAlignment w:val="baseline"/>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购房价格由房地产评估机构评估确定。</w:t>
      </w:r>
    </w:p>
    <w:p>
      <w:pPr>
        <w:pStyle w:val="5"/>
        <w:keepNext w:val="0"/>
        <w:keepLines w:val="0"/>
        <w:pageBreakBefore w:val="0"/>
        <w:kinsoku/>
        <w:wordWrap/>
        <w:topLinePunct w:val="0"/>
        <w:autoSpaceDE/>
        <w:autoSpaceDN/>
        <w:bidi w:val="0"/>
        <w:spacing w:after="0" w:line="560" w:lineRule="exact"/>
        <w:ind w:firstLine="640" w:firstLineChars="200"/>
        <w:contextualSpacing/>
        <w:jc w:val="both"/>
        <w:textAlignment w:val="baseline"/>
        <w:rPr>
          <w:rFonts w:hint="eastAsia" w:ascii="仿宋_GB2312" w:eastAsia="仿宋_GB2312"/>
          <w:sz w:val="32"/>
          <w:szCs w:val="32"/>
        </w:rPr>
      </w:pPr>
      <w:r>
        <w:rPr>
          <w:rFonts w:hint="eastAsia" w:ascii="仿宋_GB2312" w:eastAsia="仿宋_GB2312"/>
          <w:sz w:val="32"/>
          <w:szCs w:val="32"/>
        </w:rPr>
        <w:t>3.被征收人所选商品房的总购房款最大不得超过被征收人所获得的</w:t>
      </w:r>
      <w:r>
        <w:rPr>
          <w:rFonts w:hint="eastAsia" w:ascii="仿宋_GB2312" w:hAnsi="仿宋" w:eastAsia="仿宋_GB2312"/>
          <w:sz w:val="32"/>
          <w:szCs w:val="32"/>
        </w:rPr>
        <w:t>被征收房屋价值补偿（含土地使用权价值）</w:t>
      </w:r>
      <w:r>
        <w:rPr>
          <w:rFonts w:hint="eastAsia" w:ascii="仿宋_GB2312" w:eastAsia="仿宋_GB2312"/>
          <w:sz w:val="32"/>
          <w:szCs w:val="32"/>
        </w:rPr>
        <w:t>，产生的税费按有关规定执行。</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二、被征收房屋价值的补偿</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被征收房屋价值的补偿包括土地使用权价值、房屋重置成新价和装修、设备及附属物价值。</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土地使用权价值：由选定的房地产评估机构根据《北京市国有土地上房屋征收评估暂行办法》（京建法〔2016〕19号）及《关于进一步规范国有土地上非住宅房屋征收评估与补偿工作的通知》（京建法〔20</w:t>
      </w:r>
      <w:r>
        <w:rPr>
          <w:rFonts w:ascii="仿宋_GB2312" w:hAnsi="宋体" w:eastAsia="仿宋_GB2312" w:cs="宋体"/>
          <w:kern w:val="0"/>
          <w:sz w:val="32"/>
          <w:szCs w:val="32"/>
        </w:rPr>
        <w:t>2</w:t>
      </w:r>
      <w:r>
        <w:rPr>
          <w:rFonts w:hint="eastAsia" w:ascii="仿宋_GB2312" w:hAnsi="宋体" w:eastAsia="仿宋_GB2312" w:cs="宋体"/>
          <w:kern w:val="0"/>
          <w:sz w:val="32"/>
          <w:szCs w:val="32"/>
        </w:rPr>
        <w:t>3〕4号）等相关规定评估确定。土地价值受用途影响，土地使用权价值低于每亩120万元的，该种用途的土地使用权价值按照每亩120万元的标准进行定额补偿。</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房屋重置成新价和装修、设备及附属物价值：由选定的房地产评估机构根据《北京市房屋重置成新价评估技术标准》(北估秘〔2016〕001号）等相关规定评估确定。根据实测的房屋建筑面积，房屋重置成新价和装修、设备及附属物价值分别低于每平方米1</w:t>
      </w:r>
      <w:r>
        <w:rPr>
          <w:rFonts w:ascii="仿宋_GB2312" w:hAnsi="宋体" w:eastAsia="仿宋_GB2312" w:cs="宋体"/>
          <w:kern w:val="0"/>
          <w:sz w:val="32"/>
          <w:szCs w:val="32"/>
        </w:rPr>
        <w:t>400</w:t>
      </w:r>
      <w:r>
        <w:rPr>
          <w:rFonts w:hint="eastAsia" w:ascii="仿宋_GB2312" w:hAnsi="宋体" w:eastAsia="仿宋_GB2312" w:cs="宋体"/>
          <w:kern w:val="0"/>
          <w:sz w:val="32"/>
          <w:szCs w:val="32"/>
        </w:rPr>
        <w:t>元和每平方米</w:t>
      </w:r>
      <w:r>
        <w:rPr>
          <w:rFonts w:ascii="仿宋_GB2312" w:hAnsi="宋体" w:eastAsia="仿宋_GB2312" w:cs="宋体"/>
          <w:kern w:val="0"/>
          <w:sz w:val="32"/>
          <w:szCs w:val="32"/>
        </w:rPr>
        <w:t>600</w:t>
      </w:r>
      <w:r>
        <w:rPr>
          <w:rFonts w:hint="eastAsia" w:ascii="仿宋_GB2312" w:hAnsi="宋体" w:eastAsia="仿宋_GB2312" w:cs="宋体"/>
          <w:kern w:val="0"/>
          <w:sz w:val="32"/>
          <w:szCs w:val="32"/>
        </w:rPr>
        <w:t>元标准的，按照每平方米1</w:t>
      </w:r>
      <w:r>
        <w:rPr>
          <w:rFonts w:ascii="仿宋_GB2312" w:hAnsi="宋体" w:eastAsia="仿宋_GB2312" w:cs="宋体"/>
          <w:kern w:val="0"/>
          <w:sz w:val="32"/>
          <w:szCs w:val="32"/>
        </w:rPr>
        <w:t>400</w:t>
      </w:r>
      <w:r>
        <w:rPr>
          <w:rFonts w:hint="eastAsia" w:ascii="仿宋_GB2312" w:hAnsi="宋体" w:eastAsia="仿宋_GB2312" w:cs="宋体"/>
          <w:kern w:val="0"/>
          <w:sz w:val="32"/>
          <w:szCs w:val="32"/>
        </w:rPr>
        <w:t>元和每平方米</w:t>
      </w:r>
      <w:r>
        <w:rPr>
          <w:rFonts w:ascii="仿宋_GB2312" w:hAnsi="宋体" w:eastAsia="仿宋_GB2312" w:cs="宋体"/>
          <w:kern w:val="0"/>
          <w:sz w:val="32"/>
          <w:szCs w:val="32"/>
        </w:rPr>
        <w:t>600</w:t>
      </w:r>
      <w:r>
        <w:rPr>
          <w:rFonts w:hint="eastAsia" w:ascii="仿宋_GB2312" w:hAnsi="宋体" w:eastAsia="仿宋_GB2312" w:cs="宋体"/>
          <w:kern w:val="0"/>
          <w:sz w:val="32"/>
          <w:szCs w:val="32"/>
        </w:rPr>
        <w:t>元的标准进行定额补偿；房屋重置成新价和装修、设备及附属物价值分别高于每平方米1</w:t>
      </w:r>
      <w:r>
        <w:rPr>
          <w:rFonts w:ascii="仿宋_GB2312" w:hAnsi="宋体" w:eastAsia="仿宋_GB2312" w:cs="宋体"/>
          <w:kern w:val="0"/>
          <w:sz w:val="32"/>
          <w:szCs w:val="32"/>
        </w:rPr>
        <w:t>400</w:t>
      </w:r>
      <w:r>
        <w:rPr>
          <w:rFonts w:hint="eastAsia" w:ascii="仿宋_GB2312" w:hAnsi="宋体" w:eastAsia="仿宋_GB2312" w:cs="宋体"/>
          <w:kern w:val="0"/>
          <w:sz w:val="32"/>
          <w:szCs w:val="32"/>
        </w:rPr>
        <w:t>元和每平方米</w:t>
      </w:r>
      <w:r>
        <w:rPr>
          <w:rFonts w:ascii="仿宋_GB2312" w:hAnsi="宋体" w:eastAsia="仿宋_GB2312" w:cs="宋体"/>
          <w:kern w:val="0"/>
          <w:sz w:val="32"/>
          <w:szCs w:val="32"/>
        </w:rPr>
        <w:t>600</w:t>
      </w:r>
      <w:r>
        <w:rPr>
          <w:rFonts w:hint="eastAsia" w:ascii="仿宋_GB2312" w:hAnsi="宋体" w:eastAsia="仿宋_GB2312" w:cs="宋体"/>
          <w:kern w:val="0"/>
          <w:sz w:val="32"/>
          <w:szCs w:val="32"/>
        </w:rPr>
        <w:t>元标准的，则据实评估补偿。</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在本项目暂停公告发布之日前已拆除未补偿的房屋和装修、设备及附属物，经认定工作组认定，根据认定的建筑面积，房屋重置成新价按照每平方米1</w:t>
      </w:r>
      <w:r>
        <w:rPr>
          <w:rFonts w:ascii="仿宋_GB2312" w:hAnsi="宋体" w:eastAsia="仿宋_GB2312" w:cs="宋体"/>
          <w:kern w:val="0"/>
          <w:sz w:val="32"/>
          <w:szCs w:val="32"/>
        </w:rPr>
        <w:t>400</w:t>
      </w:r>
      <w:r>
        <w:rPr>
          <w:rFonts w:hint="eastAsia" w:ascii="仿宋_GB2312" w:hAnsi="宋体" w:eastAsia="仿宋_GB2312" w:cs="宋体"/>
          <w:kern w:val="0"/>
          <w:sz w:val="32"/>
          <w:szCs w:val="32"/>
        </w:rPr>
        <w:t>元的标准进行定额补偿，装修、设备及附属物价值按照每平方米</w:t>
      </w:r>
      <w:r>
        <w:rPr>
          <w:rFonts w:ascii="仿宋_GB2312" w:hAnsi="宋体" w:eastAsia="仿宋_GB2312" w:cs="宋体"/>
          <w:kern w:val="0"/>
          <w:sz w:val="32"/>
          <w:szCs w:val="32"/>
        </w:rPr>
        <w:t>600</w:t>
      </w:r>
      <w:r>
        <w:rPr>
          <w:rFonts w:hint="eastAsia" w:ascii="仿宋_GB2312" w:hAnsi="宋体" w:eastAsia="仿宋_GB2312" w:cs="宋体"/>
          <w:kern w:val="0"/>
          <w:sz w:val="32"/>
          <w:szCs w:val="32"/>
        </w:rPr>
        <w:t>元的标准进行定额补偿。</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被相关部门认定为违法建设的房屋和超过批准期限的临时建筑不予补偿。</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三、停产停业损失的补偿</w:t>
      </w:r>
    </w:p>
    <w:p>
      <w:pPr>
        <w:keepNext w:val="0"/>
        <w:keepLines w:val="0"/>
        <w:pageBreakBefore w:val="0"/>
        <w:kinsoku/>
        <w:wordWrap/>
        <w:topLinePunct w:val="0"/>
        <w:autoSpaceDE/>
        <w:autoSpaceDN/>
        <w:bidi w:val="0"/>
        <w:spacing w:line="560" w:lineRule="exact"/>
        <w:ind w:firstLine="640" w:firstLineChars="200"/>
        <w:contextualSpacing/>
        <w:rPr>
          <w:rFonts w:hint="eastAsia" w:ascii="楷体_GB2312" w:hAnsi="楷体" w:eastAsia="楷体_GB2312"/>
          <w:sz w:val="32"/>
          <w:szCs w:val="32"/>
        </w:rPr>
      </w:pPr>
      <w:r>
        <w:rPr>
          <w:rFonts w:hint="eastAsia" w:ascii="楷体_GB2312" w:hAnsi="楷体" w:eastAsia="楷体_GB2312"/>
          <w:sz w:val="32"/>
          <w:szCs w:val="32"/>
        </w:rPr>
        <w:t>（一）被征收房屋停产停业损失补偿及标准</w:t>
      </w:r>
    </w:p>
    <w:p>
      <w:pPr>
        <w:keepNext w:val="0"/>
        <w:keepLines w:val="0"/>
        <w:pageBreakBefore w:val="0"/>
        <w:kinsoku/>
        <w:wordWrap/>
        <w:topLinePunct w:val="0"/>
        <w:autoSpaceDE/>
        <w:autoSpaceDN/>
        <w:bidi w:val="0"/>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符合下列条件的，按照认定的经营建筑面积，给予每平方米1000元的一次性停产停业损失补偿：</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具有房屋权属证明或经认定为合法房屋；</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具有合法有效的营业执照、税务登记证等相关材料；</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提交相关纳税凭证。</w:t>
      </w:r>
    </w:p>
    <w:p>
      <w:pPr>
        <w:keepNext w:val="0"/>
        <w:keepLines w:val="0"/>
        <w:pageBreakBefore w:val="0"/>
        <w:kinsoku/>
        <w:wordWrap/>
        <w:topLinePunct w:val="0"/>
        <w:autoSpaceDE/>
        <w:autoSpaceDN/>
        <w:bidi w:val="0"/>
        <w:spacing w:line="560" w:lineRule="exact"/>
        <w:ind w:firstLine="640" w:firstLineChars="200"/>
        <w:contextualSpacing/>
        <w:rPr>
          <w:rFonts w:hint="eastAsia" w:ascii="楷体_GB2312" w:hAnsi="楷体" w:eastAsia="楷体_GB2312"/>
          <w:sz w:val="32"/>
          <w:szCs w:val="32"/>
        </w:rPr>
      </w:pPr>
      <w:r>
        <w:rPr>
          <w:rFonts w:hint="eastAsia" w:ascii="楷体_GB2312" w:hAnsi="楷体" w:eastAsia="楷体_GB2312"/>
          <w:sz w:val="32"/>
          <w:szCs w:val="32"/>
        </w:rPr>
        <w:t>（二）利用场地经营的停产停业损失补偿及标准</w:t>
      </w:r>
    </w:p>
    <w:p>
      <w:pPr>
        <w:keepNext w:val="0"/>
        <w:keepLines w:val="0"/>
        <w:pageBreakBefore w:val="0"/>
        <w:widowControl/>
        <w:shd w:val="clear" w:color="auto" w:fill="FFFFFF"/>
        <w:kinsoku/>
        <w:wordWrap/>
        <w:topLinePunct w:val="0"/>
        <w:autoSpaceDE/>
        <w:autoSpaceDN/>
        <w:bidi w:val="0"/>
        <w:spacing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符合下列条件的，按照认定的场地经营面积，给予每平方米</w:t>
      </w:r>
      <w:r>
        <w:rPr>
          <w:rFonts w:ascii="仿宋_GB2312" w:hAnsi="宋体" w:eastAsia="仿宋_GB2312"/>
          <w:sz w:val="32"/>
          <w:szCs w:val="32"/>
        </w:rPr>
        <w:t>200元</w:t>
      </w:r>
      <w:r>
        <w:rPr>
          <w:rFonts w:hint="eastAsia" w:ascii="仿宋_GB2312" w:hAnsi="宋体" w:eastAsia="仿宋_GB2312"/>
          <w:sz w:val="32"/>
          <w:szCs w:val="32"/>
        </w:rPr>
        <w:t>一次性占地经营停产停业损失补偿。</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具有土地权属证明等合法有效批准文件或经认定为合法使用的土地；</w:t>
      </w:r>
    </w:p>
    <w:p>
      <w:pPr>
        <w:keepNext w:val="0"/>
        <w:keepLines w:val="0"/>
        <w:pageBreakBefore w:val="0"/>
        <w:widowControl/>
        <w:shd w:val="clear" w:color="auto" w:fill="FFFFFF"/>
        <w:kinsoku/>
        <w:wordWrap/>
        <w:topLinePunct w:val="0"/>
        <w:autoSpaceDE/>
        <w:autoSpaceDN/>
        <w:bidi w:val="0"/>
        <w:spacing w:line="560" w:lineRule="exact"/>
        <w:ind w:firstLine="640" w:firstLineChars="200"/>
        <w:contextualSpacing/>
        <w:rPr>
          <w:rFonts w:hint="eastAsia"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具有合法有效的营业执照、税务登记证等相关材料；</w:t>
      </w:r>
    </w:p>
    <w:p>
      <w:pPr>
        <w:keepNext w:val="0"/>
        <w:keepLines w:val="0"/>
        <w:pageBreakBefore w:val="0"/>
        <w:widowControl/>
        <w:kinsoku/>
        <w:wordWrap/>
        <w:topLinePunct w:val="0"/>
        <w:autoSpaceDE/>
        <w:autoSpaceDN/>
        <w:bidi w:val="0"/>
        <w:adjustRightInd w:val="0"/>
        <w:spacing w:after="0" w:line="560" w:lineRule="exact"/>
        <w:ind w:firstLine="640" w:firstLineChars="200"/>
        <w:contextualSpacing/>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提交相关纳税凭证。</w:t>
      </w:r>
    </w:p>
    <w:p>
      <w:pPr>
        <w:keepNext w:val="0"/>
        <w:keepLines w:val="0"/>
        <w:pageBreakBefore w:val="0"/>
        <w:widowControl/>
        <w:shd w:val="clear" w:color="auto" w:fill="FFFFFF"/>
        <w:kinsoku/>
        <w:wordWrap/>
        <w:topLinePunct w:val="0"/>
        <w:autoSpaceDE/>
        <w:autoSpaceDN/>
        <w:bidi w:val="0"/>
        <w:spacing w:after="0"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对停产停业损失补偿标准有异议的，可参照《北京市国有土地上房屋征收停产停业损失补偿暂行办法》（京建法〔2011〕18号），由评估机构根据相关规定评估确定。</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四、搬迁补助费</w:t>
      </w:r>
    </w:p>
    <w:p>
      <w:pPr>
        <w:keepNext w:val="0"/>
        <w:keepLines w:val="0"/>
        <w:pageBreakBefore w:val="0"/>
        <w:widowControl/>
        <w:shd w:val="clear" w:color="auto" w:fill="FFFFFF"/>
        <w:kinsoku/>
        <w:wordWrap/>
        <w:topLinePunct w:val="0"/>
        <w:autoSpaceDE/>
        <w:autoSpaceDN/>
        <w:bidi w:val="0"/>
        <w:spacing w:after="0"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按照认定的建筑面积给予每平方米50元的搬迁补助费。</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五、各项移机、移装费</w:t>
      </w:r>
    </w:p>
    <w:p>
      <w:pPr>
        <w:keepNext w:val="0"/>
        <w:keepLines w:val="0"/>
        <w:pageBreakBefore w:val="0"/>
        <w:widowControl/>
        <w:shd w:val="clear" w:color="auto" w:fill="FFFFFF"/>
        <w:kinsoku/>
        <w:wordWrap/>
        <w:topLinePunct w:val="0"/>
        <w:autoSpaceDE/>
        <w:autoSpaceDN/>
        <w:bidi w:val="0"/>
        <w:spacing w:after="0"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电话、宽带移机费235元/部；</w:t>
      </w:r>
    </w:p>
    <w:p>
      <w:pPr>
        <w:keepNext w:val="0"/>
        <w:keepLines w:val="0"/>
        <w:pageBreakBefore w:val="0"/>
        <w:widowControl/>
        <w:shd w:val="clear" w:color="auto" w:fill="FFFFFF"/>
        <w:kinsoku/>
        <w:wordWrap/>
        <w:topLinePunct w:val="0"/>
        <w:autoSpaceDE/>
        <w:autoSpaceDN/>
        <w:bidi w:val="0"/>
        <w:spacing w:after="0"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有线电视移装费300元/端；</w:t>
      </w:r>
    </w:p>
    <w:p>
      <w:pPr>
        <w:keepNext w:val="0"/>
        <w:keepLines w:val="0"/>
        <w:pageBreakBefore w:val="0"/>
        <w:widowControl/>
        <w:shd w:val="clear" w:color="auto" w:fill="FFFFFF"/>
        <w:kinsoku/>
        <w:wordWrap/>
        <w:topLinePunct w:val="0"/>
        <w:autoSpaceDE/>
        <w:autoSpaceDN/>
        <w:bidi w:val="0"/>
        <w:spacing w:after="0"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空调移装费400元/台；</w:t>
      </w:r>
    </w:p>
    <w:p>
      <w:pPr>
        <w:keepNext w:val="0"/>
        <w:keepLines w:val="0"/>
        <w:pageBreakBefore w:val="0"/>
        <w:widowControl/>
        <w:shd w:val="clear" w:color="auto" w:fill="FFFFFF"/>
        <w:kinsoku/>
        <w:wordWrap/>
        <w:topLinePunct w:val="0"/>
        <w:autoSpaceDE/>
        <w:autoSpaceDN/>
        <w:bidi w:val="0"/>
        <w:spacing w:after="0"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热水器、太阳能移装费各300元/台；</w:t>
      </w:r>
    </w:p>
    <w:p>
      <w:pPr>
        <w:keepNext w:val="0"/>
        <w:keepLines w:val="0"/>
        <w:pageBreakBefore w:val="0"/>
        <w:widowControl/>
        <w:shd w:val="clear" w:color="auto" w:fill="FFFFFF"/>
        <w:kinsoku/>
        <w:wordWrap/>
        <w:topLinePunct w:val="0"/>
        <w:autoSpaceDE/>
        <w:autoSpaceDN/>
        <w:bidi w:val="0"/>
        <w:spacing w:after="0" w:line="560" w:lineRule="exact"/>
        <w:ind w:firstLine="640"/>
        <w:contextualSpacing/>
        <w:rPr>
          <w:rFonts w:hint="eastAsia"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w:t>
      </w:r>
      <w:r>
        <w:rPr>
          <w:rFonts w:hint="eastAsia" w:ascii="仿宋_GB2312" w:hAnsi="仿宋_GB2312" w:eastAsia="仿宋_GB2312" w:cs="仿宋_GB2312"/>
          <w:kern w:val="0"/>
          <w:sz w:val="32"/>
          <w:szCs w:val="32"/>
        </w:rPr>
        <w:t>大型设备迁移及补偿费</w:t>
      </w:r>
      <w:r>
        <w:rPr>
          <w:rFonts w:hint="eastAsia" w:ascii="仿宋_GB2312" w:hAnsi="宋体" w:eastAsia="仿宋_GB2312"/>
          <w:sz w:val="32"/>
          <w:szCs w:val="32"/>
        </w:rPr>
        <w:t>由资产评估机构评估确定。</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六、奖励项目及标准</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楷体_GB2312" w:hAnsi="宋体" w:eastAsia="楷体_GB2312"/>
          <w:sz w:val="32"/>
          <w:szCs w:val="32"/>
        </w:rPr>
      </w:pPr>
      <w:r>
        <w:rPr>
          <w:rFonts w:hint="eastAsia" w:ascii="楷体_GB2312" w:hAnsi="宋体" w:eastAsia="楷体_GB2312"/>
          <w:sz w:val="32"/>
          <w:szCs w:val="32"/>
        </w:rPr>
        <w:t>（一）签约配合奖励</w:t>
      </w:r>
    </w:p>
    <w:p>
      <w:pPr>
        <w:keepNext w:val="0"/>
        <w:keepLines w:val="0"/>
        <w:pageBreakBefore w:val="0"/>
        <w:kinsoku/>
        <w:wordWrap/>
        <w:topLinePunct w:val="0"/>
        <w:autoSpaceDE/>
        <w:autoSpaceDN/>
        <w:bidi w:val="0"/>
        <w:spacing w:after="0" w:line="560" w:lineRule="exact"/>
        <w:ind w:firstLine="640" w:firstLineChars="200"/>
        <w:contextualSpacing/>
        <w:rPr>
          <w:rFonts w:ascii="仿宋_GB2312" w:eastAsia="仿宋_GB2312" w:cs="仿宋_GB2312"/>
          <w:sz w:val="32"/>
          <w:szCs w:val="32"/>
        </w:rPr>
      </w:pPr>
      <w:r>
        <w:rPr>
          <w:rFonts w:hint="eastAsia" w:ascii="仿宋_GB2312" w:eastAsia="仿宋_GB2312" w:cs="仿宋_GB2312"/>
          <w:sz w:val="32"/>
          <w:szCs w:val="32"/>
        </w:rPr>
        <w:t>被征收人在规定的预签约期限内签约，并按协议约定期限搬迁交房的，按照各项评估补偿总额的4</w:t>
      </w:r>
      <w:r>
        <w:rPr>
          <w:rFonts w:ascii="仿宋_GB2312" w:eastAsia="仿宋_GB2312" w:cs="仿宋_GB2312"/>
          <w:sz w:val="32"/>
          <w:szCs w:val="32"/>
        </w:rPr>
        <w:t>%</w:t>
      </w:r>
      <w:r>
        <w:rPr>
          <w:rFonts w:hint="eastAsia" w:ascii="仿宋_GB2312" w:eastAsia="仿宋_GB2312" w:cs="仿宋_GB2312"/>
          <w:sz w:val="32"/>
          <w:szCs w:val="32"/>
        </w:rPr>
        <w:t>计算签约配合奖励，签约配合奖励最高不得超过4</w:t>
      </w:r>
      <w:r>
        <w:rPr>
          <w:rFonts w:ascii="仿宋_GB2312" w:eastAsia="仿宋_GB2312" w:cs="仿宋_GB2312"/>
          <w:sz w:val="32"/>
          <w:szCs w:val="32"/>
        </w:rPr>
        <w:t>0</w:t>
      </w:r>
      <w:r>
        <w:rPr>
          <w:rFonts w:hint="eastAsia" w:ascii="仿宋_GB2312" w:eastAsia="仿宋_GB2312" w:cs="仿宋_GB2312"/>
          <w:sz w:val="32"/>
          <w:szCs w:val="32"/>
        </w:rPr>
        <w:t>万元。</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楷体_GB2312" w:hAnsi="宋体" w:eastAsia="楷体_GB2312"/>
          <w:sz w:val="32"/>
          <w:szCs w:val="32"/>
        </w:rPr>
      </w:pPr>
      <w:r>
        <w:rPr>
          <w:rFonts w:hint="eastAsia" w:ascii="楷体_GB2312" w:hAnsi="宋体" w:eastAsia="楷体_GB2312"/>
          <w:sz w:val="32"/>
          <w:szCs w:val="32"/>
        </w:rPr>
        <w:t>（二）提前搬迁奖励</w:t>
      </w:r>
    </w:p>
    <w:p>
      <w:pPr>
        <w:keepNext w:val="0"/>
        <w:keepLines w:val="0"/>
        <w:pageBreakBefore w:val="0"/>
        <w:kinsoku/>
        <w:wordWrap/>
        <w:topLinePunct w:val="0"/>
        <w:autoSpaceDE/>
        <w:autoSpaceDN/>
        <w:bidi w:val="0"/>
        <w:spacing w:after="0" w:line="560" w:lineRule="exact"/>
        <w:ind w:firstLine="640" w:firstLineChars="200"/>
        <w:contextualSpacing/>
        <w:rPr>
          <w:rFonts w:ascii="仿宋_GB2312" w:eastAsia="仿宋_GB2312" w:cs="仿宋_GB2312"/>
          <w:sz w:val="32"/>
          <w:szCs w:val="32"/>
        </w:rPr>
      </w:pPr>
      <w:r>
        <w:rPr>
          <w:rFonts w:hint="eastAsia" w:ascii="仿宋_GB2312" w:eastAsia="仿宋_GB2312" w:cs="仿宋_GB2312"/>
          <w:sz w:val="32"/>
          <w:szCs w:val="32"/>
        </w:rPr>
        <w:t>被征收人在房屋征收决定规定的签约期限届满前签约，并按协议约定期限搬迁交房的，按照各项评估补偿总额的5</w:t>
      </w:r>
      <w:r>
        <w:rPr>
          <w:rFonts w:ascii="仿宋_GB2312" w:eastAsia="仿宋_GB2312" w:cs="仿宋_GB2312"/>
          <w:sz w:val="32"/>
          <w:szCs w:val="32"/>
        </w:rPr>
        <w:t>%</w:t>
      </w:r>
      <w:r>
        <w:rPr>
          <w:rFonts w:hint="eastAsia" w:ascii="仿宋_GB2312" w:eastAsia="仿宋_GB2312" w:cs="仿宋_GB2312"/>
          <w:sz w:val="32"/>
          <w:szCs w:val="32"/>
        </w:rPr>
        <w:t>计算提前搬迁奖励，提前搬迁奖励最高不得超过5</w:t>
      </w:r>
      <w:r>
        <w:rPr>
          <w:rFonts w:ascii="仿宋_GB2312" w:eastAsia="仿宋_GB2312" w:cs="仿宋_GB2312"/>
          <w:sz w:val="32"/>
          <w:szCs w:val="32"/>
        </w:rPr>
        <w:t>0</w:t>
      </w:r>
      <w:r>
        <w:rPr>
          <w:rFonts w:hint="eastAsia" w:ascii="仿宋_GB2312" w:eastAsia="仿宋_GB2312" w:cs="仿宋_GB2312"/>
          <w:sz w:val="32"/>
          <w:szCs w:val="32"/>
        </w:rPr>
        <w:t>万元。</w:t>
      </w:r>
    </w:p>
    <w:p>
      <w:pPr>
        <w:keepNext w:val="0"/>
        <w:keepLines w:val="0"/>
        <w:pageBreakBefore w:val="0"/>
        <w:kinsoku/>
        <w:wordWrap/>
        <w:topLinePunct w:val="0"/>
        <w:autoSpaceDE/>
        <w:autoSpaceDN/>
        <w:bidi w:val="0"/>
        <w:spacing w:after="0" w:line="560" w:lineRule="exact"/>
        <w:ind w:firstLine="640" w:firstLineChars="200"/>
        <w:contextualSpacing/>
        <w:rPr>
          <w:rFonts w:hint="eastAsia" w:ascii="仿宋_GB2312" w:hAnsi="宋体" w:eastAsia="仿宋_GB2312"/>
          <w:sz w:val="32"/>
          <w:szCs w:val="32"/>
        </w:rPr>
      </w:pPr>
    </w:p>
    <w:p>
      <w:pPr>
        <w:keepNext w:val="0"/>
        <w:keepLines w:val="0"/>
        <w:pageBreakBefore w:val="0"/>
        <w:kinsoku/>
        <w:wordWrap/>
        <w:topLinePunct w:val="0"/>
        <w:autoSpaceDE/>
        <w:autoSpaceDN/>
        <w:bidi w:val="0"/>
        <w:spacing w:after="0" w:line="560" w:lineRule="exact"/>
        <w:contextualSpacing/>
        <w:jc w:val="center"/>
        <w:rPr>
          <w:rFonts w:hint="eastAsia" w:ascii="黑体" w:hAnsi="黑体" w:eastAsia="黑体"/>
          <w:sz w:val="32"/>
          <w:szCs w:val="32"/>
        </w:rPr>
      </w:pPr>
      <w:r>
        <w:rPr>
          <w:rFonts w:hint="eastAsia" w:ascii="黑体" w:hAnsi="黑体" w:eastAsia="黑体"/>
          <w:sz w:val="32"/>
          <w:szCs w:val="32"/>
        </w:rPr>
        <w:t>第四章  其他</w:t>
      </w:r>
    </w:p>
    <w:p>
      <w:pPr>
        <w:keepNext w:val="0"/>
        <w:keepLines w:val="0"/>
        <w:pageBreakBefore w:val="0"/>
        <w:kinsoku/>
        <w:wordWrap/>
        <w:topLinePunct w:val="0"/>
        <w:autoSpaceDE/>
        <w:autoSpaceDN/>
        <w:bidi w:val="0"/>
        <w:spacing w:after="0" w:line="560" w:lineRule="exact"/>
        <w:contextualSpacing/>
        <w:jc w:val="center"/>
        <w:rPr>
          <w:rFonts w:hint="eastAsia" w:ascii="黑体" w:hAnsi="黑体" w:eastAsia="黑体"/>
          <w:sz w:val="32"/>
          <w:szCs w:val="32"/>
        </w:rPr>
      </w:pPr>
    </w:p>
    <w:p>
      <w:pPr>
        <w:keepNext w:val="0"/>
        <w:keepLines w:val="0"/>
        <w:pageBreakBefore w:val="0"/>
        <w:kinsoku/>
        <w:wordWrap/>
        <w:topLinePunct w:val="0"/>
        <w:autoSpaceDE/>
        <w:autoSpaceDN/>
        <w:bidi w:val="0"/>
        <w:spacing w:after="0" w:line="560" w:lineRule="exact"/>
        <w:ind w:firstLine="640" w:firstLineChars="200"/>
        <w:contextualSpacing/>
        <w:jc w:val="left"/>
        <w:rPr>
          <w:rFonts w:hint="eastAsia" w:ascii="仿宋_GB2312" w:hAnsi="宋体" w:eastAsia="仿宋_GB2312"/>
          <w:sz w:val="32"/>
          <w:szCs w:val="32"/>
        </w:rPr>
      </w:pPr>
      <w:r>
        <w:rPr>
          <w:rFonts w:hint="eastAsia" w:ascii="仿宋_GB2312" w:hAnsi="宋体" w:eastAsia="仿宋_GB2312"/>
          <w:sz w:val="32"/>
          <w:szCs w:val="32"/>
        </w:rPr>
        <w:t>一、本方案执行过程中出现的特殊问题由区征收办组织相关部门研究并形成专题会议纪要，专题会议纪要是本方案实施过程中的补充性文件并作为审计单位审计的依据。</w:t>
      </w:r>
    </w:p>
    <w:p>
      <w:pPr>
        <w:keepNext w:val="0"/>
        <w:keepLines w:val="0"/>
        <w:pageBreakBefore w:val="0"/>
        <w:widowControl/>
        <w:shd w:val="clear" w:color="auto" w:fill="FFFFFF"/>
        <w:kinsoku/>
        <w:wordWrap/>
        <w:topLinePunct w:val="0"/>
        <w:autoSpaceDE/>
        <w:autoSpaceDN/>
        <w:bidi w:val="0"/>
        <w:spacing w:after="0" w:line="560" w:lineRule="exact"/>
        <w:ind w:firstLine="645"/>
        <w:contextualSpacing/>
        <w:jc w:val="left"/>
        <w:rPr>
          <w:rFonts w:hint="eastAsia" w:ascii="仿宋_GB2312" w:hAnsi="宋体" w:eastAsia="仿宋_GB2312"/>
          <w:sz w:val="32"/>
          <w:szCs w:val="32"/>
        </w:rPr>
      </w:pPr>
      <w:r>
        <w:rPr>
          <w:rFonts w:hint="eastAsia" w:ascii="仿宋_GB2312" w:hAnsi="宋体" w:eastAsia="仿宋_GB2312"/>
          <w:sz w:val="32"/>
          <w:szCs w:val="32"/>
        </w:rPr>
        <w:t>二、本方案由区征收办负责政策解释。</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2250" cy="153035"/>
                      </a:xfrm>
                      <a:prstGeom prst="rect">
                        <a:avLst/>
                      </a:prstGeom>
                      <a:noFill/>
                      <a:ln w="9525">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05pt;width:17.5pt;mso-position-horizontal:outside;mso-position-horizontal-relative:margin;mso-wrap-style:none;z-index:251659264;mso-width-relative:page;mso-height-relative:page;" filled="f" stroked="f" coordsize="21600,21600" o:gfxdata="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FNATjRAAAA&#10;AwEAAA8AAAAAAAAAAQAgAAAAIgAAAGRycy9kb3ducmV2LnhtbFBLAQIUABQAAAAIAIdO4kCcPwdG&#10;sgEAAEYDAAAOAAAAAAAAAAEAIAAAACABAABkcnMvZTJvRG9jLnhtbFBLBQYAAAAABgAGAFkBAABE&#10;BQ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DC"/>
    <w:rsid w:val="0000048E"/>
    <w:rsid w:val="00011E4A"/>
    <w:rsid w:val="00026F6C"/>
    <w:rsid w:val="00033B5B"/>
    <w:rsid w:val="00036FB1"/>
    <w:rsid w:val="00047FD0"/>
    <w:rsid w:val="00050C2D"/>
    <w:rsid w:val="0005415F"/>
    <w:rsid w:val="00055594"/>
    <w:rsid w:val="00060E6A"/>
    <w:rsid w:val="00064084"/>
    <w:rsid w:val="00091E63"/>
    <w:rsid w:val="000922E5"/>
    <w:rsid w:val="00096E59"/>
    <w:rsid w:val="000F65FE"/>
    <w:rsid w:val="001079A0"/>
    <w:rsid w:val="00116E53"/>
    <w:rsid w:val="00166E0D"/>
    <w:rsid w:val="0019385E"/>
    <w:rsid w:val="001B6484"/>
    <w:rsid w:val="001B7318"/>
    <w:rsid w:val="001C6648"/>
    <w:rsid w:val="001E3044"/>
    <w:rsid w:val="00200B7A"/>
    <w:rsid w:val="00214069"/>
    <w:rsid w:val="0021790E"/>
    <w:rsid w:val="00233F6A"/>
    <w:rsid w:val="00246AAD"/>
    <w:rsid w:val="002965CD"/>
    <w:rsid w:val="002A5FAF"/>
    <w:rsid w:val="002D1F93"/>
    <w:rsid w:val="002D3C0C"/>
    <w:rsid w:val="002E0041"/>
    <w:rsid w:val="00304F0C"/>
    <w:rsid w:val="00312A19"/>
    <w:rsid w:val="00322577"/>
    <w:rsid w:val="0034084B"/>
    <w:rsid w:val="0034562A"/>
    <w:rsid w:val="003577F5"/>
    <w:rsid w:val="003947C3"/>
    <w:rsid w:val="003A0D77"/>
    <w:rsid w:val="0042714B"/>
    <w:rsid w:val="00434C97"/>
    <w:rsid w:val="00441DF8"/>
    <w:rsid w:val="004852AF"/>
    <w:rsid w:val="004A019E"/>
    <w:rsid w:val="004A42EB"/>
    <w:rsid w:val="004D5422"/>
    <w:rsid w:val="004E6898"/>
    <w:rsid w:val="004F17B1"/>
    <w:rsid w:val="005039D2"/>
    <w:rsid w:val="00515A5A"/>
    <w:rsid w:val="00526DCC"/>
    <w:rsid w:val="00541369"/>
    <w:rsid w:val="00541D5E"/>
    <w:rsid w:val="00557C2E"/>
    <w:rsid w:val="00566E15"/>
    <w:rsid w:val="00593C7C"/>
    <w:rsid w:val="005F494F"/>
    <w:rsid w:val="00611BB3"/>
    <w:rsid w:val="00620E1E"/>
    <w:rsid w:val="006358C7"/>
    <w:rsid w:val="00645A79"/>
    <w:rsid w:val="00646F32"/>
    <w:rsid w:val="0065191E"/>
    <w:rsid w:val="006655FD"/>
    <w:rsid w:val="006738C5"/>
    <w:rsid w:val="006751F0"/>
    <w:rsid w:val="00681C77"/>
    <w:rsid w:val="006937FB"/>
    <w:rsid w:val="006B1FCA"/>
    <w:rsid w:val="006B3D6D"/>
    <w:rsid w:val="006B7965"/>
    <w:rsid w:val="00721757"/>
    <w:rsid w:val="007256FC"/>
    <w:rsid w:val="007259C4"/>
    <w:rsid w:val="00731410"/>
    <w:rsid w:val="00736056"/>
    <w:rsid w:val="00740344"/>
    <w:rsid w:val="0074503F"/>
    <w:rsid w:val="00745BBD"/>
    <w:rsid w:val="00747510"/>
    <w:rsid w:val="00754047"/>
    <w:rsid w:val="0076406A"/>
    <w:rsid w:val="00770C7B"/>
    <w:rsid w:val="00770F51"/>
    <w:rsid w:val="00781ADC"/>
    <w:rsid w:val="007877D1"/>
    <w:rsid w:val="007911AD"/>
    <w:rsid w:val="007A7CC2"/>
    <w:rsid w:val="007B0CA7"/>
    <w:rsid w:val="007B388D"/>
    <w:rsid w:val="007B44C6"/>
    <w:rsid w:val="007B49A3"/>
    <w:rsid w:val="007C70A4"/>
    <w:rsid w:val="007E22F6"/>
    <w:rsid w:val="007F0FDE"/>
    <w:rsid w:val="00804B55"/>
    <w:rsid w:val="008132CB"/>
    <w:rsid w:val="00823C8A"/>
    <w:rsid w:val="00827B36"/>
    <w:rsid w:val="008362EC"/>
    <w:rsid w:val="008442F2"/>
    <w:rsid w:val="008461A7"/>
    <w:rsid w:val="00850ABB"/>
    <w:rsid w:val="008635C5"/>
    <w:rsid w:val="008735FD"/>
    <w:rsid w:val="00883694"/>
    <w:rsid w:val="00891943"/>
    <w:rsid w:val="00894234"/>
    <w:rsid w:val="008B440F"/>
    <w:rsid w:val="008B6289"/>
    <w:rsid w:val="008B6573"/>
    <w:rsid w:val="008D6E80"/>
    <w:rsid w:val="008E3E19"/>
    <w:rsid w:val="008E5685"/>
    <w:rsid w:val="008F418D"/>
    <w:rsid w:val="008F49BD"/>
    <w:rsid w:val="00900146"/>
    <w:rsid w:val="009103AD"/>
    <w:rsid w:val="00923B38"/>
    <w:rsid w:val="00935B43"/>
    <w:rsid w:val="009631BF"/>
    <w:rsid w:val="00972160"/>
    <w:rsid w:val="009728DB"/>
    <w:rsid w:val="009B320C"/>
    <w:rsid w:val="009E1493"/>
    <w:rsid w:val="00A12652"/>
    <w:rsid w:val="00A31379"/>
    <w:rsid w:val="00A510E8"/>
    <w:rsid w:val="00A80FA8"/>
    <w:rsid w:val="00A92DE6"/>
    <w:rsid w:val="00AA246F"/>
    <w:rsid w:val="00AA4E4B"/>
    <w:rsid w:val="00AC1332"/>
    <w:rsid w:val="00AC77B9"/>
    <w:rsid w:val="00AE7B0D"/>
    <w:rsid w:val="00AF5AD5"/>
    <w:rsid w:val="00B0120A"/>
    <w:rsid w:val="00B05CC5"/>
    <w:rsid w:val="00B15F4B"/>
    <w:rsid w:val="00B22550"/>
    <w:rsid w:val="00B3309C"/>
    <w:rsid w:val="00B56B91"/>
    <w:rsid w:val="00B76BA7"/>
    <w:rsid w:val="00B849DF"/>
    <w:rsid w:val="00B91CA7"/>
    <w:rsid w:val="00B92A8D"/>
    <w:rsid w:val="00BA1220"/>
    <w:rsid w:val="00BB3F35"/>
    <w:rsid w:val="00BC3684"/>
    <w:rsid w:val="00BD24E5"/>
    <w:rsid w:val="00BD7F78"/>
    <w:rsid w:val="00C0204F"/>
    <w:rsid w:val="00C30F0F"/>
    <w:rsid w:val="00C32F31"/>
    <w:rsid w:val="00C42FE2"/>
    <w:rsid w:val="00C56C7D"/>
    <w:rsid w:val="00C64606"/>
    <w:rsid w:val="00C84608"/>
    <w:rsid w:val="00C85B6A"/>
    <w:rsid w:val="00C96D85"/>
    <w:rsid w:val="00CB055F"/>
    <w:rsid w:val="00CC7996"/>
    <w:rsid w:val="00CD3641"/>
    <w:rsid w:val="00CD6C47"/>
    <w:rsid w:val="00CF265F"/>
    <w:rsid w:val="00CF3B0B"/>
    <w:rsid w:val="00D11B04"/>
    <w:rsid w:val="00D14F04"/>
    <w:rsid w:val="00D15AA8"/>
    <w:rsid w:val="00D26065"/>
    <w:rsid w:val="00D277CE"/>
    <w:rsid w:val="00D47E1C"/>
    <w:rsid w:val="00D61141"/>
    <w:rsid w:val="00D872FA"/>
    <w:rsid w:val="00D92ABF"/>
    <w:rsid w:val="00DB4B88"/>
    <w:rsid w:val="00DC38C0"/>
    <w:rsid w:val="00DE12BA"/>
    <w:rsid w:val="00DE1945"/>
    <w:rsid w:val="00DF7D3E"/>
    <w:rsid w:val="00E0336D"/>
    <w:rsid w:val="00E04617"/>
    <w:rsid w:val="00E24F47"/>
    <w:rsid w:val="00E508E4"/>
    <w:rsid w:val="00E50B96"/>
    <w:rsid w:val="00E5436B"/>
    <w:rsid w:val="00E64BA5"/>
    <w:rsid w:val="00E6524A"/>
    <w:rsid w:val="00E72186"/>
    <w:rsid w:val="00E721EF"/>
    <w:rsid w:val="00E7394A"/>
    <w:rsid w:val="00E87D2D"/>
    <w:rsid w:val="00EF61A1"/>
    <w:rsid w:val="00F035BE"/>
    <w:rsid w:val="00F12E25"/>
    <w:rsid w:val="00F15F13"/>
    <w:rsid w:val="00F22A12"/>
    <w:rsid w:val="00F3237B"/>
    <w:rsid w:val="00F37123"/>
    <w:rsid w:val="00F550F0"/>
    <w:rsid w:val="00F70BB4"/>
    <w:rsid w:val="00F8021D"/>
    <w:rsid w:val="00F90203"/>
    <w:rsid w:val="00FB32E6"/>
    <w:rsid w:val="00FD4121"/>
    <w:rsid w:val="00FE0EF8"/>
    <w:rsid w:val="00FE75E3"/>
    <w:rsid w:val="00FF73FE"/>
    <w:rsid w:val="019432CD"/>
    <w:rsid w:val="01BC06E8"/>
    <w:rsid w:val="06051808"/>
    <w:rsid w:val="07AB2622"/>
    <w:rsid w:val="0A52707D"/>
    <w:rsid w:val="0C886C9D"/>
    <w:rsid w:val="0CEA34BE"/>
    <w:rsid w:val="0D5A496C"/>
    <w:rsid w:val="0D794027"/>
    <w:rsid w:val="0F3B4906"/>
    <w:rsid w:val="0F527130"/>
    <w:rsid w:val="10580BDC"/>
    <w:rsid w:val="12AF11F2"/>
    <w:rsid w:val="13065B25"/>
    <w:rsid w:val="137B48E8"/>
    <w:rsid w:val="14181987"/>
    <w:rsid w:val="163B4B05"/>
    <w:rsid w:val="16471C1C"/>
    <w:rsid w:val="17EC44CB"/>
    <w:rsid w:val="1838494B"/>
    <w:rsid w:val="185B77A2"/>
    <w:rsid w:val="1A992E30"/>
    <w:rsid w:val="1D823B78"/>
    <w:rsid w:val="1EA13FCF"/>
    <w:rsid w:val="1F3F7351"/>
    <w:rsid w:val="1F4315DA"/>
    <w:rsid w:val="21300122"/>
    <w:rsid w:val="21592EC3"/>
    <w:rsid w:val="24940192"/>
    <w:rsid w:val="267628A6"/>
    <w:rsid w:val="2A783D3B"/>
    <w:rsid w:val="2B1E5745"/>
    <w:rsid w:val="2B971F94"/>
    <w:rsid w:val="2C3E7B20"/>
    <w:rsid w:val="2CAC6259"/>
    <w:rsid w:val="2E455EDB"/>
    <w:rsid w:val="2F66731D"/>
    <w:rsid w:val="30A45AD9"/>
    <w:rsid w:val="30AE15D5"/>
    <w:rsid w:val="35006703"/>
    <w:rsid w:val="361C2353"/>
    <w:rsid w:val="38A20DF8"/>
    <w:rsid w:val="38C344A8"/>
    <w:rsid w:val="39B50BBF"/>
    <w:rsid w:val="3A852292"/>
    <w:rsid w:val="3C677846"/>
    <w:rsid w:val="3CC372BE"/>
    <w:rsid w:val="3D883B84"/>
    <w:rsid w:val="3DEF0FAA"/>
    <w:rsid w:val="443416F4"/>
    <w:rsid w:val="44DD6689"/>
    <w:rsid w:val="45AB11DF"/>
    <w:rsid w:val="461A66FF"/>
    <w:rsid w:val="497E6723"/>
    <w:rsid w:val="4B367C72"/>
    <w:rsid w:val="4BC80118"/>
    <w:rsid w:val="4D3C094B"/>
    <w:rsid w:val="500C4CE2"/>
    <w:rsid w:val="520706F3"/>
    <w:rsid w:val="539D267E"/>
    <w:rsid w:val="53B312E1"/>
    <w:rsid w:val="53E33AA6"/>
    <w:rsid w:val="58BE13D3"/>
    <w:rsid w:val="5A77630D"/>
    <w:rsid w:val="5B59290A"/>
    <w:rsid w:val="5C2A51C2"/>
    <w:rsid w:val="5E2A14BD"/>
    <w:rsid w:val="687938F3"/>
    <w:rsid w:val="6A0910E4"/>
    <w:rsid w:val="6ABE3B2D"/>
    <w:rsid w:val="6DA203ED"/>
    <w:rsid w:val="70953C43"/>
    <w:rsid w:val="70E5138F"/>
    <w:rsid w:val="73A56DD2"/>
    <w:rsid w:val="73F15BC3"/>
    <w:rsid w:val="76BC6B65"/>
    <w:rsid w:val="78F072FB"/>
    <w:rsid w:val="7AA33AAB"/>
    <w:rsid w:val="7BDEB2E9"/>
    <w:rsid w:val="7DA13DAB"/>
    <w:rsid w:val="7E5F32B9"/>
    <w:rsid w:val="D3F31EF1"/>
    <w:rsid w:val="FF8EE678"/>
    <w:rsid w:val="FFFA9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toc 1"/>
    <w:basedOn w:val="1"/>
    <w:next w:val="1"/>
    <w:qFormat/>
    <w:uiPriority w:val="0"/>
    <w:pPr>
      <w:tabs>
        <w:tab w:val="right" w:leader="dot" w:pos="8874"/>
      </w:tabs>
      <w:ind w:firstLine="480" w:firstLineChars="200"/>
      <w:jc w:val="left"/>
    </w:pPr>
    <w:rPr>
      <w:rFonts w:ascii="华文中宋" w:hAnsi="华文中宋" w:eastAsia="华文中宋"/>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jc w:val="left"/>
    </w:pPr>
    <w:rPr>
      <w:rFonts w:ascii="宋体" w:hAnsi="宋体" w:cs="宋体"/>
      <w:kern w:val="0"/>
      <w:sz w:val="24"/>
    </w:rPr>
  </w:style>
  <w:style w:type="paragraph" w:styleId="8">
    <w:name w:val="List Paragraph"/>
    <w:basedOn w:val="1"/>
    <w:qFormat/>
    <w:uiPriority w:val="99"/>
    <w:pPr>
      <w:ind w:firstLine="420" w:firstLineChars="200"/>
    </w:pPr>
  </w:style>
  <w:style w:type="paragraph" w:customStyle="1" w:styleId="9">
    <w:name w:val="p0"/>
    <w:basedOn w:val="1"/>
    <w:qFormat/>
    <w:uiPriority w:val="0"/>
    <w:pPr>
      <w:widowControl/>
      <w:spacing w:line="560" w:lineRule="exact"/>
      <w:ind w:firstLine="640" w:firstLineChars="200"/>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960</Words>
  <Characters>5476</Characters>
  <Lines>45</Lines>
  <Paragraphs>12</Paragraphs>
  <TotalTime>1</TotalTime>
  <ScaleCrop>false</ScaleCrop>
  <LinksUpToDate>false</LinksUpToDate>
  <CharactersWithSpaces>6424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2024-11-08T03:03:00Z</dcterms:created>
  <dc:creator>圆滚滚</dc:creator>
  <cp:lastModifiedBy>月月</cp:lastModifiedBy>
  <cp:lastPrinted>2024-10-31T07:20:00Z</cp:lastPrinted>
  <dcterms:modified xsi:type="dcterms:W3CDTF">2024-11-15T01:57:15Z</dcterms:modified>
  <dc:title>北京市密云区人民政府房屋征收办公室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